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B954"/>
        </w:rPr>
        <w:t>Spotify — Plan d'Implementation de la Gouvernance des Donnees</w:t>
      </w:r>
    </w:p>
    <w:p>
      <w:r>
        <w:t>Julien CHARLIER — Bloc 1 AIA — Jedha Bootcamp</w:t>
      </w:r>
    </w:p>
    <w:p/>
    <w:p>
      <w:r>
        <w:t>Version 1.0  |  Mars 2026  |  Auteur : Julien CHARLIER</w:t>
      </w:r>
    </w:p>
    <w:p>
      <w:pPr>
        <w:pStyle w:val="Heading1"/>
      </w:pPr>
      <w:r>
        <w:rPr>
          <w:color w:val="1DB954"/>
        </w:rPr>
        <w:t>1. Objectifs du plan</w:t>
      </w:r>
    </w:p>
    <w:p>
      <w:r>
        <w:t>Ce plan détaille le déploiement progressif du cadre de gouvernance sur 12 mois, en 3 phases. Le pilote est lancé sur le domaine « User Data » avant généralisation.</w:t>
      </w:r>
    </w:p>
    <w:p>
      <w:pPr>
        <w:pStyle w:val="Heading1"/>
      </w:pPr>
      <w:r>
        <w:rPr>
          <w:color w:val="1DB954"/>
        </w:rPr>
        <w:t>2. Phase 1 — Fondations (Mois 1-3)</w:t>
      </w:r>
    </w:p>
    <w:p>
      <w:pPr>
        <w:pStyle w:val="Heading2"/>
      </w:pPr>
      <w:r>
        <w:rPr>
          <w:color w:val="535353"/>
        </w:rPr>
        <w:t>2.1 Objectifs</w:t>
      </w:r>
    </w:p>
    <w:p>
      <w:pPr>
        <w:pStyle w:val="ListBullet"/>
      </w:pPr>
      <w:r>
        <w:t>Constituer l'équipe de gouvernance (CDO + DPO + Data Stewards).</w:t>
      </w:r>
    </w:p>
    <w:p>
      <w:pPr>
        <w:pStyle w:val="ListBullet"/>
      </w:pPr>
      <w:r>
        <w:t>Finaliser et diffuser la Politique de Gouvernance des Données.</w:t>
      </w:r>
    </w:p>
    <w:p>
      <w:pPr>
        <w:pStyle w:val="ListBullet"/>
      </w:pPr>
      <w:r>
        <w:t>Déployer un outil de catalogage des données (DataHub recommandé).</w:t>
      </w:r>
    </w:p>
    <w:p>
      <w:pPr>
        <w:pStyle w:val="ListBullet"/>
      </w:pPr>
      <w:r>
        <w:t>Documenter le registre des traitements RGPD.</w:t>
      </w:r>
    </w:p>
    <w:p>
      <w:pPr>
        <w:pStyle w:val="Heading2"/>
      </w:pPr>
      <w:r>
        <w:rPr>
          <w:color w:val="535353"/>
        </w:rPr>
        <w:t>2.2 Livrables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Livrable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Echeance</w:t>
            </w:r>
          </w:p>
        </w:tc>
      </w:tr>
      <w:tr>
        <w:tc>
          <w:tcPr>
            <w:tcW w:type="dxa" w:w="2880"/>
          </w:tcPr>
          <w:p>
            <w:r>
              <w:t>Politique de Gouvernance v1.0 diffusée</w:t>
            </w:r>
          </w:p>
        </w:tc>
        <w:tc>
          <w:tcPr>
            <w:tcW w:type="dxa" w:w="2880"/>
          </w:tcPr>
          <w:p>
            <w:r>
              <w:t>CDO</w:t>
            </w:r>
          </w:p>
        </w:tc>
        <w:tc>
          <w:tcPr>
            <w:tcW w:type="dxa" w:w="2880"/>
          </w:tcPr>
          <w:p>
            <w:r>
              <w:t>M+1</w:t>
            </w:r>
          </w:p>
        </w:tc>
      </w:tr>
      <w:tr>
        <w:tc>
          <w:tcPr>
            <w:tcW w:type="dxa" w:w="2880"/>
          </w:tcPr>
          <w:p>
            <w:r>
              <w:t>Registre des traitements RGPD</w:t>
            </w:r>
          </w:p>
        </w:tc>
        <w:tc>
          <w:tcPr>
            <w:tcW w:type="dxa" w:w="2880"/>
          </w:tcPr>
          <w:p>
            <w:r>
              <w:t>DPO</w:t>
            </w:r>
          </w:p>
        </w:tc>
        <w:tc>
          <w:tcPr>
            <w:tcW w:type="dxa" w:w="2880"/>
          </w:tcPr>
          <w:p>
            <w:r>
              <w:t>M+2</w:t>
            </w:r>
          </w:p>
        </w:tc>
      </w:tr>
      <w:tr>
        <w:tc>
          <w:tcPr>
            <w:tcW w:type="dxa" w:w="2880"/>
          </w:tcPr>
          <w:p>
            <w:r>
              <w:t>Catalogue DataHub déployé (User Data)</w:t>
            </w:r>
          </w:p>
        </w:tc>
        <w:tc>
          <w:tcPr>
            <w:tcW w:type="dxa" w:w="2880"/>
          </w:tcPr>
          <w:p>
            <w:r>
              <w:t>Data Engineer</w:t>
            </w:r>
          </w:p>
        </w:tc>
        <w:tc>
          <w:tcPr>
            <w:tcW w:type="dxa" w:w="2880"/>
          </w:tcPr>
          <w:p>
            <w:r>
              <w:t>M+3</w:t>
            </w:r>
          </w:p>
        </w:tc>
      </w:tr>
      <w:tr>
        <w:tc>
          <w:tcPr>
            <w:tcW w:type="dxa" w:w="2880"/>
          </w:tcPr>
          <w:p>
            <w:r>
              <w:t>Matrice RACI validée par le board</w:t>
            </w:r>
          </w:p>
        </w:tc>
        <w:tc>
          <w:tcPr>
            <w:tcW w:type="dxa" w:w="2880"/>
          </w:tcPr>
          <w:p>
            <w:r>
              <w:t>CDO</w:t>
            </w:r>
          </w:p>
        </w:tc>
        <w:tc>
          <w:tcPr>
            <w:tcW w:type="dxa" w:w="2880"/>
          </w:tcPr>
          <w:p>
            <w:r>
              <w:t>M+1</w:t>
            </w:r>
          </w:p>
        </w:tc>
      </w:tr>
    </w:tbl>
    <w:p>
      <w:pPr>
        <w:pStyle w:val="Heading1"/>
      </w:pPr>
      <w:r>
        <w:rPr>
          <w:color w:val="1DB954"/>
        </w:rPr>
        <w:t>3. Phase 2 — Implementation (Mois 4-6)</w:t>
      </w:r>
    </w:p>
    <w:p>
      <w:pPr>
        <w:pStyle w:val="Heading2"/>
      </w:pPr>
      <w:r>
        <w:rPr>
          <w:color w:val="535353"/>
        </w:rPr>
        <w:t>3.1 Objectifs</w:t>
      </w:r>
    </w:p>
    <w:p>
      <w:pPr>
        <w:pStyle w:val="ListBullet"/>
      </w:pPr>
      <w:r>
        <w:t>Déployer les pipelines de contrôle qualité automatisés (dbt + Great Expectations).</w:t>
      </w:r>
    </w:p>
    <w:p>
      <w:pPr>
        <w:pStyle w:val="ListBullet"/>
      </w:pPr>
      <w:r>
        <w:t>Lancer le pilote complet sur le domaine User Data.</w:t>
      </w:r>
    </w:p>
    <w:p>
      <w:pPr>
        <w:pStyle w:val="ListBullet"/>
      </w:pPr>
      <w:r>
        <w:t>Former les équipes métier aux nouveaux processus.</w:t>
      </w:r>
    </w:p>
    <w:p>
      <w:pPr>
        <w:pStyle w:val="ListBullet"/>
      </w:pPr>
      <w:r>
        <w:t>Implémenter le monitoring de drift sur les modèles ML.</w:t>
      </w:r>
    </w:p>
    <w:p>
      <w:pPr>
        <w:pStyle w:val="Heading2"/>
      </w:pPr>
      <w:r>
        <w:rPr>
          <w:color w:val="535353"/>
        </w:rPr>
        <w:t>3.2 Livrables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Livrable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Echeance</w:t>
            </w:r>
          </w:p>
        </w:tc>
      </w:tr>
      <w:tr>
        <w:tc>
          <w:tcPr>
            <w:tcW w:type="dxa" w:w="2880"/>
          </w:tcPr>
          <w:p>
            <w:r>
              <w:t>Pipelines de qualité opérationnels (User Data)</w:t>
            </w:r>
          </w:p>
        </w:tc>
        <w:tc>
          <w:tcPr>
            <w:tcW w:type="dxa" w:w="2880"/>
          </w:tcPr>
          <w:p>
            <w:r>
              <w:t>Data Quality Analyst</w:t>
            </w:r>
          </w:p>
        </w:tc>
        <w:tc>
          <w:tcPr>
            <w:tcW w:type="dxa" w:w="2880"/>
          </w:tcPr>
          <w:p>
            <w:r>
              <w:t>M+4</w:t>
            </w:r>
          </w:p>
        </w:tc>
      </w:tr>
      <w:tr>
        <w:tc>
          <w:tcPr>
            <w:tcW w:type="dxa" w:w="2880"/>
          </w:tcPr>
          <w:p>
            <w:r>
              <w:t>Formation RGPD complétée (100% des équipes)</w:t>
            </w:r>
          </w:p>
        </w:tc>
        <w:tc>
          <w:tcPr>
            <w:tcW w:type="dxa" w:w="2880"/>
          </w:tcPr>
          <w:p>
            <w:r>
              <w:t>DPO</w:t>
            </w:r>
          </w:p>
        </w:tc>
        <w:tc>
          <w:tcPr>
            <w:tcW w:type="dxa" w:w="2880"/>
          </w:tcPr>
          <w:p>
            <w:r>
              <w:t>M+5</w:t>
            </w:r>
          </w:p>
        </w:tc>
      </w:tr>
      <w:tr>
        <w:tc>
          <w:tcPr>
            <w:tcW w:type="dxa" w:w="2880"/>
          </w:tcPr>
          <w:p>
            <w:r>
              <w:t>Dashboard qualité temps réel</w:t>
            </w:r>
          </w:p>
        </w:tc>
        <w:tc>
          <w:tcPr>
            <w:tcW w:type="dxa" w:w="2880"/>
          </w:tcPr>
          <w:p>
            <w:r>
              <w:t>BI Analyst</w:t>
            </w:r>
          </w:p>
        </w:tc>
        <w:tc>
          <w:tcPr>
            <w:tcW w:type="dxa" w:w="2880"/>
          </w:tcPr>
          <w:p>
            <w:r>
              <w:t>M+5</w:t>
            </w:r>
          </w:p>
        </w:tc>
      </w:tr>
      <w:tr>
        <w:tc>
          <w:tcPr>
            <w:tcW w:type="dxa" w:w="2880"/>
          </w:tcPr>
          <w:p>
            <w:r>
              <w:t>Rapport pilote User Data</w:t>
            </w:r>
          </w:p>
        </w:tc>
        <w:tc>
          <w:tcPr>
            <w:tcW w:type="dxa" w:w="2880"/>
          </w:tcPr>
          <w:p>
            <w:r>
              <w:t>Data Steward</w:t>
            </w:r>
          </w:p>
        </w:tc>
        <w:tc>
          <w:tcPr>
            <w:tcW w:type="dxa" w:w="2880"/>
          </w:tcPr>
          <w:p>
            <w:r>
              <w:t>M+6</w:t>
            </w:r>
          </w:p>
        </w:tc>
      </w:tr>
    </w:tbl>
    <w:p>
      <w:pPr>
        <w:pStyle w:val="Heading1"/>
      </w:pPr>
      <w:r>
        <w:rPr>
          <w:color w:val="1DB954"/>
        </w:rPr>
        <w:t>4. Phase 3 — Optimisation &amp; Généralisation (Mois 7-12)</w:t>
      </w:r>
    </w:p>
    <w:p>
      <w:pPr>
        <w:pStyle w:val="Heading2"/>
      </w:pPr>
      <w:r>
        <w:rPr>
          <w:color w:val="535353"/>
        </w:rPr>
        <w:t>4.1 Objectifs</w:t>
      </w:r>
    </w:p>
    <w:p>
      <w:pPr>
        <w:pStyle w:val="ListBullet"/>
      </w:pPr>
      <w:r>
        <w:t>Étendre le cadre aux domaines Content, Financial et Marketing.</w:t>
      </w:r>
    </w:p>
    <w:p>
      <w:pPr>
        <w:pStyle w:val="ListBullet"/>
      </w:pPr>
      <w:r>
        <w:t>Automatiser les rapports de conformité RGPD/CCPA.</w:t>
      </w:r>
    </w:p>
    <w:p>
      <w:pPr>
        <w:pStyle w:val="ListBullet"/>
      </w:pPr>
      <w:r>
        <w:t>Mettre en place les KPIs de gouvernance et le reporting trimestriel au board.</w:t>
      </w:r>
    </w:p>
    <w:p>
      <w:pPr>
        <w:pStyle w:val="ListBullet"/>
      </w:pPr>
      <w:r>
        <w:t>Certification PCI-DSS niveau 1.</w:t>
      </w:r>
    </w:p>
    <w:p>
      <w:pPr>
        <w:pStyle w:val="Heading1"/>
      </w:pPr>
      <w:r>
        <w:rPr>
          <w:color w:val="1DB954"/>
        </w:rPr>
        <w:t>5. KPIs de succès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Cible M+6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Cible M+12</w:t>
            </w:r>
          </w:p>
        </w:tc>
      </w:tr>
      <w:tr>
        <w:tc>
          <w:tcPr>
            <w:tcW w:type="dxa" w:w="2880"/>
          </w:tcPr>
          <w:p>
            <w:r>
              <w:t>Taux de données conformes aux règles qualité</w:t>
            </w:r>
          </w:p>
        </w:tc>
        <w:tc>
          <w:tcPr>
            <w:tcW w:type="dxa" w:w="2880"/>
          </w:tcPr>
          <w:p>
            <w:r>
              <w:t>&gt;85%</w:t>
            </w:r>
          </w:p>
        </w:tc>
        <w:tc>
          <w:tcPr>
            <w:tcW w:type="dxa" w:w="2880"/>
          </w:tcPr>
          <w:p>
            <w:r>
              <w:t>&gt;95%</w:t>
            </w:r>
          </w:p>
        </w:tc>
      </w:tr>
      <w:tr>
        <w:tc>
          <w:tcPr>
            <w:tcW w:type="dxa" w:w="2880"/>
          </w:tcPr>
          <w:p>
            <w:r>
              <w:t>Délai de traitement DSAR (demandes utilisateurs)</w:t>
            </w:r>
          </w:p>
        </w:tc>
        <w:tc>
          <w:tcPr>
            <w:tcW w:type="dxa" w:w="2880"/>
          </w:tcPr>
          <w:p>
            <w:r>
              <w:t>&lt;30 jours</w:t>
            </w:r>
          </w:p>
        </w:tc>
        <w:tc>
          <w:tcPr>
            <w:tcW w:type="dxa" w:w="2880"/>
          </w:tcPr>
          <w:p>
            <w:r>
              <w:t>&lt;15 jours</w:t>
            </w:r>
          </w:p>
        </w:tc>
      </w:tr>
      <w:tr>
        <w:tc>
          <w:tcPr>
            <w:tcW w:type="dxa" w:w="2880"/>
          </w:tcPr>
          <w:p>
            <w:r>
              <w:t>Couverture du catalogue de données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Incidents de sécurité liés aux données</w:t>
            </w:r>
          </w:p>
        </w:tc>
        <w:tc>
          <w:tcPr>
            <w:tcW w:type="dxa" w:w="2880"/>
          </w:tcPr>
          <w:p>
            <w:r>
              <w:t>&lt;5/trimestre</w:t>
            </w:r>
          </w:p>
        </w:tc>
        <w:tc>
          <w:tcPr>
            <w:tcW w:type="dxa" w:w="2880"/>
          </w:tcPr>
          <w:p>
            <w:r>
              <w:t>&lt;2/trimestre</w:t>
            </w:r>
          </w:p>
        </w:tc>
      </w:tr>
      <w:tr>
        <w:tc>
          <w:tcPr>
            <w:tcW w:type="dxa" w:w="2880"/>
          </w:tcPr>
          <w:p>
            <w:r>
              <w:t>Formations RGPD complétées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pPr>
        <w:pStyle w:val="Heading1"/>
      </w:pPr>
      <w:r>
        <w:rPr>
          <w:color w:val="1DB954"/>
        </w:rPr>
        <w:t>6. Budget estimatif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Poste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Cout annuel estimé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Commentaire</w:t>
            </w:r>
          </w:p>
        </w:tc>
      </w:tr>
      <w:tr>
        <w:tc>
          <w:tcPr>
            <w:tcW w:type="dxa" w:w="2880"/>
          </w:tcPr>
          <w:p>
            <w:r>
              <w:t>Licences DataHub (Enterprise)</w:t>
            </w:r>
          </w:p>
        </w:tc>
        <w:tc>
          <w:tcPr>
            <w:tcW w:type="dxa" w:w="2880"/>
          </w:tcPr>
          <w:p>
            <w:r>
              <w:t>150 000 EUR</w:t>
            </w:r>
          </w:p>
        </w:tc>
        <w:tc>
          <w:tcPr>
            <w:tcW w:type="dxa" w:w="2880"/>
          </w:tcPr>
          <w:p>
            <w:r>
              <w:t>Catalogage + lineage</w:t>
            </w:r>
          </w:p>
        </w:tc>
      </w:tr>
      <w:tr>
        <w:tc>
          <w:tcPr>
            <w:tcW w:type="dxa" w:w="2880"/>
          </w:tcPr>
          <w:p>
            <w:r>
              <w:t>Recrutement CDO + DPO</w:t>
            </w:r>
          </w:p>
        </w:tc>
        <w:tc>
          <w:tcPr>
            <w:tcW w:type="dxa" w:w="2880"/>
          </w:tcPr>
          <w:p>
            <w:r>
              <w:t>350 000 EUR</w:t>
            </w:r>
          </w:p>
        </w:tc>
        <w:tc>
          <w:tcPr>
            <w:tcW w:type="dxa" w:w="2880"/>
          </w:tcPr>
          <w:p>
            <w:r>
              <w:t>2 postes senior</w:t>
            </w:r>
          </w:p>
        </w:tc>
      </w:tr>
      <w:tr>
        <w:tc>
          <w:tcPr>
            <w:tcW w:type="dxa" w:w="2880"/>
          </w:tcPr>
          <w:p>
            <w:r>
              <w:t>Formation équipes</w:t>
            </w:r>
          </w:p>
        </w:tc>
        <w:tc>
          <w:tcPr>
            <w:tcW w:type="dxa" w:w="2880"/>
          </w:tcPr>
          <w:p>
            <w:r>
              <w:t>50 000 EUR</w:t>
            </w:r>
          </w:p>
        </w:tc>
        <w:tc>
          <w:tcPr>
            <w:tcW w:type="dxa" w:w="2880"/>
          </w:tcPr>
          <w:p>
            <w:r>
              <w:t>E-learning + ateliers</w:t>
            </w:r>
          </w:p>
        </w:tc>
      </w:tr>
      <w:tr>
        <w:tc>
          <w:tcPr>
            <w:tcW w:type="dxa" w:w="2880"/>
          </w:tcPr>
          <w:p>
            <w:r>
              <w:t>Outils qualité (dbt Cloud)</w:t>
            </w:r>
          </w:p>
        </w:tc>
        <w:tc>
          <w:tcPr>
            <w:tcW w:type="dxa" w:w="2880"/>
          </w:tcPr>
          <w:p>
            <w:r>
              <w:t>80 000 EUR</w:t>
            </w:r>
          </w:p>
        </w:tc>
        <w:tc>
          <w:tcPr>
            <w:tcW w:type="dxa" w:w="2880"/>
          </w:tcPr>
          <w:p>
            <w:r>
              <w:t>Pipelines de tests</w:t>
            </w:r>
          </w:p>
        </w:tc>
      </w:tr>
      <w:tr>
        <w:tc>
          <w:tcPr>
            <w:tcW w:type="dxa" w:w="2880"/>
          </w:tcPr>
          <w:p>
            <w:r>
              <w:t>Audit de conformité externe</w:t>
            </w:r>
          </w:p>
        </w:tc>
        <w:tc>
          <w:tcPr>
            <w:tcW w:type="dxa" w:w="2880"/>
          </w:tcPr>
          <w:p>
            <w:r>
              <w:t>40 000 EUR</w:t>
            </w:r>
          </w:p>
        </w:tc>
        <w:tc>
          <w:tcPr>
            <w:tcW w:type="dxa" w:w="2880"/>
          </w:tcPr>
          <w:p>
            <w:r>
              <w:t>Certification PCI-DSS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