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b/>
          <w:bCs/>
          <w:sz w:val="40"/>
          <w:szCs w:val="40"/>
        </w:rPr>
        <w:t xml:space="preserve">Blood Bank Management System</w:t>
      </w:r>
    </w:p>
    <w:p>
      <w:pPr>
        <w:spacing w:before="220"/>
        <w:jc w:val="center"/>
      </w:pPr>
      <w:r>
        <w:rPr>
          <w:b/>
          <w:bCs/>
          <w:sz w:val="32"/>
          <w:szCs w:val="32"/>
        </w:rPr>
        <w:t xml:space="preserve">Software Architecture and Design Specification</w:t>
      </w:r>
    </w:p>
    <w:p>
      <w:pPr>
        <w:spacing w:before="140"/>
        <w:jc w:val="center"/>
      </w:pPr>
      <w:r>
        <w:rPr>
          <w:sz w:val="24"/>
          <w:szCs w:val="24"/>
        </w:rPr>
        <w:t xml:space="preserve">Part C Software Architecture and Design Specification</w:t>
      </w:r>
    </w:p>
    <w:p>
      <w:pPr>
        <w:spacing w:before="500"/>
        <w:jc w:val="center"/>
      </w:pPr>
      <w:r>
        <w:rPr>
          <w:sz w:val="24"/>
          <w:szCs w:val="24"/>
        </w:rPr>
        <w:t xml:space="preserve">Course UE24CS341A Software Engineering</w:t>
      </w:r>
    </w:p>
    <w:p>
      <w:pPr>
        <w:jc w:val="center"/>
      </w:pPr>
      <w:r>
        <w:rPr>
          <w:sz w:val="24"/>
          <w:szCs w:val="24"/>
        </w:rPr>
        <w:t xml:space="preserve">Document identifier BBMS SADS 1.0</w:t>
      </w:r>
    </w:p>
    <w:p>
      <w:pPr>
        <w:spacing w:after="500"/>
        <w:jc w:val="center"/>
      </w:pPr>
      <w:r>
        <w:rPr>
          <w:sz w:val="24"/>
          <w:szCs w:val="24"/>
        </w:rPr>
        <w:t xml:space="preserve">Version 1.0    29 September 2026</w:t>
      </w:r>
    </w:p>
    <w:p>
      <w:pPr>
        <w:jc w:val="center"/>
      </w:pPr>
      <w:r>
        <w:rPr>
          <w:sz w:val="24"/>
          <w:szCs w:val="24"/>
        </w:rPr>
        <w:t xml:space="preserve">Nimay Balal    PES1UG24CS301</w:t>
      </w:r>
    </w:p>
    <w:p>
      <w:pPr>
        <w:jc w:val="center"/>
      </w:pPr>
      <w:r>
        <w:rPr>
          <w:sz w:val="24"/>
          <w:szCs w:val="24"/>
        </w:rPr>
        <w:t xml:space="preserve">Nikita Mankani    PES1UG24CS300</w:t>
      </w:r>
    </w:p>
    <w:p>
      <w:pPr>
        <w:jc w:val="center"/>
      </w:pPr>
      <w:r>
        <w:rPr>
          <w:sz w:val="24"/>
          <w:szCs w:val="24"/>
        </w:rPr>
        <w:t xml:space="preserve">Niyatee Singh    PES1UG24CS305</w:t>
      </w:r>
    </w:p>
    <w:p>
      <w:pPr>
        <w:jc w:val="center"/>
      </w:pPr>
      <w:r>
        <w:rPr>
          <w:sz w:val="24"/>
          <w:szCs w:val="24"/>
        </w:rPr>
        <w:t xml:space="preserve">Nishitha S    PES1UG24CS304</w:t>
      </w: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Item</w:t>
            </w:r>
          </w:p>
        </w:tc>
        <w:tc>
          <w:tcPr>
            <w:tcW w:type="dxa" w:w="677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Value</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Document title</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Software Architecture and Design Specification</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Document identifier</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BBMS SADS 1.0</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Version</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1.0</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Status</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Submission copy</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Prepared by</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Nimay Balal, Nikita Mankani, Niyatee Singh and Nishitha S</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Course</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UE24CS341A Software Engineering</w:t>
            </w:r>
          </w:p>
        </w:tc>
      </w:tr>
      <w:tr>
        <w:trPr>
          <w:cantSplit/>
        </w:trPr>
        <w:tc>
          <w:tcPr>
            <w:tcW w:type="dxa" w:w="225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System scope</w:t>
            </w:r>
          </w:p>
        </w:tc>
        <w:tc>
          <w:tcPr>
            <w:tcW w:type="dxa" w:w="677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Architecture, components, data model, security controls, interactions and APIs</w:t>
            </w:r>
          </w:p>
        </w:tc>
      </w:tr>
    </w:tbl>
    <w:p>
      <w:pPr>
        <w:spacing w:after="160"/>
      </w:pP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9"/>
        <w:gridCol w:w="1951"/>
        <w:gridCol w:w="4147"/>
        <w:gridCol w:w="1709"/>
      </w:tblGrid>
      <w:tr>
        <w:trPr>
          <w:tblHeader/>
        </w:trPr>
        <w:tc>
          <w:tcPr>
            <w:tcW w:type="dxa" w:w="121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Version</w:t>
            </w:r>
          </w:p>
        </w:tc>
        <w:tc>
          <w:tcPr>
            <w:tcW w:type="dxa" w:w="1951"/>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Date</w:t>
            </w:r>
          </w:p>
        </w:tc>
        <w:tc>
          <w:tcPr>
            <w:tcW w:type="dxa" w:w="4147"/>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Description</w:t>
            </w:r>
          </w:p>
        </w:tc>
        <w:tc>
          <w:tcPr>
            <w:tcW w:type="dxa" w:w="170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Authors</w:t>
            </w:r>
          </w:p>
        </w:tc>
      </w:tr>
      <w:tr>
        <w:trPr>
          <w:cantSplit/>
        </w:trPr>
        <w:tc>
          <w:tcPr>
            <w:tcW w:type="dxa" w:w="121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1.0</w:t>
            </w:r>
          </w:p>
        </w:tc>
        <w:tc>
          <w:tcPr>
            <w:tcW w:type="dxa" w:w="195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29 September 2026</w:t>
            </w:r>
          </w:p>
        </w:tc>
        <w:tc>
          <w:tcPr>
            <w:tcW w:type="dxa" w:w="414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 part c software architecture and design specification for Part 1 submission</w:t>
            </w:r>
          </w:p>
        </w:tc>
        <w:tc>
          <w:tcPr>
            <w:tcW w:type="dxa" w:w="170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Project team</w:t>
            </w:r>
          </w:p>
        </w:tc>
      </w:tr>
    </w:tbl>
    <w:p>
      <w:pPr>
        <w:spacing w:after="160"/>
      </w:pPr>
    </w:p>
    <w:p>
      <w:pPr>
        <w:pStyle w:val="Heading2"/>
      </w:pPr>
      <w:r>
        <w:t xml:space="preserve">Approval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4"/>
        <w:gridCol w:w="2735"/>
        <w:gridCol w:w="2735"/>
        <w:gridCol w:w="1642"/>
      </w:tblGrid>
      <w:tr>
        <w:trPr>
          <w:tblHeader/>
        </w:trPr>
        <w:tc>
          <w:tcPr>
            <w:tcW w:type="dxa" w:w="1914"/>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Role</w:t>
            </w:r>
          </w:p>
        </w:tc>
        <w:tc>
          <w:tcPr>
            <w:tcW w:type="dxa" w:w="273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Name</w:t>
            </w:r>
          </w:p>
        </w:tc>
        <w:tc>
          <w:tcPr>
            <w:tcW w:type="dxa" w:w="273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Signature</w:t>
            </w:r>
          </w:p>
        </w:tc>
        <w:tc>
          <w:tcPr>
            <w:tcW w:type="dxa" w:w="164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Date</w:t>
            </w: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Faculty evaluator</w:t>
            </w: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164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r>
      <w:tr>
        <w:trPr>
          <w:cantSplit/>
        </w:trPr>
        <w:tc>
          <w:tcPr>
            <w:tcW w:type="dxa" w:w="191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Team representative</w:t>
            </w: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273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c>
          <w:tcPr>
            <w:tcW w:type="dxa" w:w="164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1 Introduction</w:t>
      </w:r>
    </w:p>
    <w:p>
      <w:pPr>
        <w:pStyle w:val="Heading2"/>
        <w:keepNext/>
      </w:pPr>
      <w:r>
        <w:t xml:space="preserve">1.1 Purpose</w:t>
      </w:r>
    </w:p>
    <w:p>
      <w:pPr>
        <w:spacing w:after="140"/>
        <w:jc w:val="both"/>
      </w:pPr>
      <w:r>
        <w:t xml:space="preserve">This specification describes the architecture, components, data model, security controls, interactions, APIs and error-handling design used to satisfy the requirements defined in the Software Requirements Specification, document identifier BBMS SRS 1.0.</w:t>
      </w:r>
    </w:p>
    <w:p>
      <w:pPr>
        <w:pStyle w:val="Heading2"/>
        <w:keepNext/>
      </w:pPr>
      <w:r>
        <w:t xml:space="preserve">1.2 Design Scope</w:t>
      </w:r>
    </w:p>
    <w:p>
      <w:pPr>
        <w:spacing w:after="140"/>
        <w:jc w:val="both"/>
      </w:pPr>
      <w:r>
        <w:t xml:space="preserve">The design covers a Django and PostgreSQL web application deployed behind Nginx. It focuses on a semester-scale system while preserving clear module boundaries and branch-aware data for later growth.</w:t>
      </w:r>
    </w:p>
    <w:p>
      <w:pPr>
        <w:pStyle w:val="Heading2"/>
        <w:keepNext/>
      </w:pPr>
      <w:r>
        <w:t xml:space="preserve">1.3 Design Principles</w:t>
      </w:r>
    </w:p>
    <w:p>
      <w:pPr>
        <w:pStyle w:val="ListParagraph"/>
        <w:numPr>
          <w:ilvl w:val="0"/>
          <w:numId w:val="2"/>
        </w:numPr>
        <w:spacing w:after="60"/>
      </w:pPr>
      <w:r>
        <w:t xml:space="preserve">Keep business rules outside browser templates and database views.</w:t>
      </w:r>
    </w:p>
    <w:p>
      <w:pPr>
        <w:pStyle w:val="ListParagraph"/>
        <w:numPr>
          <w:ilvl w:val="0"/>
          <w:numId w:val="2"/>
        </w:numPr>
        <w:spacing w:after="60"/>
      </w:pPr>
      <w:r>
        <w:t xml:space="preserve">Enforce authorization and validation on the server.</w:t>
      </w:r>
    </w:p>
    <w:p>
      <w:pPr>
        <w:pStyle w:val="ListParagraph"/>
        <w:numPr>
          <w:ilvl w:val="0"/>
          <w:numId w:val="2"/>
        </w:numPr>
        <w:spacing w:after="60"/>
      </w:pPr>
      <w:r>
        <w:t xml:space="preserve">Use transactions for reservation, issue and other multi-record state changes.</w:t>
      </w:r>
    </w:p>
    <w:p>
      <w:pPr>
        <w:pStyle w:val="ListParagraph"/>
        <w:numPr>
          <w:ilvl w:val="0"/>
          <w:numId w:val="2"/>
        </w:numPr>
        <w:spacing w:after="60"/>
      </w:pPr>
      <w:r>
        <w:t xml:space="preserve">Keep eligibility and shelf-life rules configurable and auditable.</w:t>
      </w:r>
    </w:p>
    <w:p>
      <w:pPr>
        <w:pStyle w:val="ListParagraph"/>
        <w:numPr>
          <w:ilvl w:val="0"/>
          <w:numId w:val="2"/>
        </w:numPr>
        <w:spacing w:after="60"/>
      </w:pPr>
      <w:r>
        <w:t xml:space="preserve">Expose the minimum information required for each role.</w:t>
      </w:r>
    </w:p>
    <w:p>
      <w:pPr>
        <w:pStyle w:val="Heading1"/>
        <w:keepNext/>
      </w:pPr>
      <w:r>
        <w:t xml:space="preserve">2 Architectural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2"/>
        <w:gridCol w:w="5824"/>
      </w:tblGrid>
      <w:tr>
        <w:trPr>
          <w:tblHeader/>
        </w:trPr>
        <w:tc>
          <w:tcPr>
            <w:tcW w:type="dxa" w:w="320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Driver</w:t>
            </w:r>
          </w:p>
        </w:tc>
        <w:tc>
          <w:tcPr>
            <w:tcW w:type="dxa" w:w="5824"/>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Design response</w:t>
            </w:r>
          </w:p>
        </w:tc>
      </w:tr>
      <w:tr>
        <w:trPr>
          <w:cantSplit/>
        </w:trPr>
        <w:tc>
          <w:tcPr>
            <w:tcW w:type="dxa" w:w="32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Sensitive donor and medical data</w:t>
            </w:r>
          </w:p>
        </w:tc>
        <w:tc>
          <w:tcPr>
            <w:tcW w:type="dxa" w:w="582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RBAC, branch scope, HTTPS, minimal disclosure and audit logging</w:t>
            </w:r>
          </w:p>
        </w:tc>
      </w:tr>
      <w:tr>
        <w:trPr>
          <w:cantSplit/>
        </w:trPr>
        <w:tc>
          <w:tcPr>
            <w:tcW w:type="dxa" w:w="32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integrity</w:t>
            </w:r>
          </w:p>
        </w:tc>
        <w:tc>
          <w:tcPr>
            <w:tcW w:type="dxa" w:w="582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State machine, database constraints and transactional reservation and issue</w:t>
            </w:r>
          </w:p>
        </w:tc>
      </w:tr>
      <w:tr>
        <w:trPr>
          <w:cantSplit/>
        </w:trPr>
        <w:tc>
          <w:tcPr>
            <w:tcW w:type="dxa" w:w="32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Changing operational rules</w:t>
            </w:r>
          </w:p>
        </w:tc>
        <w:tc>
          <w:tcPr>
            <w:tcW w:type="dxa" w:w="582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Configuration tables and rule service</w:t>
            </w:r>
          </w:p>
        </w:tc>
      </w:tr>
      <w:tr>
        <w:trPr>
          <w:cantSplit/>
        </w:trPr>
        <w:tc>
          <w:tcPr>
            <w:tcW w:type="dxa" w:w="32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Semester implementation scope</w:t>
            </w:r>
          </w:p>
        </w:tc>
        <w:tc>
          <w:tcPr>
            <w:tcW w:type="dxa" w:w="582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Modular monolith rather than distributed services</w:t>
            </w:r>
          </w:p>
        </w:tc>
      </w:tr>
      <w:tr>
        <w:trPr>
          <w:cantSplit/>
        </w:trPr>
        <w:tc>
          <w:tcPr>
            <w:tcW w:type="dxa" w:w="32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Future branch expansion</w:t>
            </w:r>
          </w:p>
        </w:tc>
        <w:tc>
          <w:tcPr>
            <w:tcW w:type="dxa" w:w="582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Branch identifiers and scoped queries in the initial schema</w:t>
            </w:r>
          </w:p>
        </w:tc>
      </w:tr>
      <w:tr>
        <w:trPr>
          <w:cantSplit/>
        </w:trPr>
        <w:tc>
          <w:tcPr>
            <w:tcW w:type="dxa" w:w="320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Testability</w:t>
            </w:r>
          </w:p>
        </w:tc>
        <w:tc>
          <w:tcPr>
            <w:tcW w:type="dxa" w:w="582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Service-layer functions and explicit component interfaces</w:t>
            </w:r>
          </w:p>
        </w:tc>
      </w:tr>
    </w:tbl>
    <w:p>
      <w:pPr>
        <w:spacing w:after="100"/>
      </w:pPr>
    </w:p>
    <w:p>
      <w:pPr>
        <w:pStyle w:val="Heading1"/>
        <w:keepNext/>
      </w:pPr>
      <w:r>
        <w:t xml:space="preserve">3 Architecture Description</w:t>
      </w:r>
    </w:p>
    <w:p>
      <w:pPr>
        <w:pStyle w:val="Heading2"/>
        <w:keepNext/>
      </w:pPr>
      <w:r>
        <w:t xml:space="preserve">3.1 Selected Pattern</w:t>
      </w:r>
    </w:p>
    <w:p>
      <w:pPr>
        <w:spacing w:after="140"/>
        <w:jc w:val="both"/>
      </w:pPr>
      <w:r>
        <w:t xml:space="preserve">The system uses a layered modular monolith. Browser-facing views call service-layer modules, service modules apply business rules and data-access code uses the Django object-relational mapper. This pattern is appropriate for a small team because deployment remains simple while domain boundaries remain testable.</w:t>
      </w:r>
    </w:p>
    <w:p>
      <w:pPr>
        <w:pStyle w:val="Heading2"/>
        <w:keepNext/>
      </w:pPr>
      <w:r>
        <w:t xml:space="preserve">3.2 Layer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tblHeader/>
        </w:trPr>
        <w:tc>
          <w:tcPr>
            <w:tcW w:type="dxa" w:w="2406"/>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Layer</w:t>
            </w:r>
          </w:p>
        </w:tc>
        <w:tc>
          <w:tcPr>
            <w:tcW w:type="dxa" w:w="662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Responsibilities</w:t>
            </w:r>
          </w:p>
        </w:tc>
      </w:tr>
      <w:tr>
        <w:trPr>
          <w:cantSplit/>
        </w:trPr>
        <w:tc>
          <w:tcPr>
            <w:tcW w:type="dxa" w:w="240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Presentation</w:t>
            </w:r>
          </w:p>
        </w:tc>
        <w:tc>
          <w:tcPr>
            <w:tcW w:type="dxa" w:w="66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Django views, templates, forms, API serializers and role-specific navigation</w:t>
            </w:r>
          </w:p>
        </w:tc>
      </w:tr>
      <w:tr>
        <w:trPr>
          <w:cantSplit/>
        </w:trPr>
        <w:tc>
          <w:tcPr>
            <w:tcW w:type="dxa" w:w="240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Application services</w:t>
            </w:r>
          </w:p>
        </w:tc>
        <w:tc>
          <w:tcPr>
            <w:tcW w:type="dxa" w:w="66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Use-case orchestration, authorization checks and transaction boundaries</w:t>
            </w:r>
          </w:p>
        </w:tc>
      </w:tr>
      <w:tr>
        <w:trPr>
          <w:cantSplit/>
        </w:trPr>
        <w:tc>
          <w:tcPr>
            <w:tcW w:type="dxa" w:w="240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Domain services</w:t>
            </w:r>
          </w:p>
        </w:tc>
        <w:tc>
          <w:tcPr>
            <w:tcW w:type="dxa" w:w="66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Eligibility, unit lifecycle, compatibility, request workflow and alert rules</w:t>
            </w:r>
          </w:p>
        </w:tc>
      </w:tr>
      <w:tr>
        <w:trPr>
          <w:cantSplit/>
        </w:trPr>
        <w:tc>
          <w:tcPr>
            <w:tcW w:type="dxa" w:w="240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Data access</w:t>
            </w:r>
          </w:p>
        </w:tc>
        <w:tc>
          <w:tcPr>
            <w:tcW w:type="dxa" w:w="66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Django models, query services, constraints and migrations</w:t>
            </w:r>
          </w:p>
        </w:tc>
      </w:tr>
      <w:tr>
        <w:trPr>
          <w:cantSplit/>
        </w:trPr>
        <w:tc>
          <w:tcPr>
            <w:tcW w:type="dxa" w:w="2406"/>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Infrastructure</w:t>
            </w:r>
          </w:p>
        </w:tc>
        <w:tc>
          <w:tcPr>
            <w:tcW w:type="dxa" w:w="662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Email, scheduled tasks, logs, backups, Nginx and database connections</w:t>
            </w:r>
          </w:p>
        </w:tc>
      </w:tr>
    </w:tbl>
    <w:p>
      <w:pPr>
        <w:spacing w:after="100"/>
      </w:pPr>
    </w:p>
    <w:p>
      <w:pPr>
        <w:pStyle w:val="Heading2"/>
        <w:keepNext/>
      </w:pPr>
      <w:r>
        <w:t xml:space="preserve">3.3 Component Diagram</w:t>
      </w:r>
    </w:p>
    <w:p>
      <w:pPr>
        <w:keepNext/>
        <w:spacing w:before="140" w:line="240" w:lineRule="auto"/>
        <w:jc w:val="center"/>
      </w:pPr>
      <w:r>
        <w:drawing>
          <wp:inline distT="0" distB="0" distL="0" distR="0">
            <wp:extent cx="5667375" cy="3162300"/>
            <wp:effectExtent t="0" r="0" b="0" l="0"/>
            <wp:docPr id="1" name="Component diagram"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62300"/>
                    </a:xfrm>
                    <a:prstGeom prst="rect">
                      <a:avLst/>
                    </a:prstGeom>
                  </pic:spPr>
                </pic:pic>
              </a:graphicData>
            </a:graphic>
          </wp:inline>
        </w:drawing>
      </w:r>
    </w:p>
    <w:p>
      <w:pPr>
        <w:spacing w:after="220"/>
        <w:jc w:val="center"/>
      </w:pPr>
      <w:r>
        <w:rPr>
          <w:i/>
          <w:iCs/>
          <w:sz w:val="19"/>
          <w:szCs w:val="19"/>
        </w:rPr>
        <w:t xml:space="preserve">Figure 1 Component diagram</w:t>
      </w:r>
    </w:p>
    <w:p>
      <w:pPr>
        <w:pStyle w:val="Heading2"/>
        <w:keepNext/>
      </w:pPr>
      <w:r>
        <w:t xml:space="preserve">3.4 Deployment View</w:t>
      </w:r>
    </w:p>
    <w:p>
      <w:pPr>
        <w:spacing w:after="140"/>
        <w:jc w:val="both"/>
      </w:pPr>
      <w:r>
        <w:t xml:space="preserve">A browser connects to Nginx over HTTPS. Nginx forwards application traffic to Gunicorn workers running Django. Django uses a restricted database account to connect to PostgreSQL. Scheduled tasks share application code but run under a separate process. Email and backup storage use distinct restricted credentials.</w:t>
      </w:r>
    </w:p>
    <w:p>
      <w:pPr>
        <w:pStyle w:val="Heading1"/>
        <w:keepNext/>
      </w:pPr>
      <w:r>
        <w:t xml:space="preserve">4 Component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3760"/>
        <w:gridCol w:w="2759"/>
      </w:tblGrid>
      <w:tr>
        <w:trPr>
          <w:tblHeader/>
        </w:trPr>
        <w:tc>
          <w:tcPr>
            <w:tcW w:type="dxa" w:w="2507"/>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Component</w:t>
            </w:r>
          </w:p>
        </w:tc>
        <w:tc>
          <w:tcPr>
            <w:tcW w:type="dxa" w:w="376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Main responsibilities</w:t>
            </w:r>
          </w:p>
        </w:tc>
        <w:tc>
          <w:tcPr>
            <w:tcW w:type="dxa" w:w="275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Requirement allocation</w:t>
            </w:r>
          </w:p>
        </w:tc>
      </w:tr>
      <w:tr>
        <w:trPr>
          <w:cantSplit/>
        </w:trPr>
        <w:tc>
          <w:tcPr>
            <w:tcW w:type="dxa" w:w="250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and Role Control</w:t>
            </w:r>
          </w:p>
        </w:tc>
        <w:tc>
          <w:tcPr>
            <w:tcW w:type="dxa" w:w="37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Login, lockout, sessions, account status and authorization</w:t>
            </w:r>
          </w:p>
        </w:tc>
        <w:tc>
          <w:tcPr>
            <w:tcW w:type="dxa" w:w="27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FR-25, FR-26, SEC-01 to SEC-05, SEC-10</w:t>
            </w:r>
          </w:p>
        </w:tc>
      </w:tr>
      <w:tr>
        <w:trPr>
          <w:cantSplit/>
        </w:trPr>
        <w:tc>
          <w:tcPr>
            <w:tcW w:type="dxa" w:w="250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and Appointment Service</w:t>
            </w:r>
          </w:p>
        </w:tc>
        <w:tc>
          <w:tcPr>
            <w:tcW w:type="dxa" w:w="37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Profiles, eligibility, deferrals, slots and donor history</w:t>
            </w:r>
          </w:p>
        </w:tc>
        <w:tc>
          <w:tcPr>
            <w:tcW w:type="dxa" w:w="27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FR-01 to FR-08</w:t>
            </w:r>
          </w:p>
        </w:tc>
      </w:tr>
      <w:tr>
        <w:trPr>
          <w:cantSplit/>
        </w:trPr>
        <w:tc>
          <w:tcPr>
            <w:tcW w:type="dxa" w:w="250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37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Collection, components, test panel and quarantine</w:t>
            </w:r>
          </w:p>
        </w:tc>
        <w:tc>
          <w:tcPr>
            <w:tcW w:type="dxa" w:w="27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FR-09 to FR-13</w:t>
            </w:r>
          </w:p>
        </w:tc>
      </w:tr>
      <w:tr>
        <w:trPr>
          <w:cantSplit/>
        </w:trPr>
        <w:tc>
          <w:tcPr>
            <w:tcW w:type="dxa" w:w="250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37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Unit states, expiry, search, requests, reservation, cross-match and issue</w:t>
            </w:r>
          </w:p>
        </w:tc>
        <w:tc>
          <w:tcPr>
            <w:tcW w:type="dxa" w:w="27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FR-14 to FR-24</w:t>
            </w:r>
          </w:p>
        </w:tc>
      </w:tr>
      <w:tr>
        <w:trPr>
          <w:cantSplit/>
        </w:trPr>
        <w:tc>
          <w:tcPr>
            <w:tcW w:type="dxa" w:w="250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Administration Service</w:t>
            </w:r>
          </w:p>
        </w:tc>
        <w:tc>
          <w:tcPr>
            <w:tcW w:type="dxa" w:w="37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Branches, configurable rules and thresholds</w:t>
            </w:r>
          </w:p>
        </w:tc>
        <w:tc>
          <w:tcPr>
            <w:tcW w:type="dxa" w:w="27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FR-27</w:t>
            </w:r>
          </w:p>
        </w:tc>
      </w:tr>
      <w:tr>
        <w:trPr>
          <w:cantSplit/>
        </w:trPr>
        <w:tc>
          <w:tcPr>
            <w:tcW w:type="dxa" w:w="250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Reporting and Audit Service</w:t>
            </w:r>
          </w:p>
        </w:tc>
        <w:tc>
          <w:tcPr>
            <w:tcW w:type="dxa" w:w="37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Reports and append-only application audit events</w:t>
            </w:r>
          </w:p>
        </w:tc>
        <w:tc>
          <w:tcPr>
            <w:tcW w:type="dxa" w:w="27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FR-28, FR-30, SEC-07</w:t>
            </w:r>
          </w:p>
        </w:tc>
      </w:tr>
      <w:tr>
        <w:trPr>
          <w:cantSplit/>
        </w:trPr>
        <w:tc>
          <w:tcPr>
            <w:tcW w:type="dxa" w:w="250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Notification and Task Service</w:t>
            </w:r>
          </w:p>
        </w:tc>
        <w:tc>
          <w:tcPr>
            <w:tcW w:type="dxa" w:w="376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Email, reminders, alerts, expiry task and backup trigger</w:t>
            </w:r>
          </w:p>
        </w:tc>
        <w:tc>
          <w:tcPr>
            <w:tcW w:type="dxa" w:w="27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FR-18, FR-29, NFR-04</w:t>
            </w:r>
          </w:p>
        </w:tc>
      </w:tr>
    </w:tbl>
    <w:p>
      <w:pPr>
        <w:spacing w:after="100"/>
      </w:pPr>
    </w:p>
    <w:p>
      <w:pPr>
        <w:pStyle w:val="Heading2"/>
        <w:keepNext/>
      </w:pPr>
      <w:r>
        <w:t xml:space="preserve">4.1 Unit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1"/>
        <w:gridCol w:w="3052"/>
        <w:gridCol w:w="3983"/>
      </w:tblGrid>
      <w:tr>
        <w:trPr>
          <w:tblHeader/>
        </w:trPr>
        <w:tc>
          <w:tcPr>
            <w:tcW w:type="dxa" w:w="1991"/>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Current state</w:t>
            </w:r>
          </w:p>
        </w:tc>
        <w:tc>
          <w:tcPr>
            <w:tcW w:type="dxa" w:w="305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Permitted next states</w:t>
            </w:r>
          </w:p>
        </w:tc>
        <w:tc>
          <w:tcPr>
            <w:tcW w:type="dxa" w:w="398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Condition</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Collected</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Testing or Discarded</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Testing begins or collection is rejected</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Testing</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Available, Quarantined or Discarded</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Mandatory panel and review determine outcome</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Available</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Reserved, Expired or Discarded</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Request allocation, time expiry or authorized disposal</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Reserved</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Available, Issued or Expired</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Reservation release, successful issue or expiry</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Issued</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None</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Terminal state</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Quarantined</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Discarded</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Authorized disposal</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Expired</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Discarded</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Authorized disposal</w:t>
            </w:r>
          </w:p>
        </w:tc>
      </w:tr>
      <w:tr>
        <w:trPr>
          <w:cantSplit/>
        </w:trPr>
        <w:tc>
          <w:tcPr>
            <w:tcW w:type="dxa" w:w="199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Discarded</w:t>
            </w:r>
          </w:p>
        </w:tc>
        <w:tc>
          <w:tcPr>
            <w:tcW w:type="dxa" w:w="305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None</w:t>
            </w:r>
          </w:p>
        </w:tc>
        <w:tc>
          <w:tcPr>
            <w:tcW w:type="dxa" w:w="398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Terminal state</w:t>
            </w:r>
          </w:p>
        </w:tc>
      </w:tr>
    </w:tbl>
    <w:p>
      <w:pPr>
        <w:spacing w:after="100"/>
      </w:pPr>
    </w:p>
    <w:p>
      <w:pPr>
        <w:pStyle w:val="Heading2"/>
        <w:keepNext/>
      </w:pPr>
      <w:r>
        <w:t xml:space="preserve">4.2 Request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Current state</w:t>
            </w:r>
          </w:p>
        </w:tc>
        <w:tc>
          <w:tcPr>
            <w:tcW w:type="dxa" w:w="6018"/>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Permitted next states</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Pending</w:t>
            </w:r>
          </w:p>
        </w:tc>
        <w:tc>
          <w:tcPr>
            <w:tcW w:type="dxa" w:w="60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Approved, Rejected or Cancelled</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Approved</w:t>
            </w:r>
          </w:p>
        </w:tc>
        <w:tc>
          <w:tcPr>
            <w:tcW w:type="dxa" w:w="60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Partially Fulfilled, Fulfilled or Cancelled</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Partially Fulfilled</w:t>
            </w:r>
          </w:p>
        </w:tc>
        <w:tc>
          <w:tcPr>
            <w:tcW w:type="dxa" w:w="60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Fulfilled or Cancelled</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Fulfilled</w:t>
            </w:r>
          </w:p>
        </w:tc>
        <w:tc>
          <w:tcPr>
            <w:tcW w:type="dxa" w:w="60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None</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Rejected</w:t>
            </w:r>
          </w:p>
        </w:tc>
        <w:tc>
          <w:tcPr>
            <w:tcW w:type="dxa" w:w="60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None</w:t>
            </w:r>
          </w:p>
        </w:tc>
      </w:tr>
      <w:tr>
        <w:trPr>
          <w:cantSplit/>
        </w:trPr>
        <w:tc>
          <w:tcPr>
            <w:tcW w:type="dxa" w:w="300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Cancelled</w:t>
            </w:r>
          </w:p>
        </w:tc>
        <w:tc>
          <w:tcPr>
            <w:tcW w:type="dxa" w:w="60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None</w:t>
            </w:r>
          </w:p>
        </w:tc>
      </w:tr>
    </w:tbl>
    <w:p>
      <w:pPr>
        <w:spacing w:after="100"/>
      </w:pPr>
    </w:p>
    <w:p>
      <w:pPr>
        <w:pStyle w:val="Heading1"/>
        <w:keepNext/>
      </w:pPr>
      <w:r>
        <w:t xml:space="preserve">5 Data Design</w:t>
      </w:r>
    </w:p>
    <w:p>
      <w:pPr>
        <w:keepNext/>
        <w:spacing w:before="140" w:line="240" w:lineRule="auto"/>
        <w:jc w:val="center"/>
      </w:pPr>
      <w:r>
        <w:drawing>
          <wp:inline distT="0" distB="0" distL="0" distR="0">
            <wp:extent cx="5486400" cy="4305300"/>
            <wp:effectExtent t="0" r="0" b="0" l="0"/>
            <wp:docPr id="1" name="Logical data model" descr="Logical data model" title="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305300"/>
                    </a:xfrm>
                    <a:prstGeom prst="rect">
                      <a:avLst/>
                    </a:prstGeom>
                  </pic:spPr>
                </pic:pic>
              </a:graphicData>
            </a:graphic>
          </wp:inline>
        </w:drawing>
      </w:r>
    </w:p>
    <w:p>
      <w:pPr>
        <w:spacing w:after="220"/>
        <w:jc w:val="center"/>
      </w:pPr>
      <w:r>
        <w:rPr>
          <w:i/>
          <w:iCs/>
          <w:sz w:val="19"/>
          <w:szCs w:val="19"/>
        </w:rPr>
        <w:t xml:space="preserve">Figure 2 Logical data model</w:t>
      </w:r>
    </w:p>
    <w:p>
      <w:pPr>
        <w:pStyle w:val="Heading2"/>
        <w:keepNext/>
      </w:pPr>
      <w:r>
        <w:t xml:space="preserve">5.1 Database Constraints</w:t>
      </w:r>
    </w:p>
    <w:p>
      <w:pPr>
        <w:pStyle w:val="ListParagraph"/>
        <w:numPr>
          <w:ilvl w:val="0"/>
          <w:numId w:val="2"/>
        </w:numPr>
        <w:spacing w:after="60"/>
      </w:pPr>
      <w:r>
        <w:t xml:space="preserve">Unique constraints protect account email, donation ID and unit ID.</w:t>
      </w:r>
    </w:p>
    <w:p>
      <w:pPr>
        <w:pStyle w:val="ListParagraph"/>
        <w:numPr>
          <w:ilvl w:val="0"/>
          <w:numId w:val="2"/>
        </w:numPr>
        <w:spacing w:after="60"/>
      </w:pPr>
      <w:r>
        <w:t xml:space="preserve">Foreign keys prevent orphaned donation, result, request and issue records.</w:t>
      </w:r>
    </w:p>
    <w:p>
      <w:pPr>
        <w:pStyle w:val="ListParagraph"/>
        <w:numPr>
          <w:ilvl w:val="0"/>
          <w:numId w:val="2"/>
        </w:numPr>
        <w:spacing w:after="60"/>
      </w:pPr>
      <w:r>
        <w:t xml:space="preserve">Database checks restrict enumerated state values and positive quantities.</w:t>
      </w:r>
    </w:p>
    <w:p>
      <w:pPr>
        <w:pStyle w:val="ListParagraph"/>
        <w:numPr>
          <w:ilvl w:val="0"/>
          <w:numId w:val="2"/>
        </w:numPr>
        <w:spacing w:after="60"/>
      </w:pPr>
      <w:r>
        <w:t xml:space="preserve">A conditional unique constraint prevents more than one active reservation for a unit.</w:t>
      </w:r>
    </w:p>
    <w:p>
      <w:pPr>
        <w:pStyle w:val="ListParagraph"/>
        <w:numPr>
          <w:ilvl w:val="0"/>
          <w:numId w:val="2"/>
        </w:numPr>
        <w:spacing w:after="60"/>
      </w:pPr>
      <w:r>
        <w:t xml:space="preserve">Transactional service methods lock candidate unit rows during reservation and issue.</w:t>
      </w:r>
    </w:p>
    <w:p>
      <w:pPr>
        <w:pStyle w:val="Heading2"/>
        <w:keepNext/>
      </w:pPr>
      <w:r>
        <w:t xml:space="preserve">5.2 Audit Design</w:t>
      </w:r>
    </w:p>
    <w:p>
      <w:pPr>
        <w:spacing w:after="140"/>
        <w:jc w:val="both"/>
      </w:pPr>
      <w:r>
        <w:t xml:space="preserve">AuditEvent stores actor, branch, event type, affected record type, affected record ID, UTC timestamp, outcome and a structured summary of changed fields. Application roles have no update or delete path for this table. Database and backup access remain restricted to service accounts and designated administrators.</w:t>
      </w:r>
    </w:p>
    <w:p>
      <w:pPr>
        <w:pStyle w:val="Heading1"/>
        <w:keepNext/>
      </w:pPr>
      <w:r>
        <w:t xml:space="preserve">6 Security Architecture</w:t>
      </w:r>
    </w:p>
    <w:p>
      <w:pPr>
        <w:pStyle w:val="Heading2"/>
        <w:keepNext/>
      </w:pPr>
      <w:r>
        <w:t xml:space="preserve">6.1 Trust Boundaries</w:t>
      </w:r>
    </w:p>
    <w:p>
      <w:pPr>
        <w:pStyle w:val="ListParagraph"/>
        <w:numPr>
          <w:ilvl w:val="0"/>
          <w:numId w:val="2"/>
        </w:numPr>
        <w:spacing w:after="60"/>
      </w:pPr>
      <w:r>
        <w:t xml:space="preserve">The public network ends at Nginx, which terminates HTTPS and forwards only expected traffic.</w:t>
      </w:r>
    </w:p>
    <w:p>
      <w:pPr>
        <w:pStyle w:val="ListParagraph"/>
        <w:numPr>
          <w:ilvl w:val="0"/>
          <w:numId w:val="2"/>
        </w:numPr>
        <w:spacing w:after="60"/>
      </w:pPr>
      <w:r>
        <w:t xml:space="preserve">The Django application is the only normal path to the database.</w:t>
      </w:r>
    </w:p>
    <w:p>
      <w:pPr>
        <w:pStyle w:val="ListParagraph"/>
        <w:numPr>
          <w:ilvl w:val="0"/>
          <w:numId w:val="2"/>
        </w:numPr>
        <w:spacing w:after="60"/>
      </w:pPr>
      <w:r>
        <w:t xml:space="preserve">Email and backup services use separate credentials and receive only required data.</w:t>
      </w:r>
    </w:p>
    <w:p>
      <w:pPr>
        <w:pStyle w:val="ListParagraph"/>
        <w:numPr>
          <w:ilvl w:val="0"/>
          <w:numId w:val="2"/>
        </w:numPr>
        <w:spacing w:after="60"/>
      </w:pPr>
      <w:r>
        <w:t xml:space="preserve">Browser input is untrusted and is validated at form, serializer and service boundaries.</w:t>
      </w:r>
    </w:p>
    <w:p>
      <w:pPr>
        <w:pStyle w:val="Heading2"/>
        <w:keepNext/>
      </w:pPr>
      <w:r>
        <w:t xml:space="preserve">6.2 Authentication and Session Design</w:t>
      </w:r>
    </w:p>
    <w:p>
      <w:pPr>
        <w:spacing w:after="140"/>
        <w:jc w:val="both"/>
      </w:pPr>
      <w:r>
        <w:t xml:space="preserve">Django authentication provides password hashing and session management. The login service applies generic errors and account lockout. Session middleware applies inactivity timeout. Deactivation invalidates active sessions through a recorded account-status change.</w:t>
      </w:r>
    </w:p>
    <w:p>
      <w:pPr>
        <w:pStyle w:val="Heading2"/>
        <w:keepNext/>
      </w:pPr>
      <w:r>
        <w:t xml:space="preserve">6.3 Authorization Design</w:t>
      </w:r>
    </w:p>
    <w:p>
      <w:pPr>
        <w:spacing w:after="140"/>
        <w:jc w:val="both"/>
      </w:pPr>
      <w:r>
        <w:t xml:space="preserve">Each application service checks the account role, active status and branch scope before reading or changing protected records. Templates hide unauthorized actions, but server checks remain authoritative. Object-level filters prevent access by guessed identifiers.</w:t>
      </w:r>
    </w:p>
    <w:p>
      <w:pPr>
        <w:pStyle w:val="Heading2"/>
        <w:keepNext/>
      </w:pPr>
      <w:r>
        <w:t xml:space="preserve">6.4 Input and Output Protection</w:t>
      </w:r>
    </w:p>
    <w:p>
      <w:pPr>
        <w:spacing w:after="140"/>
        <w:jc w:val="both"/>
      </w:pPr>
      <w:r>
        <w:t xml:space="preserve">Django forms and serializers validate type, length, range and permitted values. CSRF tokens protect browser state changes. Templates use automatic output escaping. File upload is outside the initial release, which reduces the attack surface.</w:t>
      </w:r>
    </w:p>
    <w:p>
      <w:pPr>
        <w:pStyle w:val="Heading2"/>
        <w:keepNext/>
      </w:pPr>
      <w:r>
        <w:t xml:space="preserve">6.5 Logging Backup and Recovery</w:t>
      </w:r>
    </w:p>
    <w:p>
      <w:pPr>
        <w:spacing w:after="140"/>
        <w:jc w:val="both"/>
      </w:pPr>
      <w:r>
        <w:t xml:space="preserve">Security events and operational changes create structured audit records without passwords or unnecessary medical details. Backups are encrypted, access-controlled and periodically restored in the acceptance environment. Restoration evidence includes completion time and record comparison.</w:t>
      </w:r>
    </w:p>
    <w:p>
      <w:pPr>
        <w:pStyle w:val="Heading1"/>
        <w:keepNext/>
      </w:pPr>
      <w:r>
        <w:t xml:space="preserve">7 Sequence Design</w:t>
      </w:r>
    </w:p>
    <w:p>
      <w:pPr>
        <w:keepNext/>
        <w:spacing w:before="140" w:line="240" w:lineRule="auto"/>
        <w:jc w:val="center"/>
      </w:pPr>
      <w:r>
        <w:drawing>
          <wp:inline distT="0" distB="0" distL="0" distR="0">
            <wp:extent cx="5667375" cy="3676650"/>
            <wp:effectExtent t="0" r="0" b="0" l="0"/>
            <wp:docPr id="1" name="Sequence diagram for registration and eligibility" descr="Sequence diagram for registration and eligibility" title="Sequence diagram for registration and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676650"/>
                    </a:xfrm>
                    <a:prstGeom prst="rect">
                      <a:avLst/>
                    </a:prstGeom>
                  </pic:spPr>
                </pic:pic>
              </a:graphicData>
            </a:graphic>
          </wp:inline>
        </w:drawing>
      </w:r>
    </w:p>
    <w:p>
      <w:pPr>
        <w:spacing w:after="220"/>
        <w:jc w:val="center"/>
      </w:pPr>
      <w:r>
        <w:rPr>
          <w:i/>
          <w:iCs/>
          <w:sz w:val="19"/>
          <w:szCs w:val="19"/>
        </w:rPr>
        <w:t xml:space="preserve">Figure 3 Sequence diagram for registration and eligibility</w:t>
      </w:r>
    </w:p>
    <w:p>
      <w:pPr>
        <w:keepNext/>
        <w:spacing w:before="140" w:line="240" w:lineRule="auto"/>
        <w:jc w:val="center"/>
      </w:pPr>
      <w:r>
        <w:drawing>
          <wp:inline distT="0" distB="0" distL="0" distR="0">
            <wp:extent cx="5667375" cy="3676650"/>
            <wp:effectExtent t="0" r="0" b="0" l="0"/>
            <wp:docPr id="1" name="Sequence diagram for screening and inventory release" descr="Sequence diagram for screening and inventory release" title="Sequence diagram for screening and inventory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676650"/>
                    </a:xfrm>
                    <a:prstGeom prst="rect">
                      <a:avLst/>
                    </a:prstGeom>
                  </pic:spPr>
                </pic:pic>
              </a:graphicData>
            </a:graphic>
          </wp:inline>
        </w:drawing>
      </w:r>
    </w:p>
    <w:p>
      <w:pPr>
        <w:spacing w:after="220"/>
        <w:jc w:val="center"/>
      </w:pPr>
      <w:r>
        <w:rPr>
          <w:i/>
          <w:iCs/>
          <w:sz w:val="19"/>
          <w:szCs w:val="19"/>
        </w:rPr>
        <w:t xml:space="preserve">Figure 4 Sequence diagram for screening and inventory release</w:t>
      </w:r>
    </w:p>
    <w:p>
      <w:pPr>
        <w:keepNext/>
        <w:spacing w:before="140" w:line="240" w:lineRule="auto"/>
        <w:jc w:val="center"/>
      </w:pPr>
      <w:r>
        <w:drawing>
          <wp:inline distT="0" distB="0" distL="0" distR="0">
            <wp:extent cx="5667375" cy="3676650"/>
            <wp:effectExtent t="0" r="0" b="0" l="0"/>
            <wp:docPr id="1" name="Sequence diagram for request and issue" descr="Sequence diagram for request and issue" title="Sequence diagram for request and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676650"/>
                    </a:xfrm>
                    <a:prstGeom prst="rect">
                      <a:avLst/>
                    </a:prstGeom>
                  </pic:spPr>
                </pic:pic>
              </a:graphicData>
            </a:graphic>
          </wp:inline>
        </w:drawing>
      </w:r>
    </w:p>
    <w:p>
      <w:pPr>
        <w:spacing w:after="220"/>
        <w:jc w:val="center"/>
      </w:pPr>
      <w:r>
        <w:rPr>
          <w:i/>
          <w:iCs/>
          <w:sz w:val="19"/>
          <w:szCs w:val="19"/>
        </w:rPr>
        <w:t xml:space="preserve">Figure 5 Sequence diagram for request and issue</w:t>
      </w:r>
    </w:p>
    <w:p>
      <w:pPr>
        <w:pStyle w:val="Heading1"/>
        <w:keepNext/>
      </w:pPr>
      <w:r>
        <w:t xml:space="preserve">8 API Design</w:t>
      </w:r>
    </w:p>
    <w:p>
      <w:pPr>
        <w:pStyle w:val="Heading2"/>
        <w:keepNext/>
      </w:pPr>
      <w:r>
        <w:t xml:space="preserve">8.1 API Conventions</w:t>
      </w:r>
    </w:p>
    <w:p>
      <w:pPr>
        <w:pStyle w:val="ListParagraph"/>
        <w:numPr>
          <w:ilvl w:val="0"/>
          <w:numId w:val="2"/>
        </w:numPr>
        <w:spacing w:after="60"/>
      </w:pPr>
      <w:r>
        <w:t xml:space="preserve">The base path is /api/v1 and payloads use JSON.</w:t>
      </w:r>
    </w:p>
    <w:p>
      <w:pPr>
        <w:pStyle w:val="ListParagraph"/>
        <w:numPr>
          <w:ilvl w:val="0"/>
          <w:numId w:val="2"/>
        </w:numPr>
        <w:spacing w:after="60"/>
      </w:pPr>
      <w:r>
        <w:t xml:space="preserve">Authentication uses the same secure session as the web application for the first release.</w:t>
      </w:r>
    </w:p>
    <w:p>
      <w:pPr>
        <w:pStyle w:val="ListParagraph"/>
        <w:numPr>
          <w:ilvl w:val="0"/>
          <w:numId w:val="2"/>
        </w:numPr>
        <w:spacing w:after="60"/>
      </w:pPr>
      <w:r>
        <w:t xml:space="preserve">State-changing requests require CSRF protection and a valid authorized session.</w:t>
      </w:r>
    </w:p>
    <w:p>
      <w:pPr>
        <w:pStyle w:val="ListParagraph"/>
        <w:numPr>
          <w:ilvl w:val="0"/>
          <w:numId w:val="2"/>
        </w:numPr>
        <w:spacing w:after="60"/>
      </w:pPr>
      <w:r>
        <w:t xml:space="preserve">Validation errors use a stable error code and field-level details.</w:t>
      </w:r>
    </w:p>
    <w:p>
      <w:pPr>
        <w:pStyle w:val="ListParagraph"/>
        <w:numPr>
          <w:ilvl w:val="0"/>
          <w:numId w:val="2"/>
        </w:numPr>
        <w:spacing w:after="60"/>
      </w:pPr>
      <w:r>
        <w:t xml:space="preserve">Reservation and issue endpoints accept an idempotency key to reduce duplicate processing.</w:t>
      </w:r>
    </w:p>
    <w:p>
      <w:pPr>
        <w:pStyle w:val="Heading2"/>
        <w:keepNext/>
      </w:pPr>
      <w:r>
        <w:t xml:space="preserve">8.2 Endpoint Summary</w:t>
      </w:r>
    </w:p>
    <w:p>
      <w:pPr>
        <w:keepNext/>
        <w:spacing w:after="80" w:before="60"/>
        <w:jc w:val="center"/>
      </w:pPr>
      <w:r>
        <w:rPr>
          <w:b/>
          <w:bCs/>
          <w:sz w:val="19"/>
          <w:szCs w:val="19"/>
        </w:rPr>
        <w:t xml:space="preserve">Table 1 API endpoint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39"/>
        <w:gridCol w:w="2413"/>
        <w:gridCol w:w="1574"/>
        <w:gridCol w:w="2518"/>
        <w:gridCol w:w="1682"/>
      </w:tblGrid>
      <w:tr>
        <w:trPr>
          <w:tblHeader/>
        </w:trPr>
        <w:tc>
          <w:tcPr>
            <w:tcW w:type="dxa" w:w="83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Method</w:t>
            </w:r>
          </w:p>
        </w:tc>
        <w:tc>
          <w:tcPr>
            <w:tcW w:type="dxa" w:w="2413"/>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Path</w:t>
            </w:r>
          </w:p>
        </w:tc>
        <w:tc>
          <w:tcPr>
            <w:tcW w:type="dxa" w:w="1574"/>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Role</w:t>
            </w:r>
          </w:p>
        </w:tc>
        <w:tc>
          <w:tcPr>
            <w:tcW w:type="dxa" w:w="2518"/>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Purpose</w:t>
            </w:r>
          </w:p>
        </w:tc>
        <w:tc>
          <w:tcPr>
            <w:tcW w:type="dxa" w:w="168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Responses</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/api/v1/auth/login</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Public</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Authenticate an account and create a session</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200, 400, 401, 423</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/api/v1/donors</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Public</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Register a donor profile</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201, 400, 409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GET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/api/v1/donors/{id}/eligibility</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or 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Return eligibility decision and reasons</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200, 403, 404</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/api/v1/appointments</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Create an appointment</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201, 400, 409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PATCH</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/api/v1/appointments/{id}</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or 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Reschedule or cancel an appointment</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200, 400, 403, 409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/api/v1/donations</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Record a donation and component units</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201, 400, 403, 409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/api/v1/units/{id}/lab-results</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Record a screening result</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201, 400, 403, 409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GET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/api/v1/inventory</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 or Hospital 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Search authorized stock information</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200, 400, 403</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/api/v1/requests</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Hospital 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Create a blood request</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201, 400, 403</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PATCH</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/api/v1/requests/{id}/status</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Approve, reject or cancel a request</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200, 400, 403, 409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/api/v1/requests/{id}/reserve</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Reserve compatible units atomically</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200, 400, 403, 409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POST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/api/v1/issues</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Issue cross-matched units</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201, 400, 403, 409</w:t>
            </w:r>
          </w:p>
        </w:tc>
      </w:tr>
      <w:tr>
        <w:trPr>
          <w:cantSplit/>
        </w:trPr>
        <w:tc>
          <w:tcPr>
            <w:tcW w:type="dxa" w:w="83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GET</w:t>
            </w:r>
          </w:p>
        </w:tc>
        <w:tc>
          <w:tcPr>
            <w:tcW w:type="dxa" w:w="2413"/>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/api/v1/reports/inventory</w:t>
            </w:r>
          </w:p>
        </w:tc>
        <w:tc>
          <w:tcPr>
            <w:tcW w:type="dxa" w:w="1574"/>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Admin or Staff</w:t>
            </w:r>
          </w:p>
        </w:tc>
        <w:tc>
          <w:tcPr>
            <w:tcW w:type="dxa" w:w="251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Generate an inventory report</w:t>
            </w:r>
          </w:p>
        </w:tc>
        <w:tc>
          <w:tcPr>
            <w:tcW w:type="dxa" w:w="168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200, 400, 403</w:t>
            </w:r>
          </w:p>
        </w:tc>
      </w:tr>
    </w:tbl>
    <w:p>
      <w:pPr>
        <w:spacing w:after="100"/>
      </w:pPr>
    </w:p>
    <w:p>
      <w:pPr>
        <w:pStyle w:val="Heading2"/>
        <w:keepNext/>
      </w:pPr>
      <w:r>
        <w:t xml:space="preserve">8.3 Standard Error Body</w:t>
      </w:r>
    </w:p>
    <w:p>
      <w:pPr>
        <w:spacing w:after="140"/>
        <w:jc w:val="both"/>
      </w:pPr>
      <w:r>
        <w:t xml:space="preserve">An API error contains code, message, field_errors when relevant, correlation_id and timestamp. Messages do not expose stack traces, database details, password status or the existence of an unregistered account.</w:t>
      </w:r>
    </w:p>
    <w:p>
      <w:pPr>
        <w:pStyle w:val="Heading1"/>
        <w:keepNext/>
      </w:pPr>
      <w:r>
        <w:t xml:space="preserve">9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7"/>
        <w:gridCol w:w="2661"/>
        <w:gridCol w:w="2198"/>
        <w:gridCol w:w="2200"/>
      </w:tblGrid>
      <w:tr>
        <w:trPr>
          <w:tblHeader/>
        </w:trPr>
        <w:tc>
          <w:tcPr>
            <w:tcW w:type="dxa" w:w="1967"/>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Condition</w:t>
            </w:r>
          </w:p>
        </w:tc>
        <w:tc>
          <w:tcPr>
            <w:tcW w:type="dxa" w:w="2661"/>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System response</w:t>
            </w:r>
          </w:p>
        </w:tc>
        <w:tc>
          <w:tcPr>
            <w:tcW w:type="dxa" w:w="2198"/>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HTTP or UI result</w:t>
            </w:r>
          </w:p>
        </w:tc>
        <w:tc>
          <w:tcPr>
            <w:tcW w:type="dxa" w:w="2200"/>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Audit or log</w:t>
            </w:r>
          </w:p>
        </w:tc>
      </w:tr>
      <w:tr>
        <w:trPr>
          <w:cantSplit/>
        </w:trPr>
        <w:tc>
          <w:tcPr>
            <w:tcW w:type="dxa" w:w="196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Invalid field input</w:t>
            </w:r>
          </w:p>
        </w:tc>
        <w:tc>
          <w:tcPr>
            <w:tcW w:type="dxa" w:w="266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Reject before service execution</w:t>
            </w:r>
          </w:p>
        </w:tc>
        <w:tc>
          <w:tcPr>
            <w:tcW w:type="dxa" w:w="219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400 with field errors</w:t>
            </w:r>
          </w:p>
        </w:tc>
        <w:tc>
          <w:tcPr>
            <w:tcW w:type="dxa" w:w="22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Application log for repeated abuse only</w:t>
            </w:r>
          </w:p>
        </w:tc>
      </w:tr>
      <w:tr>
        <w:trPr>
          <w:cantSplit/>
        </w:trPr>
        <w:tc>
          <w:tcPr>
            <w:tcW w:type="dxa" w:w="196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Unauthenticated access</w:t>
            </w:r>
          </w:p>
        </w:tc>
        <w:tc>
          <w:tcPr>
            <w:tcW w:type="dxa" w:w="266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 not execute operation</w:t>
            </w:r>
          </w:p>
        </w:tc>
        <w:tc>
          <w:tcPr>
            <w:tcW w:type="dxa" w:w="219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401 or login redirect</w:t>
            </w:r>
          </w:p>
        </w:tc>
        <w:tc>
          <w:tcPr>
            <w:tcW w:type="dxa" w:w="22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event</w:t>
            </w:r>
          </w:p>
        </w:tc>
      </w:tr>
      <w:tr>
        <w:trPr>
          <w:cantSplit/>
        </w:trPr>
        <w:tc>
          <w:tcPr>
            <w:tcW w:type="dxa" w:w="196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Unauthorized access</w:t>
            </w:r>
          </w:p>
        </w:tc>
        <w:tc>
          <w:tcPr>
            <w:tcW w:type="dxa" w:w="266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 not disclose protected record</w:t>
            </w:r>
          </w:p>
        </w:tc>
        <w:tc>
          <w:tcPr>
            <w:tcW w:type="dxa" w:w="219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403 with generic message</w:t>
            </w:r>
          </w:p>
        </w:tc>
        <w:tc>
          <w:tcPr>
            <w:tcW w:type="dxa" w:w="22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audit event</w:t>
            </w:r>
          </w:p>
        </w:tc>
      </w:tr>
      <w:tr>
        <w:trPr>
          <w:cantSplit/>
        </w:trPr>
        <w:tc>
          <w:tcPr>
            <w:tcW w:type="dxa" w:w="196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Missing record</w:t>
            </w:r>
          </w:p>
        </w:tc>
        <w:tc>
          <w:tcPr>
            <w:tcW w:type="dxa" w:w="266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Return stable not-found response</w:t>
            </w:r>
          </w:p>
        </w:tc>
        <w:tc>
          <w:tcPr>
            <w:tcW w:type="dxa" w:w="219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404</w:t>
            </w:r>
          </w:p>
        </w:tc>
        <w:tc>
          <w:tcPr>
            <w:tcW w:type="dxa" w:w="22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Normal request log</w:t>
            </w:r>
          </w:p>
        </w:tc>
      </w:tr>
      <w:tr>
        <w:trPr>
          <w:cantSplit/>
        </w:trPr>
        <w:tc>
          <w:tcPr>
            <w:tcW w:type="dxa" w:w="196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State or concurrency conflict</w:t>
            </w:r>
          </w:p>
        </w:tc>
        <w:tc>
          <w:tcPr>
            <w:tcW w:type="dxa" w:w="266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Rollback and return current state</w:t>
            </w:r>
          </w:p>
        </w:tc>
        <w:tc>
          <w:tcPr>
            <w:tcW w:type="dxa" w:w="219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409</w:t>
            </w:r>
          </w:p>
        </w:tc>
        <w:tc>
          <w:tcPr>
            <w:tcW w:type="dxa" w:w="22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Operational audit event</w:t>
            </w:r>
          </w:p>
        </w:tc>
      </w:tr>
      <w:tr>
        <w:trPr>
          <w:cantSplit/>
        </w:trPr>
        <w:tc>
          <w:tcPr>
            <w:tcW w:type="dxa" w:w="196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Email failure</w:t>
            </w:r>
          </w:p>
        </w:tc>
        <w:tc>
          <w:tcPr>
            <w:tcW w:type="dxa" w:w="266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Record failure and schedule bounded retry</w:t>
            </w:r>
          </w:p>
        </w:tc>
        <w:tc>
          <w:tcPr>
            <w:tcW w:type="dxa" w:w="219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Primary transaction remains committed</w:t>
            </w:r>
          </w:p>
        </w:tc>
        <w:tc>
          <w:tcPr>
            <w:tcW w:type="dxa" w:w="22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Integration log</w:t>
            </w:r>
          </w:p>
        </w:tc>
      </w:tr>
      <w:tr>
        <w:trPr>
          <w:cantSplit/>
        </w:trPr>
        <w:tc>
          <w:tcPr>
            <w:tcW w:type="dxa" w:w="1967"/>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Database failure</w:t>
            </w:r>
          </w:p>
        </w:tc>
        <w:tc>
          <w:tcPr>
            <w:tcW w:type="dxa" w:w="2661"/>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Rollback transaction and show correlation ID</w:t>
            </w:r>
          </w:p>
        </w:tc>
        <w:tc>
          <w:tcPr>
            <w:tcW w:type="dxa" w:w="2198"/>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500 with generic message</w:t>
            </w:r>
          </w:p>
        </w:tc>
        <w:tc>
          <w:tcPr>
            <w:tcW w:type="dxa" w:w="2200"/>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Error log and administrator alert</w:t>
            </w:r>
          </w:p>
        </w:tc>
      </w:tr>
    </w:tbl>
    <w:p>
      <w:pPr>
        <w:spacing w:after="100"/>
      </w:pPr>
    </w:p>
    <w:p>
      <w:pPr>
        <w:pStyle w:val="Heading2"/>
        <w:keepNext/>
      </w:pPr>
      <w:r>
        <w:t xml:space="preserve">9.1 Exception Handling Rules</w:t>
      </w:r>
    </w:p>
    <w:p>
      <w:pPr>
        <w:pStyle w:val="ListParagraph"/>
        <w:numPr>
          <w:ilvl w:val="0"/>
          <w:numId w:val="2"/>
        </w:numPr>
        <w:spacing w:after="60"/>
      </w:pPr>
      <w:r>
        <w:t xml:space="preserve">Domain exceptions represent validation, authorization, state-transition and conflict errors.</w:t>
      </w:r>
    </w:p>
    <w:p>
      <w:pPr>
        <w:pStyle w:val="ListParagraph"/>
        <w:numPr>
          <w:ilvl w:val="0"/>
          <w:numId w:val="2"/>
        </w:numPr>
        <w:spacing w:after="60"/>
      </w:pPr>
      <w:r>
        <w:t xml:space="preserve">Views translate known exceptions into stable user messages and status codes.</w:t>
      </w:r>
    </w:p>
    <w:p>
      <w:pPr>
        <w:pStyle w:val="ListParagraph"/>
        <w:numPr>
          <w:ilvl w:val="0"/>
          <w:numId w:val="2"/>
        </w:numPr>
        <w:spacing w:after="60"/>
      </w:pPr>
      <w:r>
        <w:t xml:space="preserve">Unexpected exceptions are logged once with a correlation ID and produce a generic response.</w:t>
      </w:r>
    </w:p>
    <w:p>
      <w:pPr>
        <w:pStyle w:val="ListParagraph"/>
        <w:numPr>
          <w:ilvl w:val="0"/>
          <w:numId w:val="2"/>
        </w:numPr>
        <w:spacing w:after="60"/>
      </w:pPr>
      <w:r>
        <w:t xml:space="preserve">Transactions roll back whenever one step of reservation or issue fails.</w:t>
      </w:r>
    </w:p>
    <w:p>
      <w:pPr>
        <w:pStyle w:val="ListParagraph"/>
        <w:numPr>
          <w:ilvl w:val="0"/>
          <w:numId w:val="2"/>
        </w:numPr>
        <w:spacing w:after="60"/>
      </w:pPr>
      <w:r>
        <w:t xml:space="preserve">No exception message contains a password, secret, full medical history or database query.</w:t>
      </w:r>
    </w:p>
    <w:p>
      <w:pPr>
        <w:pStyle w:val="Heading1"/>
        <w:keepNext/>
      </w:pPr>
      <w:r>
        <w:t xml:space="preserve">10 Design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259"/>
        <w:gridCol w:w="3762"/>
      </w:tblGrid>
      <w:tr>
        <w:trPr>
          <w:tblHeader/>
        </w:trPr>
        <w:tc>
          <w:tcPr>
            <w:tcW w:type="dxa" w:w="200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Requirement group</w:t>
            </w:r>
          </w:p>
        </w:tc>
        <w:tc>
          <w:tcPr>
            <w:tcW w:type="dxa" w:w="325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Primary components</w:t>
            </w:r>
          </w:p>
        </w:tc>
        <w:tc>
          <w:tcPr>
            <w:tcW w:type="dxa" w:w="376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Design evidence</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FR-01 to FR-08</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Donor and Appointment Service</w:t>
            </w:r>
          </w:p>
        </w:tc>
        <w:tc>
          <w:tcPr>
            <w:tcW w:type="dxa" w:w="37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Use case UC-01, state validation and Figure 3</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FR-09 to FR-13</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Donation and Screening Service</w:t>
            </w:r>
          </w:p>
        </w:tc>
        <w:tc>
          <w:tcPr>
            <w:tcW w:type="dxa" w:w="37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UC-02, UC-03 and Figure 4</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FR-14 to FR-24</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Inventory and Request Service</w:t>
            </w:r>
          </w:p>
        </w:tc>
        <w:tc>
          <w:tcPr>
            <w:tcW w:type="dxa" w:w="37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State tables, UC-04, UC-05 and Figure 5</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FR-25 to FR-30</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Authentication, Administration, Reporting and Audit</w:t>
            </w:r>
          </w:p>
        </w:tc>
        <w:tc>
          <w:tcPr>
            <w:tcW w:type="dxa" w:w="37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Role matrix, API and error-handling design</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NFR-01 to NFR-12</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All layers and deployment</w:t>
            </w:r>
          </w:p>
        </w:tc>
        <w:tc>
          <w:tcPr>
            <w:tcW w:type="dxa" w:w="37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Performance limits, constraints, backup and compatibility design</w:t>
            </w:r>
          </w:p>
        </w:tc>
      </w:tr>
      <w:tr>
        <w:trPr>
          <w:cantSplit/>
        </w:trPr>
        <w:tc>
          <w:tcPr>
            <w:tcW w:type="dxa" w:w="20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SEC-01 to SEC-10</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37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Sections 6.1 to 6.5 and TC-S01 to TC-S03</w:t>
            </w:r>
          </w:p>
        </w:tc>
      </w:tr>
    </w:tbl>
    <w:p>
      <w:pPr>
        <w:spacing w:after="100"/>
      </w:pPr>
    </w:p>
    <w:p>
      <w:pPr>
        <w:pStyle w:val="Heading1"/>
        <w:keepNext/>
      </w:pPr>
      <w:r>
        <w:t xml:space="preserve">11 Design Decisions and Limitations</w:t>
      </w:r>
    </w:p>
    <w:p>
      <w:pPr>
        <w:pStyle w:val="ListParagraph"/>
        <w:numPr>
          <w:ilvl w:val="0"/>
          <w:numId w:val="2"/>
        </w:numPr>
        <w:spacing w:after="60"/>
      </w:pPr>
      <w:r>
        <w:t xml:space="preserve">A modular monolith avoids the operational cost of distributed services while retaining service boundaries.</w:t>
      </w:r>
    </w:p>
    <w:p>
      <w:pPr>
        <w:pStyle w:val="ListParagraph"/>
        <w:numPr>
          <w:ilvl w:val="0"/>
          <w:numId w:val="2"/>
        </w:numPr>
        <w:spacing w:after="60"/>
      </w:pPr>
      <w:r>
        <w:t xml:space="preserve">PostgreSQL is selected to remove the earlier unresolved database choice and to support constraints and transactions.</w:t>
      </w:r>
    </w:p>
    <w:p>
      <w:pPr>
        <w:pStyle w:val="ListParagraph"/>
        <w:numPr>
          <w:ilvl w:val="0"/>
          <w:numId w:val="2"/>
        </w:numPr>
        <w:spacing w:after="60"/>
      </w:pPr>
      <w:r>
        <w:t xml:space="preserve">Clinical analyser integration, barcode printing and national identity integration remain future work.</w:t>
      </w:r>
    </w:p>
    <w:p>
      <w:pPr>
        <w:pStyle w:val="ListParagraph"/>
        <w:numPr>
          <w:ilvl w:val="0"/>
          <w:numId w:val="2"/>
        </w:numPr>
        <w:spacing w:after="60"/>
      </w:pPr>
      <w:r>
        <w:t xml:space="preserve">The design requires professional approval of eligibility, shelf-life and retention configuration before operational use.</w:t>
      </w:r>
    </w:p>
    <w:p>
      <w:pPr>
        <w:pStyle w:val="Heading1"/>
        <w:keepNext/>
      </w:pPr>
      <w:r>
        <w:t xml:space="preserve">References</w:t>
      </w:r>
    </w:p>
    <w:p>
      <w:pPr>
        <w:spacing w:after="140"/>
        <w:jc w:val="both"/>
      </w:pPr>
      <w:r>
        <w:t xml:space="preserve">[1] ISO IEC IEEE 29148 2018, Systems and software engineering, Life cycle processes, Requirements engineering.</w:t>
      </w:r>
    </w:p>
    <w:p>
      <w:pPr>
        <w:spacing w:after="140"/>
        <w:jc w:val="both"/>
      </w:pPr>
      <w:r>
        <w:t xml:space="preserve">[2] IEEE 829 2008, Standard for Software and System Test Documentation, used as the course-aligned document structure. The standard has been superseded by the ISO IEC IEEE 29119 series.</w:t>
      </w:r>
    </w:p>
    <w:p>
      <w:pPr>
        <w:spacing w:after="140"/>
        <w:jc w:val="both"/>
      </w:pPr>
      <w:r>
        <w:t xml:space="preserve">[3] IEEE 1016 2009, Standard for Information Technology, Systems Design, Software Design Descriptions.</w:t>
      </w:r>
    </w:p>
    <w:p>
      <w:pPr>
        <w:spacing w:after="140"/>
        <w:jc w:val="both"/>
      </w:pPr>
      <w:r>
        <w:t xml:space="preserve">[4] Ministry of Health and Family Welfare, Government of India, National Standards for Blood Centres, Annexure 4 Criteria for Selection of Blood Donor.</w:t>
      </w:r>
    </w:p>
    <w:p>
      <w:pPr>
        <w:spacing w:after="140"/>
        <w:jc w:val="both"/>
      </w:pPr>
      <w:r>
        <w:t xml:space="preserve">[5] Central Drugs Standard Control Organization, Drugs and Cosmetics Act 1940 and Rules 1945, Schedule F provisions for blood banks.</w:t>
      </w:r>
    </w:p>
    <w:p>
      <w:pPr>
        <w:spacing w:after="140"/>
        <w:jc w:val="both"/>
      </w:pPr>
      <w:r>
        <w:t xml:space="preserve">[6] eRaktKosh, Ministry of Health and Family Welfare, overview of centralized donor, testing, inventory and notification functions.</w:t>
      </w:r>
    </w:p>
    <w:p>
      <w:pPr>
        <w:spacing w:after="140"/>
        <w:jc w:val="both"/>
      </w:pPr>
      <w:r>
        <w:t xml:space="preserve">[7] Django Software Foundation, Django documentation for authentication, security and database transactions.</w:t>
      </w:r>
    </w:p>
    <w:p>
      <w:pPr>
        <w:pStyle w:val="Heading1"/>
        <w:keepNext/>
      </w:pPr>
      <w:r>
        <w:t xml:space="preserve">Appendix A Compliance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62"/>
        <w:gridCol w:w="3259"/>
        <w:gridCol w:w="1505"/>
      </w:tblGrid>
      <w:tr>
        <w:trPr>
          <w:tblHeader/>
        </w:trPr>
        <w:tc>
          <w:tcPr>
            <w:tcW w:type="dxa" w:w="4262"/>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Deliverable requirement</w:t>
            </w:r>
          </w:p>
        </w:tc>
        <w:tc>
          <w:tcPr>
            <w:tcW w:type="dxa" w:w="3259"/>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Location in this document</w:t>
            </w:r>
          </w:p>
        </w:tc>
        <w:tc>
          <w:tcPr>
            <w:tcW w:type="dxa" w:w="1505"/>
            <w:tcBorders>
              <w:top w:val="single" w:color="000000" w:sz="4"/>
              <w:left w:val="single" w:color="000000" w:sz="4"/>
              <w:bottom w:val="single" w:color="000000" w:sz="4"/>
              <w:right w:val="single" w:color="000000" w:sz="4"/>
            </w:tcBorders>
            <w:shd w:fill="E8E8E8" w:color="auto" w:val="clear"/>
            <w:tcMar>
              <w:top w:type="dxa" w:w="60"/>
              <w:left w:type="dxa" w:w="110"/>
              <w:bottom w:type="dxa" w:w="60"/>
              <w:right w:type="dxa" w:w="110"/>
            </w:tcMar>
            <w:vAlign w:val="top"/>
          </w:tcPr>
          <w:p>
            <w:pPr>
              <w:spacing w:after="20"/>
              <w:jc w:val="center"/>
            </w:pPr>
            <w:r>
              <w:rPr>
                <w:b/>
                <w:bCs/>
                <w:sz w:val="19"/>
                <w:szCs w:val="19"/>
              </w:rPr>
              <w:t xml:space="preserve">Status</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Component diagram and description</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3.3, Figure 1 and Section 4</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Architecture pattern</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3.1</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Architecture traceability</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10</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Security architecture</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6</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At least two UML sequence diagrams</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7, Figures 3 to 5</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API design</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8</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r>
        <w:trPr>
          <w:cantSplit/>
        </w:trPr>
        <w:tc>
          <w:tcPr>
            <w:tcW w:type="dxa" w:w="4262"/>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Error handling</w:t>
            </w:r>
          </w:p>
        </w:tc>
        <w:tc>
          <w:tcPr>
            <w:tcW w:type="dxa" w:w="3259"/>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Section 9</w:t>
            </w:r>
          </w:p>
        </w:tc>
        <w:tc>
          <w:tcPr>
            <w:tcW w:type="dxa" w:w="1505"/>
            <w:tcBorders>
              <w:top w:val="single" w:color="000000" w:sz="4"/>
              <w:left w:val="single" w:color="000000" w:sz="4"/>
              <w:bottom w:val="single" w:color="000000" w:sz="4"/>
              <w:right w:val="single" w:color="000000" w:sz="4"/>
            </w:tcBorders>
            <w:tcMar>
              <w:top w:type="dxa" w:w="60"/>
              <w:left w:type="dxa" w:w="110"/>
              <w:bottom w:type="dxa" w:w="60"/>
              <w:right w:type="dxa" w:w="110"/>
            </w:tcMar>
            <w:vAlign w:val="top"/>
          </w:tcPr>
          <w:p>
            <w:pPr>
              <w:spacing w:after="20"/>
              <w:jc w:val="left"/>
            </w:pPr>
            <w:r>
              <w:rPr>
                <w:sz w:val="19"/>
                <w:szCs w:val="19"/>
              </w:rPr>
              <w:t xml:space="preserve">Complete</w:t>
            </w:r>
          </w:p>
        </w:tc>
      </w:tr>
    </w:tbl>
    <w:p>
      <w:pPr>
        <w:spacing w:after="100"/>
      </w:pP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18"/>
        <w:szCs w:val="18"/>
      </w:rPr>
      <w:t xml:space="preserve">Blood Bank Management System   Software Architecture and Design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80" w:before="170"/>
      <w:outlineLvl w:val="2"/>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deda0118578c77b4cb26382e7ccedd5f834cb1b.png"/><Relationship Id="rId12" Type="http://schemas.openxmlformats.org/officeDocument/2006/relationships/image" Target="media/41a59fcf988288eec32f083df9a29da340bfcf5d.png"/><Relationship Id="rId13" Type="http://schemas.openxmlformats.org/officeDocument/2006/relationships/image" Target="media/d965f50cdd031f3d5244763d91a566028f690049.png"/><Relationship Id="rId14" Type="http://schemas.openxmlformats.org/officeDocument/2006/relationships/image" Target="media/6d02894104fe4626fbef100e2ebeb69e5aab1e4e.png"/><Relationship Id="rId15" Type="http://schemas.openxmlformats.org/officeDocument/2006/relationships/image" Target="media/80ab0e1d38634ffa234f947b0f7acdfd0988ae2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2026-09-29T12:03:48.956Z</dcterms:created>
  <dcterms:modified xsi:type="dcterms:W3CDTF">2026-09-29T12:03:48.956Z</dcterms:modified>
</cp:coreProperties>
</file>

<file path=docProps/custom.xml><?xml version="1.0" encoding="utf-8"?>
<Properties xmlns="http://schemas.openxmlformats.org/officeDocument/2006/custom-properties" xmlns:vt="http://schemas.openxmlformats.org/officeDocument/2006/docPropsVTypes"/>
</file>