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1E2761"/>
          <w:sz w:val="44"/>
          <w:szCs w:val="44"/>
        </w:rPr>
        <w:t xml:space="preserve">Clinical HMS — External System Comparison</w:t>
      </w:r>
    </w:p>
    <w:p>
      <w:pPr>
        <w:spacing w:after="400"/>
        <w:jc w:val="center"/>
      </w:pPr>
      <w:r>
        <w:rPr>
          <w:b/>
          <w:bCs/>
          <w:color w:val="1E2761"/>
          <w:sz w:val="32"/>
          <w:szCs w:val="32"/>
        </w:rPr>
        <w:t xml:space="preserve">&amp; Feature Reuse Discovery</w:t>
      </w:r>
    </w:p>
    <w:p>
      <w:pPr>
        <w:spacing w:after="100"/>
        <w:jc w:val="center"/>
      </w:pPr>
      <w:r>
        <w:rPr>
          <w:i/>
          <w:iCs/>
          <w:sz w:val="22"/>
          <w:szCs w:val="22"/>
        </w:rPr>
        <w:t xml:space="preserve">Atomwalk HMS (our system) vs. two Atomwalk mobile companion apps (reference material)</w:t>
      </w:r>
    </w:p>
    <w:p>
      <w:pPr>
        <w:spacing w:after="1200"/>
        <w:jc w:val="center"/>
      </w:pPr>
      <w:r>
        <w:rPr>
          <w:color w:val="555555"/>
          <w:sz w:val="20"/>
          <w:szCs w:val="20"/>
        </w:rPr>
        <w:t xml:space="preserve">Prepared September 1, 2026</w:t>
      </w:r>
    </w:p>
    <w:p>
      <w:pPr>
        <w:spacing w:after="160"/>
      </w:pPr>
      <w:r>
        <w:t xml:space="preserve">Method note: this report was produced by (1) directly inspecting the Atomwalk HMS codebase (Django REST + React, multi-tenant, at D:\hospital_management_system — already the subject of a separate 19-phase code audit completed this session) and (2) reading, in full, two reverse-engineering reports supplied as reference material describing two Expo/React Native mobile applications also carrying the Atomwalk brand. Every claim below is tagged FACT (directly verified in one of the two codebases or in the supplied reports), INFERENCE (a reasonable conclusion that follows from those facts but isn't itself directly observed), or RECOMMENDATION (a judgment call about what to do). Where something could not be verified, it is stated plainly rather than guessed.</w:t>
      </w:r>
    </w:p>
    <w:p>
      <w:r>
        <w:br w:type="page"/>
      </w:r>
    </w:p>
    <w:p>
      <w:pPr>
        <w:pStyle w:val="Heading1"/>
        <w:spacing w:after="200" w:before="400"/>
      </w:pPr>
      <w:r>
        <w:t xml:space="preserve">0. What the Reference Material Actually Is</w:t>
      </w:r>
    </w:p>
    <w:p>
      <w:pPr>
        <w:spacing w:after="120"/>
      </w:pPr>
      <w:r>
        <w:rPr>
          <w:b/>
          <w:bCs/>
          <w:color w:val="1B7A3D"/>
        </w:rPr>
        <w:t xml:space="preserve">[FACT] </w:t>
      </w:r>
      <w:r>
        <w:t xml:space="preserve">The two supplied documents are reverse-engineering reports of two separate Expo/React Native mobile applications, both carrying Atomwalk branding: a doctor-facing app (“ATOMWALK Doctor App”, repo Doctor_HMS) and a patient-facing app (“Atomwalk Hospital Management”, repo health-care-Apps). Neither report includes backend source code.</w:t>
      </w:r>
    </w:p>
    <w:p>
      <w:pPr>
        <w:spacing w:after="120"/>
      </w:pPr>
      <w:r>
        <w:rPr>
          <w:b/>
          <w:bCs/>
          <w:color w:val="1B7A3D"/>
        </w:rPr>
        <w:t xml:space="preserve">[FACT] </w:t>
      </w:r>
      <w:r>
        <w:t xml:space="preserve">Both apps are thin mobile clients bolted onto a generic, pre-existing Atomwalk CRM/HR/product-catalog backend (endpoints at www.atomwalk.com/api and crm.atomwalk.com/api|hr_api), not a purpose-built clinical schema. Clinical concepts are modeled by repurposing generic CRM entities: a doctor is an “equipment” record, a patient is a “customer”, an in-patient admission is a “project”, a lab test is a “product/variation”, and an appointment is a “facility booking.”</w:t>
      </w:r>
    </w:p>
    <w:p>
      <w:pPr>
        <w:spacing w:after="120"/>
      </w:pPr>
      <w:r>
        <w:rPr>
          <w:b/>
          <w:bCs/>
          <w:color w:val="1B7A3D"/>
        </w:rPr>
        <w:t xml:space="preserve">[FACT] </w:t>
      </w:r>
      <w:r>
        <w:t xml:space="preserve">Of the roughly 24 screens across both apps, only about 11 have confirmed, real, end-to-end backend read/write integration. The rest — in-patient clinical detail, surgery/pre-op detail, medicine/music/exercise assignment, vitals entry, billing/payment, most of “profile edit” — are local-state UI prototypes: nothing typed into them is ever sent to a server or survives navigating away.</w:t>
      </w:r>
    </w:p>
    <w:p>
      <w:pPr>
        <w:spacing w:after="120"/>
      </w:pPr>
      <w:r>
        <w:rPr>
          <w:b/>
          <w:bCs/>
          <w:color w:val="B8860B"/>
        </w:rPr>
        <w:t xml:space="preserve">[INFERENCE] </w:t>
      </w:r>
      <w:r>
        <w:t xml:space="preserve">This is not an independent, more mature competing HMS to benchmark against feature-for-feature. It is, on the clinical/operational dimensions this HMS actually needs (EMR, billing, pharmacy, structured vitals/diagnosis, IPD, nursing, RBAC), a materially less complete system than the one already built at D:\hospital_management_system. Rule 3 of this brief (“do not assume the reference system is correct”) is taken seriously throughout: most of what follows is either (a) a small number of genuinely transferable UX/product ideas, or (b) a catalogue of concrete anti-patterns worth deliberately avoiding.</w:t>
      </w:r>
    </w:p>
    <w:p>
      <w:pPr>
        <w:spacing w:after="120"/>
      </w:pPr>
      <w:r>
        <w:rPr>
          <w:b/>
          <w:bCs/>
          <w:color w:val="B8860B"/>
        </w:rPr>
        <w:t xml:space="preserve">[INFERENCE] </w:t>
      </w:r>
      <w:r>
        <w:t xml:space="preserve">Where the reference material is genuinely useful is not in its clinical depth but in two things our HMS does not currently have at all: a native mobile channel, and a lightweight patient-engagement/task-adherence concept. Both are addressed in detail below.</w:t>
      </w:r>
    </w:p>
    <w:p>
      <w:pPr>
        <w:pStyle w:val="Heading1"/>
        <w:spacing w:after="200" w:before="400"/>
      </w:pPr>
      <w:r>
        <w:t xml:space="preserve">1. Our HMS, As It Actually Exists</w:t>
      </w:r>
    </w:p>
    <w:p>
      <w:pPr>
        <w:spacing w:after="160"/>
      </w:pPr>
      <w:r>
        <w:t xml:space="preserve">This section is a condensed model of the Atomwalk HMS codebase, grounded in direct code inspection carried out this session (the same inspection that produced the separate 19-phase discovery audit workbook). It is restated here only to the depth needed to support the comparison in the sections that follow — the audit workbook remains the canonical, exhaustive reference.</w:t>
      </w:r>
    </w:p>
    <w:p>
      <w:pPr>
        <w:pStyle w:val="Heading2"/>
        <w:spacing w:after="150" w:before="300"/>
      </w:pPr>
      <w:r>
        <w:t xml:space="preserve">1.1 Architecture</w:t>
      </w:r>
    </w:p>
    <w:p>
      <w:pPr>
        <w:spacing w:after="120"/>
      </w:pPr>
      <w:r>
        <w:rPr>
          <w:b/>
          <w:bCs/>
          <w:color w:val="1B7A3D"/>
        </w:rPr>
        <w:t xml:space="preserve">[FACT] </w:t>
      </w:r>
      <w:r>
        <w:t xml:space="preserve">Django REST Framework backend + React (Vite) SPA frontend. Multi-tenant: one shared “default” registry Postgres database (cross-tenant identity, indexes, HIE roadmap tables) plus one dedicated Postgres database per hospital tenant, selected per-request by a custom DB router reading the tenant claim out of the caller's JWT — not a client-supplied string.</w:t>
      </w:r>
    </w:p>
    <w:p>
      <w:pPr>
        <w:spacing w:after="120"/>
      </w:pPr>
      <w:r>
        <w:rPr>
          <w:b/>
          <w:bCs/>
          <w:color w:val="1B7A3D"/>
        </w:rPr>
        <w:t xml:space="preserve">[FACT] </w:t>
      </w:r>
      <w:r>
        <w:t xml:space="preserve">Roughly 9-10 distinct role-based login surfaces: patient portal, front-desk, nurse, doctor, pharmacist, lab-tech, hospital-admin, platform-admin, plus a custom-role “acts_as” bundling mechanism that lets one identity carry several roles at once (used for solo-clinic scenarios).</w:t>
      </w:r>
    </w:p>
    <w:p>
      <w:pPr>
        <w:spacing w:after="120"/>
      </w:pPr>
      <w:r>
        <w:rPr>
          <w:b/>
          <w:bCs/>
          <w:color w:val="1B7A3D"/>
        </w:rPr>
        <w:t xml:space="preserve">[FACT] </w:t>
      </w:r>
      <w:r>
        <w:t xml:space="preserve">Two independent, purpose-built RBAC layers exist: a live, hardcoded set of Is* DRF permission classes (the one actually enforced everywhere), and a fully-modeled but entirely unused table-driven Permission/Role/RolePermission system.</w:t>
      </w:r>
    </w:p>
    <w:p>
      <w:pPr>
        <w:spacing w:after="120"/>
      </w:pPr>
      <w:r>
        <w:rPr>
          <w:b/>
          <w:bCs/>
          <w:color w:val="1B7A3D"/>
        </w:rPr>
        <w:t xml:space="preserve">[FACT] </w:t>
      </w:r>
      <w:r>
        <w:t xml:space="preserve">Purpose-built clinical entities throughout: Patient / PatientIdentity (cross-hospital) / Appointment / Vitals / OPDEncounter / Prescription+Items / LabRequest+Report / Invoice+Payment / DoctorSchedule+AvailabilitySlot / Room+RoomAssignment — none of these are a repurposed generic CRM schema.</w:t>
      </w:r>
    </w:p>
    <w:p>
      <w:pPr>
        <w:pStyle w:val="Heading2"/>
        <w:spacing w:after="150" w:before="300"/>
      </w:pPr>
      <w:r>
        <w:t xml:space="preserve">1.2 What is real and working today</w:t>
      </w:r>
    </w:p>
    <w:p>
      <w:pPr>
        <w:pStyle w:val="ListParagraph"/>
        <w:numPr>
          <w:ilvl w:val="0"/>
          <w:numId w:val="1"/>
        </w:numPr>
        <w:spacing w:after="80"/>
      </w:pPr>
      <w:r>
        <w:t xml:space="preserve">Full OPD loop: registration → booking (with a working-days-aware calendar picker) → front-desk queue → vitals → doctor encounter → prescription/lab order (with an in-house vs. outside-fulfilment choice) → billing/invoice → payment recording.</w:t>
      </w:r>
    </w:p>
    <w:p>
      <w:pPr>
        <w:pStyle w:val="ListParagraph"/>
        <w:numPr>
          <w:ilvl w:val="0"/>
          <w:numId w:val="1"/>
        </w:numPr>
        <w:spacing w:after="80"/>
      </w:pPr>
      <w:r>
        <w:t xml:space="preserve">Real, server-enforced appointment state machine (scheduled → waiting → vitals_done → in_progress → done, plus cancelled/no_show), with automatic transitions triggered by vitals capture and encounter start, not manual clicks.</w:t>
      </w:r>
    </w:p>
    <w:p>
      <w:pPr>
        <w:pStyle w:val="ListParagraph"/>
        <w:numPr>
          <w:ilvl w:val="0"/>
          <w:numId w:val="1"/>
        </w:numPr>
        <w:spacing w:after="80"/>
      </w:pPr>
      <w:r>
        <w:t xml:space="preserve">Configurable billing (service catalog, payment modes, invoice statuses — no hardcoded enums), per-visit-type consultation fees, S3-backed document/report storage with signed URLs.</w:t>
      </w:r>
    </w:p>
    <w:p>
      <w:pPr>
        <w:pStyle w:val="ListParagraph"/>
        <w:numPr>
          <w:ilvl w:val="0"/>
          <w:numId w:val="1"/>
        </w:numPr>
        <w:spacing w:after="80"/>
      </w:pPr>
      <w:r>
        <w:t xml:space="preserve">A genuinely well-designed Emergency QR feature: a 20-minute signed token with no PHI embedded in the payload itself, requiring fresh explicit consent on every generation.</w:t>
      </w:r>
    </w:p>
    <w:p>
      <w:pPr>
        <w:pStyle w:val="ListParagraph"/>
        <w:numPr>
          <w:ilvl w:val="0"/>
          <w:numId w:val="1"/>
        </w:numPr>
        <w:spacing w:after="80"/>
      </w:pPr>
      <w:r>
        <w:t xml:space="preserve">A passive, opt-in cross-hospital health-information-exchange (HIE) roadmap: consented clinical facts are mirrored into the shared registry DB so a second hospital's doctors can see them.</w:t>
      </w:r>
    </w:p>
    <w:p>
      <w:pPr>
        <w:pStyle w:val="ListParagraph"/>
        <w:numPr>
          <w:ilvl w:val="0"/>
          <w:numId w:val="1"/>
        </w:numPr>
        <w:spacing w:after="80"/>
      </w:pPr>
      <w:r>
        <w:t xml:space="preserve">Employee-ID + hospital-code staff login (in addition to mobile-based login), OTP-based patient login/registration/password-reset over email or SMS.</w:t>
      </w:r>
    </w:p>
    <w:p>
      <w:pPr>
        <w:pStyle w:val="Heading2"/>
        <w:spacing w:after="150" w:before="300"/>
      </w:pPr>
      <w:r>
        <w:t xml:space="preserve">1.3 What is real but disconnected, or missing outright</w:t>
      </w:r>
    </w:p>
    <w:p>
      <w:pPr>
        <w:pStyle w:val="ListParagraph"/>
        <w:numPr>
          <w:ilvl w:val="0"/>
          <w:numId w:val="1"/>
        </w:numPr>
        <w:spacing w:after="80"/>
      </w:pPr>
      <w:r>
        <w:t xml:space="preserve">apps.tasks: a complete, real Task/TaskAssignment backend (branch/department/patient/assignee-scoped, with a pending→in_progress→done→cancelled status model) that has zero frontend consumer anywhere in the React app.</w:t>
      </w:r>
    </w:p>
    <w:p>
      <w:pPr>
        <w:pStyle w:val="ListParagraph"/>
        <w:numPr>
          <w:ilvl w:val="0"/>
          <w:numId w:val="1"/>
        </w:numPr>
        <w:spacing w:after="80"/>
      </w:pPr>
      <w:r>
        <w:t xml:space="preserve">apps.notifications: DB models and a reminder-generation command exist, but there is no URL mount, no view, and no UI at any layer — a pure, unreachable scaffold.</w:t>
      </w:r>
    </w:p>
    <w:p>
      <w:pPr>
        <w:pStyle w:val="ListParagraph"/>
        <w:numPr>
          <w:ilvl w:val="0"/>
          <w:numId w:val="1"/>
        </w:numPr>
        <w:spacing w:after="80"/>
      </w:pPr>
      <w:r>
        <w:t xml:space="preserve">No background job queue (Celery/Redis is referenced in .env.example only, never implemented) and no electronic payment gateway — “payment” today means front-desk staff manually recording a transaction that already happened elsewhere.</w:t>
      </w:r>
    </w:p>
    <w:p>
      <w:pPr>
        <w:pStyle w:val="ListParagraph"/>
        <w:numPr>
          <w:ilvl w:val="0"/>
          <w:numId w:val="1"/>
        </w:numPr>
        <w:spacing w:after="80"/>
      </w:pPr>
      <w:r>
        <w:t xml:space="preserve">No native mobile app for any role, and no push-notification channel of any kind.</w:t>
      </w:r>
    </w:p>
    <w:p>
      <w:pPr>
        <w:pStyle w:val="ListParagraph"/>
        <w:numPr>
          <w:ilvl w:val="0"/>
          <w:numId w:val="1"/>
        </w:numPr>
        <w:spacing w:after="80"/>
      </w:pPr>
      <w:r>
        <w:t xml:space="preserve">No IPD/admission/ward/bed/nursing/surgery module — the system is OPD-only today.</w:t>
      </w:r>
    </w:p>
    <w:p>
      <w:pPr>
        <w:spacing w:after="120"/>
      </w:pPr>
      <w:r>
        <w:rPr>
          <w:b/>
          <w:bCs/>
          <w:color w:val="B8860B"/>
        </w:rPr>
        <w:t xml:space="preserve">[INFERENCE] </w:t>
      </w:r>
      <w:r>
        <w:t xml:space="preserve">The single most useful fact for the comparison that follows is that apps.tasks is a complete, real backend sitting idle. Any reference-system idea that resembles “assign a task/activity to a patient or staff member and track its completion” is a candidate to be wired directly onto this existing infrastructure rather than built from scratch.</w:t>
      </w:r>
    </w:p>
    <w:p>
      <w:r>
        <w:br w:type="page"/>
      </w:r>
    </w:p>
    <w:p>
      <w:pPr>
        <w:pStyle w:val="Heading1"/>
        <w:spacing w:after="200" w:before="400"/>
      </w:pPr>
      <w:r>
        <w:t xml:space="preserve">2. The Reference System, As It Actually Exists</w:t>
      </w:r>
    </w:p>
    <w:p>
      <w:pPr>
        <w:pStyle w:val="Heading2"/>
        <w:spacing w:after="150" w:before="300"/>
      </w:pPr>
      <w:r>
        <w:t xml:space="preserve">2.1 The Doctor app</w:t>
      </w:r>
    </w:p>
    <w:p>
      <w:pPr>
        <w:spacing w:after="120"/>
      </w:pPr>
      <w:r>
        <w:rPr>
          <w:b/>
          <w:bCs/>
          <w:color w:val="1B7A3D"/>
        </w:rPr>
        <w:t xml:space="preserve">[FACT] </w:t>
      </w:r>
      <w:r>
        <w:t xml:space="preserve">10 routed screens. Real, backend-connected: login/PIN/biometric re-auth/forgot-PIN, today's appointment list (“facility bookings” filtered to the logged-in “equipment”/doctor), completing a booking with a single combined “attach document + mark done” action, and ordering diagnostic tests (category → variation/panel → up to 3 tests → notes).</w:t>
      </w:r>
    </w:p>
    <w:p>
      <w:pPr>
        <w:spacing w:after="120"/>
      </w:pPr>
      <w:r>
        <w:rPr>
          <w:b/>
          <w:bCs/>
          <w:color w:val="1B7A3D"/>
        </w:rPr>
        <w:t xml:space="preserve">[FACT] </w:t>
      </w:r>
      <w:r>
        <w:t xml:space="preserve">Entirely mocked, local-state-only, never reaching a server: In-Patient clinical detail (vitals, diagnosis, physician, “rounds done” toggle — identical hardcoded data regardless of which patient card was tapped), Surgery detail (pre-op checklist, notes, “mark completed” has no handler at all), and three near-identical “assign a task” forms — Medicine, Music therapy, Exercise — each of which builds a real-looking recurring schedule (start date, daily/weekly/monthly repeat, day-of-week picker, time-of-day pills, instructions, optional attachment) that is discarded the instant the user navigates away.</w:t>
      </w:r>
    </w:p>
    <w:p>
      <w:pPr>
        <w:spacing w:after="120"/>
      </w:pPr>
      <w:r>
        <w:rPr>
          <w:b/>
          <w:bCs/>
          <w:color w:val="1B7A3D"/>
        </w:rPr>
        <w:t xml:space="preserve">[FACT] </w:t>
      </w:r>
      <w:r>
        <w:t xml:space="preserve">No role-based access control exists in this client: there is exactly one implicit user type. Authentication stores both the session token and the PIN in plaintext AsyncStorage, and replays the plaintext PIN as the literal login password on every biometric/PIN re-auth.</w:t>
      </w:r>
    </w:p>
    <w:p>
      <w:pPr>
        <w:pStyle w:val="Heading2"/>
        <w:spacing w:after="150" w:before="300"/>
      </w:pPr>
      <w:r>
        <w:t xml:space="preserve">2.2 The Patient app</w:t>
      </w:r>
    </w:p>
    <w:p>
      <w:pPr>
        <w:spacing w:after="120"/>
      </w:pPr>
      <w:r>
        <w:rPr>
          <w:b/>
          <w:bCs/>
          <w:color w:val="1B7A3D"/>
        </w:rPr>
        <w:t xml:space="preserve">[FACT] </w:t>
      </w:r>
      <w:r>
        <w:t xml:space="preserve">A patient self-service app: appointment booking/reschedule/cancellation (real, backend-connected, including “add to device calendar” on confirmation), a categorized Documents/Reports viewer (Prescriptions / Lab Reports / Radiology Reports / Radiology Images / Discharge Summaries, shown as a tile grid filtered to only the types the patient actually has content for), and “My Activities” — a to-do-style list of assigned audio/video/image home-care tasks, bucketed Today/Tomorrow/Next 3 days/Past, with in-app playback and a mark-complete action.</w:t>
      </w:r>
    </w:p>
    <w:p>
      <w:pPr>
        <w:spacing w:after="120"/>
      </w:pPr>
      <w:r>
        <w:rPr>
          <w:b/>
          <w:bCs/>
          <w:color w:val="1B7A3D"/>
        </w:rPr>
        <w:t xml:space="preserve">[FACT] </w:t>
      </w:r>
      <w:r>
        <w:t xml:space="preserve">Prescriptions, lab reports, radiology, and discharge summaries are all modeled purely as uploaded documents to view, not as structured clinical data — there is no medication list, no lab-result value, no diagnosis anywhere in this app.</w:t>
      </w:r>
    </w:p>
    <w:p>
      <w:pPr>
        <w:spacing w:after="120"/>
      </w:pPr>
      <w:r>
        <w:rPr>
          <w:b/>
          <w:bCs/>
          <w:color w:val="1B7A3D"/>
        </w:rPr>
        <w:t xml:space="preserve">[FACT] </w:t>
      </w:r>
      <w:r>
        <w:t xml:space="preserve">No registration, no editable patient profile, no billing/payment (a hardcoded “Consultation Fee: 500” display, no gateway), no IPD, no pharmacy, no nursing, no clinical documentation of any kind.</w:t>
      </w:r>
    </w:p>
    <w:p>
      <w:pPr>
        <w:pStyle w:val="Heading2"/>
        <w:spacing w:after="150" w:before="300"/>
      </w:pPr>
      <w:r>
        <w:t xml:space="preserve">2.3 Honest characterization</w:t>
      </w:r>
    </w:p>
    <w:p>
      <w:pPr>
        <w:spacing w:after="120"/>
      </w:pPr>
      <w:r>
        <w:rPr>
          <w:b/>
          <w:bCs/>
          <w:color w:val="B8860B"/>
        </w:rPr>
        <w:t xml:space="preserve">[INFERENCE] </w:t>
      </w:r>
      <w:r>
        <w:t xml:space="preserve">Both apps are best understood as a lightweight OPD-booking-and-document-viewing companion layered on top of Atomwalk's older, generic CRM/HR platform — closer in spirit to a patient-relationship/scheduling app with some healthcare vocabulary painted on than to a clinical HMS. The genuinely new ideas they contain are concentrated in exactly two places: the existence of a mobile channel at all, and the “assigned task with completion tracking” pattern (Medicine/Music/Exercise on the doctor side, “My Activities” on the patient side) — which, notably, is unbuilt (mock-only) in both apps. Everything else either has a stronger equivalent already in our HMS, or is a pattern to avoid (Section 11).</w:t>
      </w:r>
    </w:p>
    <w:p>
      <w:r>
        <w:br w:type="page"/>
      </w:r>
    </w:p>
    <w:p>
      <w:pPr>
        <w:pStyle w:val="Heading1"/>
        <w:spacing w:after="200" w:before="400"/>
      </w:pPr>
      <w:r>
        <w:t xml:space="preserve">3. Comparison Matrix</w:t>
      </w:r>
    </w:p>
    <w:p>
      <w:pPr>
        <w:spacing w:after="160"/>
      </w:pPr>
      <w:r>
        <w:t xml:space="preserve">Areas where a genuine difference or opportunity exists. Areas of near-parity or where our HMS is unambiguously stronger with nothing to learn from the reference are noted briefly rather than padded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966"/>
        <w:gridCol w:w="1966"/>
        <w:gridCol w:w="1966"/>
        <w:gridCol w:w="1966"/>
      </w:tblGrid>
      <w:tr>
        <w:trPr>
          <w:tblHeader/>
        </w:trPr>
        <w:tc>
          <w:tcPr>
            <w:tcW w:type="dxa" w:w="1498"/>
            <w:shd w:fill="1E2761" w:val="clear"/>
            <w:tcMar>
              <w:top w:type="dxa" w:w="80"/>
              <w:left w:type="dxa" w:w="100"/>
              <w:bottom w:type="dxa" w:w="80"/>
              <w:right w:type="dxa" w:w="100"/>
            </w:tcMar>
          </w:tcPr>
          <w:p>
            <w:r>
              <w:rPr>
                <w:b/>
                <w:bCs/>
                <w:color w:val="FFFFFF"/>
                <w:sz w:val="18"/>
                <w:szCs w:val="18"/>
              </w:rPr>
              <w:t xml:space="preserve">Area</w:t>
            </w:r>
          </w:p>
        </w:tc>
        <w:tc>
          <w:tcPr>
            <w:tcW w:type="dxa" w:w="1966"/>
            <w:shd w:fill="1E2761" w:val="clear"/>
            <w:tcMar>
              <w:top w:type="dxa" w:w="80"/>
              <w:left w:type="dxa" w:w="100"/>
              <w:bottom w:type="dxa" w:w="80"/>
              <w:right w:type="dxa" w:w="100"/>
            </w:tcMar>
          </w:tcPr>
          <w:p>
            <w:r>
              <w:rPr>
                <w:b/>
                <w:bCs/>
                <w:color w:val="FFFFFF"/>
                <w:sz w:val="18"/>
                <w:szCs w:val="18"/>
              </w:rPr>
              <w:t xml:space="preserve">Our HMS</w:t>
            </w:r>
          </w:p>
        </w:tc>
        <w:tc>
          <w:tcPr>
            <w:tcW w:type="dxa" w:w="1966"/>
            <w:shd w:fill="1E2761" w:val="clear"/>
            <w:tcMar>
              <w:top w:type="dxa" w:w="80"/>
              <w:left w:type="dxa" w:w="100"/>
              <w:bottom w:type="dxa" w:w="80"/>
              <w:right w:type="dxa" w:w="100"/>
            </w:tcMar>
          </w:tcPr>
          <w:p>
            <w:r>
              <w:rPr>
                <w:b/>
                <w:bCs/>
                <w:color w:val="FFFFFF"/>
                <w:sz w:val="18"/>
                <w:szCs w:val="18"/>
              </w:rPr>
              <w:t xml:space="preserve">Reference System</w:t>
            </w:r>
          </w:p>
        </w:tc>
        <w:tc>
          <w:tcPr>
            <w:tcW w:type="dxa" w:w="1966"/>
            <w:shd w:fill="1E2761" w:val="clear"/>
            <w:tcMar>
              <w:top w:type="dxa" w:w="80"/>
              <w:left w:type="dxa" w:w="100"/>
              <w:bottom w:type="dxa" w:w="80"/>
              <w:right w:type="dxa" w:w="100"/>
            </w:tcMar>
          </w:tcPr>
          <w:p>
            <w:r>
              <w:rPr>
                <w:b/>
                <w:bCs/>
                <w:color w:val="FFFFFF"/>
                <w:sz w:val="18"/>
                <w:szCs w:val="18"/>
              </w:rPr>
              <w:t xml:space="preserve">Difference</w:t>
            </w:r>
          </w:p>
        </w:tc>
        <w:tc>
          <w:tcPr>
            <w:tcW w:type="dxa" w:w="1966"/>
            <w:shd w:fill="1E2761" w:val="clear"/>
            <w:tcMar>
              <w:top w:type="dxa" w:w="80"/>
              <w:left w:type="dxa" w:w="100"/>
              <w:bottom w:type="dxa" w:w="80"/>
              <w:right w:type="dxa" w:w="100"/>
            </w:tcMar>
          </w:tcPr>
          <w:p>
            <w:r>
              <w:rPr>
                <w:b/>
                <w:bCs/>
                <w:color w:val="FFFFFF"/>
                <w:sz w:val="18"/>
                <w:szCs w:val="18"/>
              </w:rPr>
              <w:t xml:space="preserve">Opportunity</w:t>
            </w:r>
          </w:p>
        </w:tc>
      </w:tr>
      <w:tr>
        <w:tc>
          <w:tcPr>
            <w:tcW w:type="dxa" w:w="1498"/>
            <w:tcMar>
              <w:top w:type="dxa" w:w="70"/>
              <w:left w:type="dxa" w:w="100"/>
              <w:bottom w:type="dxa" w:w="70"/>
              <w:right w:type="dxa" w:w="100"/>
            </w:tcMar>
          </w:tcPr>
          <w:p>
            <w:r>
              <w:rPr>
                <w:b w:val="false"/>
                <w:bCs w:val="false"/>
                <w:sz w:val="18"/>
                <w:szCs w:val="18"/>
              </w:rPr>
              <w:t xml:space="preserve">Delivery channel</w:t>
            </w:r>
          </w:p>
        </w:tc>
        <w:tc>
          <w:tcPr>
            <w:tcW w:type="dxa" w:w="1966"/>
            <w:tcMar>
              <w:top w:type="dxa" w:w="70"/>
              <w:left w:type="dxa" w:w="100"/>
              <w:bottom w:type="dxa" w:w="70"/>
              <w:right w:type="dxa" w:w="100"/>
            </w:tcMar>
          </w:tcPr>
          <w:p>
            <w:r>
              <w:rPr>
                <w:b w:val="false"/>
                <w:bCs w:val="false"/>
                <w:sz w:val="18"/>
                <w:szCs w:val="18"/>
              </w:rPr>
              <w:t xml:space="preserve">Web SPA only (React/Vite), all roles</w:t>
            </w:r>
          </w:p>
        </w:tc>
        <w:tc>
          <w:tcPr>
            <w:tcW w:type="dxa" w:w="1966"/>
            <w:tcMar>
              <w:top w:type="dxa" w:w="70"/>
              <w:left w:type="dxa" w:w="100"/>
              <w:bottom w:type="dxa" w:w="70"/>
              <w:right w:type="dxa" w:w="100"/>
            </w:tcMar>
          </w:tcPr>
          <w:p>
            <w:r>
              <w:rPr>
                <w:b w:val="false"/>
                <w:bCs w:val="false"/>
                <w:sz w:val="18"/>
                <w:szCs w:val="18"/>
              </w:rPr>
              <w:t xml:space="preserve">Native mobile (Expo/React Native), doctor + patient apps</w:t>
            </w:r>
          </w:p>
        </w:tc>
        <w:tc>
          <w:tcPr>
            <w:tcW w:type="dxa" w:w="1966"/>
            <w:tcMar>
              <w:top w:type="dxa" w:w="70"/>
              <w:left w:type="dxa" w:w="100"/>
              <w:bottom w:type="dxa" w:w="70"/>
              <w:right w:type="dxa" w:w="100"/>
            </w:tcMar>
          </w:tcPr>
          <w:p>
            <w:r>
              <w:rPr>
                <w:b w:val="false"/>
                <w:bCs w:val="false"/>
                <w:sz w:val="18"/>
                <w:szCs w:val="18"/>
              </w:rPr>
              <w:t xml:space="preserve">We have zero mobile presence; they have zero web/clinical depth</w:t>
            </w:r>
          </w:p>
        </w:tc>
        <w:tc>
          <w:tcPr>
            <w:tcW w:type="dxa" w:w="1966"/>
            <w:tcMar>
              <w:top w:type="dxa" w:w="70"/>
              <w:left w:type="dxa" w:w="100"/>
              <w:bottom w:type="dxa" w:w="70"/>
              <w:right w:type="dxa" w:w="100"/>
            </w:tcMar>
          </w:tcPr>
          <w:p>
            <w:r>
              <w:rPr>
                <w:b w:val="false"/>
                <w:bCs w:val="false"/>
                <w:sz w:val="18"/>
                <w:szCs w:val="18"/>
              </w:rPr>
              <w:t xml:space="preserve">Strategic: a purpose-built mobile companion app, built on OUR real backend (Section 14, P3)</w:t>
            </w:r>
          </w:p>
        </w:tc>
      </w:tr>
      <w:tr>
        <w:tc>
          <w:tcPr>
            <w:tcW w:type="dxa" w:w="1498"/>
            <w:tcMar>
              <w:top w:type="dxa" w:w="70"/>
              <w:left w:type="dxa" w:w="100"/>
              <w:bottom w:type="dxa" w:w="70"/>
              <w:right w:type="dxa" w:w="100"/>
            </w:tcMar>
          </w:tcPr>
          <w:p>
            <w:r>
              <w:rPr>
                <w:b w:val="false"/>
                <w:bCs w:val="false"/>
                <w:sz w:val="18"/>
                <w:szCs w:val="18"/>
              </w:rPr>
              <w:t xml:space="preserve">Patient re-engagement / adherence</w:t>
            </w:r>
          </w:p>
        </w:tc>
        <w:tc>
          <w:tcPr>
            <w:tcW w:type="dxa" w:w="1966"/>
            <w:tcMar>
              <w:top w:type="dxa" w:w="70"/>
              <w:left w:type="dxa" w:w="100"/>
              <w:bottom w:type="dxa" w:w="70"/>
              <w:right w:type="dxa" w:w="100"/>
            </w:tcMar>
          </w:tcPr>
          <w:p>
            <w:r>
              <w:rPr>
                <w:b w:val="false"/>
                <w:bCs w:val="false"/>
                <w:sz w:val="18"/>
                <w:szCs w:val="18"/>
              </w:rPr>
              <w:t xml:space="preserve">None — no task/reminder concept reaches the patient</w:t>
            </w:r>
          </w:p>
        </w:tc>
        <w:tc>
          <w:tcPr>
            <w:tcW w:type="dxa" w:w="1966"/>
            <w:tcMar>
              <w:top w:type="dxa" w:w="70"/>
              <w:left w:type="dxa" w:w="100"/>
              <w:bottom w:type="dxa" w:w="70"/>
              <w:right w:type="dxa" w:w="100"/>
            </w:tcMar>
          </w:tcPr>
          <w:p>
            <w:r>
              <w:rPr>
                <w:b w:val="false"/>
                <w:bCs w:val="false"/>
                <w:sz w:val="18"/>
                <w:szCs w:val="18"/>
              </w:rPr>
              <w:t xml:space="preserve">“My Activities” concept (audio/video tasks, completion tracking) — but 100% mock, never persisted</w:t>
            </w:r>
          </w:p>
        </w:tc>
        <w:tc>
          <w:tcPr>
            <w:tcW w:type="dxa" w:w="1966"/>
            <w:tcMar>
              <w:top w:type="dxa" w:w="70"/>
              <w:left w:type="dxa" w:w="100"/>
              <w:bottom w:type="dxa" w:w="70"/>
              <w:right w:type="dxa" w:w="100"/>
            </w:tcMar>
          </w:tcPr>
          <w:p>
            <w:r>
              <w:rPr>
                <w:b w:val="false"/>
                <w:bCs w:val="false"/>
                <w:sz w:val="18"/>
                <w:szCs w:val="18"/>
              </w:rPr>
              <w:t xml:space="preserve">They have the idea, not the implementation; we have the implementation (apps.tasks), not the idea</w:t>
            </w:r>
          </w:p>
        </w:tc>
        <w:tc>
          <w:tcPr>
            <w:tcW w:type="dxa" w:w="1966"/>
            <w:tcMar>
              <w:top w:type="dxa" w:w="70"/>
              <w:left w:type="dxa" w:w="100"/>
              <w:bottom w:type="dxa" w:w="70"/>
              <w:right w:type="dxa" w:w="100"/>
            </w:tcMar>
          </w:tcPr>
          <w:p>
            <w:r>
              <w:rPr>
                <w:b w:val="false"/>
                <w:bCs w:val="false"/>
                <w:sz w:val="18"/>
                <w:szCs w:val="18"/>
              </w:rPr>
              <w:t xml:space="preserve">Wire apps.tasks into a real patient-facing “Care Tasks” feature (Section 14, P0)</w:t>
            </w:r>
          </w:p>
        </w:tc>
      </w:tr>
      <w:tr>
        <w:tc>
          <w:tcPr>
            <w:tcW w:type="dxa" w:w="1498"/>
            <w:tcMar>
              <w:top w:type="dxa" w:w="70"/>
              <w:left w:type="dxa" w:w="100"/>
              <w:bottom w:type="dxa" w:w="70"/>
              <w:right w:type="dxa" w:w="100"/>
            </w:tcMar>
          </w:tcPr>
          <w:p>
            <w:r>
              <w:rPr>
                <w:b w:val="false"/>
                <w:bCs w:val="false"/>
                <w:sz w:val="18"/>
                <w:szCs w:val="18"/>
              </w:rPr>
              <w:t xml:space="preserve">Quick re-login on a trusted device</w:t>
            </w:r>
          </w:p>
        </w:tc>
        <w:tc>
          <w:tcPr>
            <w:tcW w:type="dxa" w:w="1966"/>
            <w:tcMar>
              <w:top w:type="dxa" w:w="70"/>
              <w:left w:type="dxa" w:w="100"/>
              <w:bottom w:type="dxa" w:w="70"/>
              <w:right w:type="dxa" w:w="100"/>
            </w:tcMar>
          </w:tcPr>
          <w:p>
            <w:r>
              <w:rPr>
                <w:b w:val="false"/>
                <w:bCs w:val="false"/>
                <w:sz w:val="18"/>
                <w:szCs w:val="18"/>
              </w:rPr>
              <w:t xml:space="preserve">Standard password/OTP login every time, web session only</w:t>
            </w:r>
          </w:p>
        </w:tc>
        <w:tc>
          <w:tcPr>
            <w:tcW w:type="dxa" w:w="1966"/>
            <w:tcMar>
              <w:top w:type="dxa" w:w="70"/>
              <w:left w:type="dxa" w:w="100"/>
              <w:bottom w:type="dxa" w:w="70"/>
              <w:right w:type="dxa" w:w="100"/>
            </w:tcMar>
          </w:tcPr>
          <w:p>
            <w:r>
              <w:rPr>
                <w:b w:val="false"/>
                <w:bCs w:val="false"/>
                <w:sz w:val="18"/>
                <w:szCs w:val="18"/>
              </w:rPr>
              <w:t xml:space="preserve">PIN + biometric re-auth (but plaintext-PIN-replay, insecure)</w:t>
            </w:r>
          </w:p>
        </w:tc>
        <w:tc>
          <w:tcPr>
            <w:tcW w:type="dxa" w:w="1966"/>
            <w:tcMar>
              <w:top w:type="dxa" w:w="70"/>
              <w:left w:type="dxa" w:w="100"/>
              <w:bottom w:type="dxa" w:w="70"/>
              <w:right w:type="dxa" w:w="100"/>
            </w:tcMar>
          </w:tcPr>
          <w:p>
            <w:r>
              <w:rPr>
                <w:b w:val="false"/>
                <w:bCs w:val="false"/>
                <w:sz w:val="18"/>
                <w:szCs w:val="18"/>
              </w:rPr>
              <w:t xml:space="preserve">Real UX need on mobile; their implementation is a security anti-pattern</w:t>
            </w:r>
          </w:p>
        </w:tc>
        <w:tc>
          <w:tcPr>
            <w:tcW w:type="dxa" w:w="1966"/>
            <w:tcMar>
              <w:top w:type="dxa" w:w="70"/>
              <w:left w:type="dxa" w:w="100"/>
              <w:bottom w:type="dxa" w:w="70"/>
              <w:right w:type="dxa" w:w="100"/>
            </w:tcMar>
          </w:tcPr>
          <w:p>
            <w:r>
              <w:rPr>
                <w:b w:val="false"/>
                <w:bCs w:val="false"/>
                <w:sz w:val="18"/>
                <w:szCs w:val="18"/>
              </w:rPr>
              <w:t xml:space="preserve">Borrow the concept, not the code, if/when a mobile app is built (Section 11 &amp; 14)</w:t>
            </w:r>
          </w:p>
        </w:tc>
      </w:tr>
      <w:tr>
        <w:tc>
          <w:tcPr>
            <w:tcW w:type="dxa" w:w="1498"/>
            <w:tcMar>
              <w:top w:type="dxa" w:w="70"/>
              <w:left w:type="dxa" w:w="100"/>
              <w:bottom w:type="dxa" w:w="70"/>
              <w:right w:type="dxa" w:w="100"/>
            </w:tcMar>
          </w:tcPr>
          <w:p>
            <w:r>
              <w:rPr>
                <w:b w:val="false"/>
                <w:bCs w:val="false"/>
                <w:sz w:val="18"/>
                <w:szCs w:val="18"/>
              </w:rPr>
              <w:t xml:space="preserve">Lab order urgency</w:t>
            </w:r>
          </w:p>
        </w:tc>
        <w:tc>
          <w:tcPr>
            <w:tcW w:type="dxa" w:w="1966"/>
            <w:tcMar>
              <w:top w:type="dxa" w:w="70"/>
              <w:left w:type="dxa" w:w="100"/>
              <w:bottom w:type="dxa" w:w="70"/>
              <w:right w:type="dxa" w:w="100"/>
            </w:tcMar>
          </w:tcPr>
          <w:p>
            <w:r>
              <w:rPr>
                <w:b w:val="false"/>
                <w:bCs w:val="false"/>
                <w:sz w:val="18"/>
                <w:szCs w:val="18"/>
              </w:rPr>
              <w:t xml:space="preserve">No priority/urgency field on a lab order</w:t>
            </w:r>
          </w:p>
        </w:tc>
        <w:tc>
          <w:tcPr>
            <w:tcW w:type="dxa" w:w="1966"/>
            <w:tcMar>
              <w:top w:type="dxa" w:w="70"/>
              <w:left w:type="dxa" w:w="100"/>
              <w:bottom w:type="dxa" w:w="70"/>
              <w:right w:type="dxa" w:w="100"/>
            </w:tcMar>
          </w:tcPr>
          <w:p>
            <w:r>
              <w:rPr>
                <w:b w:val="false"/>
                <w:bCs w:val="false"/>
                <w:sz w:val="18"/>
                <w:szCs w:val="18"/>
              </w:rPr>
              <w:t xml:space="preserve">A Priority selector exists in the UI (Routine/Urgent/Emergency) but is a dead field, never submitted</w:t>
            </w:r>
          </w:p>
        </w:tc>
        <w:tc>
          <w:tcPr>
            <w:tcW w:type="dxa" w:w="1966"/>
            <w:tcMar>
              <w:top w:type="dxa" w:w="70"/>
              <w:left w:type="dxa" w:w="100"/>
              <w:bottom w:type="dxa" w:w="70"/>
              <w:right w:type="dxa" w:w="100"/>
            </w:tcMar>
          </w:tcPr>
          <w:p>
            <w:r>
              <w:rPr>
                <w:b w:val="false"/>
                <w:bCs w:val="false"/>
                <w:sz w:val="18"/>
                <w:szCs w:val="18"/>
              </w:rPr>
              <w:t xml:space="preserve">Neither system actually persists urgency today, but the field is a real clinical need</w:t>
            </w:r>
          </w:p>
        </w:tc>
        <w:tc>
          <w:tcPr>
            <w:tcW w:type="dxa" w:w="1966"/>
            <w:tcMar>
              <w:top w:type="dxa" w:w="70"/>
              <w:left w:type="dxa" w:w="100"/>
              <w:bottom w:type="dxa" w:w="70"/>
              <w:right w:type="dxa" w:w="100"/>
            </w:tcMar>
          </w:tcPr>
          <w:p>
            <w:r>
              <w:rPr>
                <w:b w:val="false"/>
                <w:bCs w:val="false"/>
                <w:sz w:val="18"/>
                <w:szCs w:val="18"/>
              </w:rPr>
              <w:t xml:space="preserve">Add a real, persisted priority field to our LabRequest model (Section 14, P1)</w:t>
            </w:r>
          </w:p>
        </w:tc>
      </w:tr>
      <w:tr>
        <w:tc>
          <w:tcPr>
            <w:tcW w:type="dxa" w:w="1498"/>
            <w:tcMar>
              <w:top w:type="dxa" w:w="70"/>
              <w:left w:type="dxa" w:w="100"/>
              <w:bottom w:type="dxa" w:w="70"/>
              <w:right w:type="dxa" w:w="100"/>
            </w:tcMar>
          </w:tcPr>
          <w:p>
            <w:r>
              <w:rPr>
                <w:b w:val="false"/>
                <w:bCs w:val="false"/>
                <w:sz w:val="18"/>
                <w:szCs w:val="18"/>
              </w:rPr>
              <w:t xml:space="preserve">Document/report navigation</w:t>
            </w:r>
          </w:p>
        </w:tc>
        <w:tc>
          <w:tcPr>
            <w:tcW w:type="dxa" w:w="1966"/>
            <w:tcMar>
              <w:top w:type="dxa" w:w="70"/>
              <w:left w:type="dxa" w:w="100"/>
              <w:bottom w:type="dxa" w:w="70"/>
              <w:right w:type="dxa" w:w="100"/>
            </w:tcMar>
          </w:tcPr>
          <w:p>
            <w:r>
              <w:rPr>
                <w:b w:val="false"/>
                <w:bCs w:val="false"/>
                <w:sz w:val="18"/>
                <w:szCs w:val="18"/>
              </w:rPr>
              <w:t xml:space="preserve">Separate Prescriptions, Bills, Vaccination-record pages</w:t>
            </w:r>
          </w:p>
        </w:tc>
        <w:tc>
          <w:tcPr>
            <w:tcW w:type="dxa" w:w="1966"/>
            <w:tcMar>
              <w:top w:type="dxa" w:w="70"/>
              <w:left w:type="dxa" w:w="100"/>
              <w:bottom w:type="dxa" w:w="70"/>
              <w:right w:type="dxa" w:w="100"/>
            </w:tcMar>
          </w:tcPr>
          <w:p>
            <w:r>
              <w:rPr>
                <w:b w:val="false"/>
                <w:bCs w:val="false"/>
                <w:sz w:val="18"/>
                <w:szCs w:val="18"/>
              </w:rPr>
              <w:t xml:space="preserve">Single “Documents” hub: tile grid by type, only shows types the patient has, drills into filtered list</w:t>
            </w:r>
          </w:p>
        </w:tc>
        <w:tc>
          <w:tcPr>
            <w:tcW w:type="dxa" w:w="1966"/>
            <w:tcMar>
              <w:top w:type="dxa" w:w="70"/>
              <w:left w:type="dxa" w:w="100"/>
              <w:bottom w:type="dxa" w:w="70"/>
              <w:right w:type="dxa" w:w="100"/>
            </w:tcMar>
          </w:tcPr>
          <w:p>
            <w:r>
              <w:rPr>
                <w:b w:val="false"/>
                <w:bCs w:val="false"/>
                <w:sz w:val="18"/>
                <w:szCs w:val="18"/>
              </w:rPr>
              <w:t xml:space="preserve">Ours is capability-richer per page; theirs is a cleaner information architecture</w:t>
            </w:r>
          </w:p>
        </w:tc>
        <w:tc>
          <w:tcPr>
            <w:tcW w:type="dxa" w:w="1966"/>
            <w:tcMar>
              <w:top w:type="dxa" w:w="70"/>
              <w:left w:type="dxa" w:w="100"/>
              <w:bottom w:type="dxa" w:w="70"/>
              <w:right w:type="dxa" w:w="100"/>
            </w:tcMar>
          </w:tcPr>
          <w:p>
            <w:r>
              <w:rPr>
                <w:b w:val="false"/>
                <w:bCs w:val="false"/>
                <w:sz w:val="18"/>
                <w:szCs w:val="18"/>
              </w:rPr>
              <w:t xml:space="preserve">Reorganize our existing patient portal content behind one type-tile landing page (Section 14, P1)</w:t>
            </w:r>
          </w:p>
        </w:tc>
      </w:tr>
      <w:tr>
        <w:tc>
          <w:tcPr>
            <w:tcW w:type="dxa" w:w="1498"/>
            <w:tcMar>
              <w:top w:type="dxa" w:w="70"/>
              <w:left w:type="dxa" w:w="100"/>
              <w:bottom w:type="dxa" w:w="70"/>
              <w:right w:type="dxa" w:w="100"/>
            </w:tcMar>
          </w:tcPr>
          <w:p>
            <w:r>
              <w:rPr>
                <w:b w:val="false"/>
                <w:bCs w:val="false"/>
                <w:sz w:val="18"/>
                <w:szCs w:val="18"/>
              </w:rPr>
              <w:t xml:space="preserve">Add-to-calendar on booking</w:t>
            </w:r>
          </w:p>
        </w:tc>
        <w:tc>
          <w:tcPr>
            <w:tcW w:type="dxa" w:w="1966"/>
            <w:tcMar>
              <w:top w:type="dxa" w:w="70"/>
              <w:left w:type="dxa" w:w="100"/>
              <w:bottom w:type="dxa" w:w="70"/>
              <w:right w:type="dxa" w:w="100"/>
            </w:tcMar>
          </w:tcPr>
          <w:p>
            <w:r>
              <w:rPr>
                <w:b w:val="false"/>
                <w:bCs w:val="false"/>
                <w:sz w:val="18"/>
                <w:szCs w:val="18"/>
              </w:rPr>
              <w:t xml:space="preserve">Not present</w:t>
            </w:r>
          </w:p>
        </w:tc>
        <w:tc>
          <w:tcPr>
            <w:tcW w:type="dxa" w:w="1966"/>
            <w:tcMar>
              <w:top w:type="dxa" w:w="70"/>
              <w:left w:type="dxa" w:w="100"/>
              <w:bottom w:type="dxa" w:w="70"/>
              <w:right w:type="dxa" w:w="100"/>
            </w:tcMar>
          </w:tcPr>
          <w:p>
            <w:r>
              <w:rPr>
                <w:b w:val="false"/>
                <w:bCs w:val="false"/>
                <w:sz w:val="18"/>
                <w:szCs w:val="18"/>
              </w:rPr>
              <w:t xml:space="preserve">Present (device calendar via expo-calendar) on booking confirmation</w:t>
            </w:r>
          </w:p>
        </w:tc>
        <w:tc>
          <w:tcPr>
            <w:tcW w:type="dxa" w:w="1966"/>
            <w:tcMar>
              <w:top w:type="dxa" w:w="70"/>
              <w:left w:type="dxa" w:w="100"/>
              <w:bottom w:type="dxa" w:w="70"/>
              <w:right w:type="dxa" w:w="100"/>
            </w:tcMar>
          </w:tcPr>
          <w:p>
            <w:r>
              <w:rPr>
                <w:b w:val="false"/>
                <w:bCs w:val="false"/>
                <w:sz w:val="18"/>
                <w:szCs w:val="18"/>
              </w:rPr>
              <w:t xml:space="preserve">Small, real convenience gap</w:t>
            </w:r>
          </w:p>
        </w:tc>
        <w:tc>
          <w:tcPr>
            <w:tcW w:type="dxa" w:w="1966"/>
            <w:tcMar>
              <w:top w:type="dxa" w:w="70"/>
              <w:left w:type="dxa" w:w="100"/>
              <w:bottom w:type="dxa" w:w="70"/>
              <w:right w:type="dxa" w:w="100"/>
            </w:tcMar>
          </w:tcPr>
          <w:p>
            <w:r>
              <w:rPr>
                <w:b w:val="false"/>
                <w:bCs w:val="false"/>
                <w:sz w:val="18"/>
                <w:szCs w:val="18"/>
              </w:rPr>
              <w:t xml:space="preserve">Add an .ics download / “Add to calendar” link to our web booking confirmation (Section 14, P1)</w:t>
            </w:r>
          </w:p>
        </w:tc>
      </w:tr>
      <w:tr>
        <w:tc>
          <w:tcPr>
            <w:tcW w:type="dxa" w:w="1498"/>
            <w:tcMar>
              <w:top w:type="dxa" w:w="70"/>
              <w:left w:type="dxa" w:w="100"/>
              <w:bottom w:type="dxa" w:w="70"/>
              <w:right w:type="dxa" w:w="100"/>
            </w:tcMar>
          </w:tcPr>
          <w:p>
            <w:r>
              <w:rPr>
                <w:b w:val="false"/>
                <w:bCs w:val="false"/>
                <w:sz w:val="18"/>
                <w:szCs w:val="18"/>
              </w:rPr>
              <w:t xml:space="preserve">RBAC / roles</w:t>
            </w:r>
          </w:p>
        </w:tc>
        <w:tc>
          <w:tcPr>
            <w:tcW w:type="dxa" w:w="1966"/>
            <w:tcMar>
              <w:top w:type="dxa" w:w="70"/>
              <w:left w:type="dxa" w:w="100"/>
              <w:bottom w:type="dxa" w:w="70"/>
              <w:right w:type="dxa" w:w="100"/>
            </w:tcMar>
          </w:tcPr>
          <w:p>
            <w:r>
              <w:rPr>
                <w:b w:val="false"/>
                <w:bCs w:val="false"/>
                <w:sz w:val="18"/>
                <w:szCs w:val="18"/>
              </w:rPr>
              <w:t xml:space="preserve">Two RBAC layers (one live, hardcoded; one built but dead) + custom acts_as role bundling</w:t>
            </w:r>
          </w:p>
        </w:tc>
        <w:tc>
          <w:tcPr>
            <w:tcW w:type="dxa" w:w="1966"/>
            <w:tcMar>
              <w:top w:type="dxa" w:w="70"/>
              <w:left w:type="dxa" w:w="100"/>
              <w:bottom w:type="dxa" w:w="70"/>
              <w:right w:type="dxa" w:w="100"/>
            </w:tcMar>
          </w:tcPr>
          <w:p>
            <w:r>
              <w:rPr>
                <w:b w:val="false"/>
                <w:bCs w:val="false"/>
                <w:sz w:val="18"/>
                <w:szCs w:val="18"/>
              </w:rPr>
              <w:t xml:space="preserve">None — single implicit role in each app</w:t>
            </w:r>
          </w:p>
        </w:tc>
        <w:tc>
          <w:tcPr>
            <w:tcW w:type="dxa" w:w="1966"/>
            <w:tcMar>
              <w:top w:type="dxa" w:w="70"/>
              <w:left w:type="dxa" w:w="100"/>
              <w:bottom w:type="dxa" w:w="70"/>
              <w:right w:type="dxa" w:w="100"/>
            </w:tcMar>
          </w:tcPr>
          <w:p>
            <w:r>
              <w:rPr>
                <w:b w:val="false"/>
                <w:bCs w:val="false"/>
                <w:sz w:val="18"/>
                <w:szCs w:val="18"/>
              </w:rPr>
              <w:t xml:space="preserve">We are already far ahead</w:t>
            </w:r>
          </w:p>
        </w:tc>
        <w:tc>
          <w:tcPr>
            <w:tcW w:type="dxa" w:w="1966"/>
            <w:tcMar>
              <w:top w:type="dxa" w:w="70"/>
              <w:left w:type="dxa" w:w="100"/>
              <w:bottom w:type="dxa" w:w="70"/>
              <w:right w:type="dxa" w:w="100"/>
            </w:tcMar>
          </w:tcPr>
          <w:p>
            <w:r>
              <w:rPr>
                <w:b w:val="false"/>
                <w:bCs w:val="false"/>
                <w:sz w:val="18"/>
                <w:szCs w:val="18"/>
              </w:rPr>
              <w:t xml:space="preserve">Nothing to borrow; a caution not to regress toward their simplicity</w:t>
            </w:r>
          </w:p>
        </w:tc>
      </w:tr>
      <w:tr>
        <w:tc>
          <w:tcPr>
            <w:tcW w:type="dxa" w:w="1498"/>
            <w:tcMar>
              <w:top w:type="dxa" w:w="70"/>
              <w:left w:type="dxa" w:w="100"/>
              <w:bottom w:type="dxa" w:w="70"/>
              <w:right w:type="dxa" w:w="100"/>
            </w:tcMar>
          </w:tcPr>
          <w:p>
            <w:r>
              <w:rPr>
                <w:b w:val="false"/>
                <w:bCs w:val="false"/>
                <w:sz w:val="18"/>
                <w:szCs w:val="18"/>
              </w:rPr>
              <w:t xml:space="preserve">Clinical data model</w:t>
            </w:r>
          </w:p>
        </w:tc>
        <w:tc>
          <w:tcPr>
            <w:tcW w:type="dxa" w:w="1966"/>
            <w:tcMar>
              <w:top w:type="dxa" w:w="70"/>
              <w:left w:type="dxa" w:w="100"/>
              <w:bottom w:type="dxa" w:w="70"/>
              <w:right w:type="dxa" w:w="100"/>
            </w:tcMar>
          </w:tcPr>
          <w:p>
            <w:r>
              <w:rPr>
                <w:b w:val="false"/>
                <w:bCs w:val="false"/>
                <w:sz w:val="18"/>
                <w:szCs w:val="18"/>
              </w:rPr>
              <w:t xml:space="preserve">Purpose-built entities (Patient, Appointment, OPDEncounter, Prescription, LabRequest, Invoice)</w:t>
            </w:r>
          </w:p>
        </w:tc>
        <w:tc>
          <w:tcPr>
            <w:tcW w:type="dxa" w:w="1966"/>
            <w:tcMar>
              <w:top w:type="dxa" w:w="70"/>
              <w:left w:type="dxa" w:w="100"/>
              <w:bottom w:type="dxa" w:w="70"/>
              <w:right w:type="dxa" w:w="100"/>
            </w:tcMar>
          </w:tcPr>
          <w:p>
            <w:r>
              <w:rPr>
                <w:b w:val="false"/>
                <w:bCs w:val="false"/>
                <w:sz w:val="18"/>
                <w:szCs w:val="18"/>
              </w:rPr>
              <w:t xml:space="preserve">Generic CRM entities repurposed (equipment=doctor, customer=patient, project=in-patient, product=lab test)</w:t>
            </w:r>
          </w:p>
        </w:tc>
        <w:tc>
          <w:tcPr>
            <w:tcW w:type="dxa" w:w="1966"/>
            <w:tcMar>
              <w:top w:type="dxa" w:w="70"/>
              <w:left w:type="dxa" w:w="100"/>
              <w:bottom w:type="dxa" w:w="70"/>
              <w:right w:type="dxa" w:w="100"/>
            </w:tcMar>
          </w:tcPr>
          <w:p>
            <w:r>
              <w:rPr>
                <w:b w:val="false"/>
                <w:bCs w:val="false"/>
                <w:sz w:val="18"/>
                <w:szCs w:val="18"/>
              </w:rPr>
              <w:t xml:space="preserve">Their repurposing is the direct cause of most of the bugs catalogued in their own audit (e.g., a ward filter that can never filter anything because every row is hardcoded to one ward)</w:t>
            </w:r>
          </w:p>
        </w:tc>
        <w:tc>
          <w:tcPr>
            <w:tcW w:type="dxa" w:w="1966"/>
            <w:tcMar>
              <w:top w:type="dxa" w:w="70"/>
              <w:left w:type="dxa" w:w="100"/>
              <w:bottom w:type="dxa" w:w="70"/>
              <w:right w:type="dxa" w:w="100"/>
            </w:tcMar>
          </w:tcPr>
          <w:p>
            <w:r>
              <w:rPr>
                <w:b w:val="false"/>
                <w:bCs w:val="false"/>
                <w:sz w:val="18"/>
                <w:szCs w:val="18"/>
              </w:rPr>
              <w:t xml:space="preserve">Nothing to borrow; a cautionary example against reusing a generic schema for clinical concepts (Section 11)</w:t>
            </w:r>
          </w:p>
        </w:tc>
      </w:tr>
      <w:tr>
        <w:tc>
          <w:tcPr>
            <w:tcW w:type="dxa" w:w="1498"/>
            <w:tcMar>
              <w:top w:type="dxa" w:w="70"/>
              <w:left w:type="dxa" w:w="100"/>
              <w:bottom w:type="dxa" w:w="70"/>
              <w:right w:type="dxa" w:w="100"/>
            </w:tcMar>
          </w:tcPr>
          <w:p>
            <w:r>
              <w:rPr>
                <w:b w:val="false"/>
                <w:bCs w:val="false"/>
                <w:sz w:val="18"/>
                <w:szCs w:val="18"/>
              </w:rPr>
              <w:t xml:space="preserve">Multi-tenant resolution</w:t>
            </w:r>
          </w:p>
        </w:tc>
        <w:tc>
          <w:tcPr>
            <w:tcW w:type="dxa" w:w="1966"/>
            <w:tcMar>
              <w:top w:type="dxa" w:w="70"/>
              <w:left w:type="dxa" w:w="100"/>
              <w:bottom w:type="dxa" w:w="70"/>
              <w:right w:type="dxa" w:w="100"/>
            </w:tcMar>
          </w:tcPr>
          <w:p>
            <w:r>
              <w:rPr>
                <w:b w:val="false"/>
                <w:bCs w:val="false"/>
                <w:sz w:val="18"/>
                <w:szCs w:val="18"/>
              </w:rPr>
              <w:t xml:space="preserve">Server-derived from the JWT's tenant claim</w:t>
            </w:r>
          </w:p>
        </w:tc>
        <w:tc>
          <w:tcPr>
            <w:tcW w:type="dxa" w:w="1966"/>
            <w:tcMar>
              <w:top w:type="dxa" w:w="70"/>
              <w:left w:type="dxa" w:w="100"/>
              <w:bottom w:type="dxa" w:w="70"/>
              <w:right w:type="dxa" w:w="100"/>
            </w:tcMar>
          </w:tcPr>
          <w:p>
            <w:r>
              <w:rPr>
                <w:b w:val="false"/>
                <w:bCs w:val="false"/>
                <w:sz w:val="18"/>
                <w:szCs w:val="18"/>
              </w:rPr>
              <w:t xml:space="preserve">Client-stored dbName string, not re-validated against the token</w:t>
            </w:r>
          </w:p>
        </w:tc>
        <w:tc>
          <w:tcPr>
            <w:tcW w:type="dxa" w:w="1966"/>
            <w:tcMar>
              <w:top w:type="dxa" w:w="70"/>
              <w:left w:type="dxa" w:w="100"/>
              <w:bottom w:type="dxa" w:w="70"/>
              <w:right w:type="dxa" w:w="100"/>
            </w:tcMar>
          </w:tcPr>
          <w:p>
            <w:r>
              <w:rPr>
                <w:b w:val="false"/>
                <w:bCs w:val="false"/>
                <w:sz w:val="18"/>
                <w:szCs w:val="18"/>
              </w:rPr>
              <w:t xml:space="preserve">Ours is the architecturally sound approach</w:t>
            </w:r>
          </w:p>
        </w:tc>
        <w:tc>
          <w:tcPr>
            <w:tcW w:type="dxa" w:w="1966"/>
            <w:tcMar>
              <w:top w:type="dxa" w:w="70"/>
              <w:left w:type="dxa" w:w="100"/>
              <w:bottom w:type="dxa" w:w="70"/>
              <w:right w:type="dxa" w:w="100"/>
            </w:tcMar>
          </w:tcPr>
          <w:p>
            <w:r>
              <w:rPr>
                <w:b w:val="false"/>
                <w:bCs w:val="false"/>
                <w:sz w:val="18"/>
                <w:szCs w:val="18"/>
              </w:rPr>
              <w:t xml:space="preserve">Nothing to borrow; explicit anti-pattern (Section 11)</w:t>
            </w:r>
          </w:p>
        </w:tc>
      </w:tr>
      <w:tr>
        <w:tc>
          <w:tcPr>
            <w:tcW w:type="dxa" w:w="1498"/>
            <w:tcMar>
              <w:top w:type="dxa" w:w="70"/>
              <w:left w:type="dxa" w:w="100"/>
              <w:bottom w:type="dxa" w:w="70"/>
              <w:right w:type="dxa" w:w="100"/>
            </w:tcMar>
          </w:tcPr>
          <w:p>
            <w:r>
              <w:rPr>
                <w:b w:val="false"/>
                <w:bCs w:val="false"/>
                <w:sz w:val="18"/>
                <w:szCs w:val="18"/>
              </w:rPr>
              <w:t xml:space="preserve">Billing/payment</w:t>
            </w:r>
          </w:p>
        </w:tc>
        <w:tc>
          <w:tcPr>
            <w:tcW w:type="dxa" w:w="1966"/>
            <w:tcMar>
              <w:top w:type="dxa" w:w="70"/>
              <w:left w:type="dxa" w:w="100"/>
              <w:bottom w:type="dxa" w:w="70"/>
              <w:right w:type="dxa" w:w="100"/>
            </w:tcMar>
          </w:tcPr>
          <w:p>
            <w:r>
              <w:rPr>
                <w:b w:val="false"/>
                <w:bCs w:val="false"/>
                <w:sz w:val="18"/>
                <w:szCs w:val="18"/>
              </w:rPr>
              <w:t xml:space="preserve">Real invoice/payment ledger tied to configurable services and real doctor fees; no electronic gateway either</w:t>
            </w:r>
          </w:p>
        </w:tc>
        <w:tc>
          <w:tcPr>
            <w:tcW w:type="dxa" w:w="1966"/>
            <w:tcMar>
              <w:top w:type="dxa" w:w="70"/>
              <w:left w:type="dxa" w:w="100"/>
              <w:bottom w:type="dxa" w:w="70"/>
              <w:right w:type="dxa" w:w="100"/>
            </w:tcMar>
          </w:tcPr>
          <w:p>
            <w:r>
              <w:rPr>
                <w:b w:val="false"/>
                <w:bCs w:val="false"/>
                <w:sz w:val="18"/>
                <w:szCs w:val="18"/>
              </w:rPr>
              <w:t xml:space="preserve">Hardcoded, non-functional “Payment Summary” display; no gateway</w:t>
            </w:r>
          </w:p>
        </w:tc>
        <w:tc>
          <w:tcPr>
            <w:tcW w:type="dxa" w:w="1966"/>
            <w:tcMar>
              <w:top w:type="dxa" w:w="70"/>
              <w:left w:type="dxa" w:w="100"/>
              <w:bottom w:type="dxa" w:w="70"/>
              <w:right w:type="dxa" w:w="100"/>
            </w:tcMar>
          </w:tcPr>
          <w:p>
            <w:r>
              <w:rPr>
                <w:b w:val="false"/>
                <w:bCs w:val="false"/>
                <w:sz w:val="18"/>
                <w:szCs w:val="18"/>
              </w:rPr>
              <w:t xml:space="preserve">Both lack a real gateway, but ours is at least a real, configurable ledger of real transactions</w:t>
            </w:r>
          </w:p>
        </w:tc>
        <w:tc>
          <w:tcPr>
            <w:tcW w:type="dxa" w:w="1966"/>
            <w:tcMar>
              <w:top w:type="dxa" w:w="70"/>
              <w:left w:type="dxa" w:w="100"/>
              <w:bottom w:type="dxa" w:w="70"/>
              <w:right w:type="dxa" w:w="100"/>
            </w:tcMar>
          </w:tcPr>
          <w:p>
            <w:r>
              <w:rPr>
                <w:b w:val="false"/>
                <w:bCs w:val="false"/>
                <w:sz w:val="18"/>
                <w:szCs w:val="18"/>
              </w:rPr>
              <w:t xml:space="preserve">Nothing to borrow</w:t>
            </w:r>
          </w:p>
        </w:tc>
      </w:tr>
      <w:tr>
        <w:tc>
          <w:tcPr>
            <w:tcW w:type="dxa" w:w="1498"/>
            <w:tcMar>
              <w:top w:type="dxa" w:w="70"/>
              <w:left w:type="dxa" w:w="100"/>
              <w:bottom w:type="dxa" w:w="70"/>
              <w:right w:type="dxa" w:w="100"/>
            </w:tcMar>
          </w:tcPr>
          <w:p>
            <w:r>
              <w:rPr>
                <w:b w:val="false"/>
                <w:bCs w:val="false"/>
                <w:sz w:val="18"/>
                <w:szCs w:val="18"/>
              </w:rPr>
              <w:t xml:space="preserve">IPD / ward / bed / surgery / nursing</w:t>
            </w:r>
          </w:p>
        </w:tc>
        <w:tc>
          <w:tcPr>
            <w:tcW w:type="dxa" w:w="1966"/>
            <w:tcMar>
              <w:top w:type="dxa" w:w="70"/>
              <w:left w:type="dxa" w:w="100"/>
              <w:bottom w:type="dxa" w:w="70"/>
              <w:right w:type="dxa" w:w="100"/>
            </w:tcMar>
          </w:tcPr>
          <w:p>
            <w:r>
              <w:rPr>
                <w:b w:val="false"/>
                <w:bCs w:val="false"/>
                <w:sz w:val="18"/>
                <w:szCs w:val="18"/>
              </w:rPr>
              <w:t xml:space="preserve">Not built (OPD-only)</w:t>
            </w:r>
          </w:p>
        </w:tc>
        <w:tc>
          <w:tcPr>
            <w:tcW w:type="dxa" w:w="1966"/>
            <w:tcMar>
              <w:top w:type="dxa" w:w="70"/>
              <w:left w:type="dxa" w:w="100"/>
              <w:bottom w:type="dxa" w:w="70"/>
              <w:right w:type="dxa" w:w="100"/>
            </w:tcMar>
          </w:tcPr>
          <w:p>
            <w:r>
              <w:rPr>
                <w:b w:val="false"/>
                <w:bCs w:val="false"/>
                <w:sz w:val="18"/>
                <w:szCs w:val="18"/>
              </w:rPr>
              <w:t xml:space="preserve">UI screens exist (In-Patient list/detail, Surgery detail) but are 100% mocked, no backend, no real data model</w:t>
            </w:r>
          </w:p>
        </w:tc>
        <w:tc>
          <w:tcPr>
            <w:tcW w:type="dxa" w:w="1966"/>
            <w:tcMar>
              <w:top w:type="dxa" w:w="70"/>
              <w:left w:type="dxa" w:w="100"/>
              <w:bottom w:type="dxa" w:w="70"/>
              <w:right w:type="dxa" w:w="100"/>
            </w:tcMar>
          </w:tcPr>
          <w:p>
            <w:r>
              <w:rPr>
                <w:b w:val="false"/>
                <w:bCs w:val="false"/>
                <w:sz w:val="18"/>
                <w:szCs w:val="18"/>
              </w:rPr>
              <w:t xml:space="preserve">Both systems lack a real IPD capability, but their screens sketch a rough shape for one</w:t>
            </w:r>
          </w:p>
        </w:tc>
        <w:tc>
          <w:tcPr>
            <w:tcW w:type="dxa" w:w="1966"/>
            <w:tcMar>
              <w:top w:type="dxa" w:w="70"/>
              <w:left w:type="dxa" w:w="100"/>
              <w:bottom w:type="dxa" w:w="70"/>
              <w:right w:type="dxa" w:w="100"/>
            </w:tcMar>
          </w:tcPr>
          <w:p>
            <w:r>
              <w:rPr>
                <w:b w:val="false"/>
                <w:bCs w:val="false"/>
                <w:sz w:val="18"/>
                <w:szCs w:val="18"/>
              </w:rPr>
              <w:t xml:space="preserve">Treat their screen layout only as a loose UX sketch if/when we scope a real IPD module — do not borrow their (non-existent) data model (Section 6)</w:t>
            </w:r>
          </w:p>
        </w:tc>
      </w:tr>
    </w:tbl>
    <w:p>
      <w:r>
        <w:br w:type="page"/>
      </w:r>
    </w:p>
    <w:p>
      <w:pPr>
        <w:pStyle w:val="Heading1"/>
        <w:spacing w:after="200" w:before="400"/>
      </w:pPr>
      <w:r>
        <w:t xml:space="preserve">4. What We Can Borrow — Prioritized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9"/>
        <w:gridCol w:w="2238"/>
        <w:gridCol w:w="1628"/>
        <w:gridCol w:w="2035"/>
        <w:gridCol w:w="2035"/>
        <w:gridCol w:w="916"/>
      </w:tblGrid>
      <w:tr>
        <w:trPr>
          <w:tblHeader/>
        </w:trPr>
        <w:tc>
          <w:tcPr>
            <w:tcW w:type="dxa" w:w="509"/>
            <w:shd w:fill="1E2761" w:val="clear"/>
            <w:tcMar>
              <w:top w:type="dxa" w:w="80"/>
              <w:left w:type="dxa" w:w="100"/>
              <w:bottom w:type="dxa" w:w="80"/>
              <w:right w:type="dxa" w:w="100"/>
            </w:tcMar>
          </w:tcPr>
          <w:p>
            <w:r>
              <w:rPr>
                <w:b/>
                <w:bCs/>
                <w:color w:val="FFFFFF"/>
                <w:sz w:val="18"/>
                <w:szCs w:val="18"/>
              </w:rPr>
              <w:t xml:space="preserve">#</w:t>
            </w:r>
          </w:p>
        </w:tc>
        <w:tc>
          <w:tcPr>
            <w:tcW w:type="dxa" w:w="2238"/>
            <w:shd w:fill="1E2761" w:val="clear"/>
            <w:tcMar>
              <w:top w:type="dxa" w:w="80"/>
              <w:left w:type="dxa" w:w="100"/>
              <w:bottom w:type="dxa" w:w="80"/>
              <w:right w:type="dxa" w:w="100"/>
            </w:tcMar>
          </w:tcPr>
          <w:p>
            <w:r>
              <w:rPr>
                <w:b/>
                <w:bCs/>
                <w:color w:val="FFFFFF"/>
                <w:sz w:val="18"/>
                <w:szCs w:val="18"/>
              </w:rPr>
              <w:t xml:space="preserve">What to Borrow</w:t>
            </w:r>
          </w:p>
        </w:tc>
        <w:tc>
          <w:tcPr>
            <w:tcW w:type="dxa" w:w="1628"/>
            <w:shd w:fill="1E2761" w:val="clear"/>
            <w:tcMar>
              <w:top w:type="dxa" w:w="80"/>
              <w:left w:type="dxa" w:w="100"/>
              <w:bottom w:type="dxa" w:w="80"/>
              <w:right w:type="dxa" w:w="100"/>
            </w:tcMar>
          </w:tcPr>
          <w:p>
            <w:r>
              <w:rPr>
                <w:b/>
                <w:bCs/>
                <w:color w:val="FFFFFF"/>
                <w:sz w:val="18"/>
                <w:szCs w:val="18"/>
              </w:rPr>
              <w:t xml:space="preserve">From Where</w:t>
            </w:r>
          </w:p>
        </w:tc>
        <w:tc>
          <w:tcPr>
            <w:tcW w:type="dxa" w:w="2035"/>
            <w:shd w:fill="1E2761" w:val="clear"/>
            <w:tcMar>
              <w:top w:type="dxa" w:w="80"/>
              <w:left w:type="dxa" w:w="100"/>
              <w:bottom w:type="dxa" w:w="80"/>
              <w:right w:type="dxa" w:w="100"/>
            </w:tcMar>
          </w:tcPr>
          <w:p>
            <w:r>
              <w:rPr>
                <w:b/>
                <w:bCs/>
                <w:color w:val="FFFFFF"/>
                <w:sz w:val="18"/>
                <w:szCs w:val="18"/>
              </w:rPr>
              <w:t xml:space="preserve">Existing HMS Equivalent</w:t>
            </w:r>
          </w:p>
        </w:tc>
        <w:tc>
          <w:tcPr>
            <w:tcW w:type="dxa" w:w="2035"/>
            <w:shd w:fill="1E2761" w:val="clear"/>
            <w:tcMar>
              <w:top w:type="dxa" w:w="80"/>
              <w:left w:type="dxa" w:w="100"/>
              <w:bottom w:type="dxa" w:w="80"/>
              <w:right w:type="dxa" w:w="100"/>
            </w:tcMar>
          </w:tcPr>
          <w:p>
            <w:r>
              <w:rPr>
                <w:b/>
                <w:bCs/>
                <w:color w:val="FFFFFF"/>
                <w:sz w:val="18"/>
                <w:szCs w:val="18"/>
              </w:rPr>
              <w:t xml:space="preserve">Recommendation</w:t>
            </w:r>
          </w:p>
        </w:tc>
        <w:tc>
          <w:tcPr>
            <w:tcW w:type="dxa" w:w="916"/>
            <w:shd w:fill="1E2761" w:val="clear"/>
            <w:tcMar>
              <w:top w:type="dxa" w:w="80"/>
              <w:left w:type="dxa" w:w="100"/>
              <w:bottom w:type="dxa" w:w="80"/>
              <w:right w:type="dxa" w:w="100"/>
            </w:tcMar>
          </w:tcPr>
          <w:p>
            <w:r>
              <w:rPr>
                <w:b/>
                <w:bCs/>
                <w:color w:val="FFFFFF"/>
                <w:sz w:val="18"/>
                <w:szCs w:val="18"/>
              </w:rPr>
              <w:t xml:space="preserve">Priority</w:t>
            </w:r>
          </w:p>
        </w:tc>
      </w:tr>
      <w:tr>
        <w:tc>
          <w:tcPr>
            <w:tcW w:type="dxa" w:w="509"/>
            <w:tcMar>
              <w:top w:type="dxa" w:w="70"/>
              <w:left w:type="dxa" w:w="100"/>
              <w:bottom w:type="dxa" w:w="70"/>
              <w:right w:type="dxa" w:w="100"/>
            </w:tcMar>
          </w:tcPr>
          <w:p>
            <w:r>
              <w:rPr>
                <w:b w:val="false"/>
                <w:bCs w:val="false"/>
                <w:sz w:val="18"/>
                <w:szCs w:val="18"/>
              </w:rPr>
              <w:t xml:space="preserve">1</w:t>
            </w:r>
          </w:p>
        </w:tc>
        <w:tc>
          <w:tcPr>
            <w:tcW w:type="dxa" w:w="2238"/>
            <w:tcMar>
              <w:top w:type="dxa" w:w="70"/>
              <w:left w:type="dxa" w:w="100"/>
              <w:bottom w:type="dxa" w:w="70"/>
              <w:right w:type="dxa" w:w="100"/>
            </w:tcMar>
          </w:tcPr>
          <w:p>
            <w:r>
              <w:rPr>
                <w:b w:val="false"/>
                <w:bCs w:val="false"/>
                <w:sz w:val="18"/>
                <w:szCs w:val="18"/>
              </w:rPr>
              <w:t xml:space="preserve">Patient-facing Care/Follow-up Tasks with completion tracking</w:t>
            </w:r>
          </w:p>
        </w:tc>
        <w:tc>
          <w:tcPr>
            <w:tcW w:type="dxa" w:w="1628"/>
            <w:tcMar>
              <w:top w:type="dxa" w:w="70"/>
              <w:left w:type="dxa" w:w="100"/>
              <w:bottom w:type="dxa" w:w="70"/>
              <w:right w:type="dxa" w:w="100"/>
            </w:tcMar>
          </w:tcPr>
          <w:p>
            <w:r>
              <w:rPr>
                <w:b w:val="false"/>
                <w:bCs w:val="false"/>
                <w:sz w:val="18"/>
                <w:szCs w:val="18"/>
              </w:rPr>
              <w:t xml:space="preserve">“My Activities” (patient app) + Medicine/Music/Exercise assignment (doctor app)</w:t>
            </w:r>
          </w:p>
        </w:tc>
        <w:tc>
          <w:tcPr>
            <w:tcW w:type="dxa" w:w="2035"/>
            <w:tcMar>
              <w:top w:type="dxa" w:w="70"/>
              <w:left w:type="dxa" w:w="100"/>
              <w:bottom w:type="dxa" w:w="70"/>
              <w:right w:type="dxa" w:w="100"/>
            </w:tcMar>
          </w:tcPr>
          <w:p>
            <w:r>
              <w:rPr>
                <w:b w:val="false"/>
                <w:bCs w:val="false"/>
                <w:sz w:val="18"/>
                <w:szCs w:val="18"/>
              </w:rPr>
              <w:t xml:space="preserve">apps.tasks backend exists and is fully real, but has zero frontend and is staff-only in concept</w:t>
            </w:r>
          </w:p>
        </w:tc>
        <w:tc>
          <w:tcPr>
            <w:tcW w:type="dxa" w:w="2035"/>
            <w:tcMar>
              <w:top w:type="dxa" w:w="70"/>
              <w:left w:type="dxa" w:w="100"/>
              <w:bottom w:type="dxa" w:w="70"/>
              <w:right w:type="dxa" w:w="100"/>
            </w:tcMar>
          </w:tcPr>
          <w:p>
            <w:r>
              <w:rPr>
                <w:b w:val="false"/>
                <w:bCs w:val="false"/>
                <w:sz w:val="18"/>
                <w:szCs w:val="18"/>
              </w:rPr>
              <w:t xml:space="preserve">BORROW THE CONCEPT ONLY</w:t>
            </w:r>
          </w:p>
        </w:tc>
        <w:tc>
          <w:tcPr>
            <w:tcW w:type="dxa" w:w="916"/>
            <w:tcMar>
              <w:top w:type="dxa" w:w="70"/>
              <w:left w:type="dxa" w:w="100"/>
              <w:bottom w:type="dxa" w:w="70"/>
              <w:right w:type="dxa" w:w="100"/>
            </w:tcMar>
          </w:tcPr>
          <w:p>
            <w:r>
              <w:rPr>
                <w:b w:val="false"/>
                <w:bCs w:val="false"/>
                <w:sz w:val="18"/>
                <w:szCs w:val="18"/>
              </w:rPr>
              <w:t xml:space="preserve">P0</w:t>
            </w:r>
          </w:p>
        </w:tc>
      </w:tr>
      <w:tr>
        <w:tc>
          <w:tcPr>
            <w:tcW w:type="dxa" w:w="509"/>
            <w:tcMar>
              <w:top w:type="dxa" w:w="70"/>
              <w:left w:type="dxa" w:w="100"/>
              <w:bottom w:type="dxa" w:w="70"/>
              <w:right w:type="dxa" w:w="100"/>
            </w:tcMar>
          </w:tcPr>
          <w:p>
            <w:r>
              <w:rPr>
                <w:b w:val="false"/>
                <w:bCs w:val="false"/>
                <w:sz w:val="18"/>
                <w:szCs w:val="18"/>
              </w:rPr>
              <w:t xml:space="preserve">2</w:t>
            </w:r>
          </w:p>
        </w:tc>
        <w:tc>
          <w:tcPr>
            <w:tcW w:type="dxa" w:w="2238"/>
            <w:tcMar>
              <w:top w:type="dxa" w:w="70"/>
              <w:left w:type="dxa" w:w="100"/>
              <w:bottom w:type="dxa" w:w="70"/>
              <w:right w:type="dxa" w:w="100"/>
            </w:tcMar>
          </w:tcPr>
          <w:p>
            <w:r>
              <w:rPr>
                <w:b w:val="false"/>
                <w:bCs w:val="false"/>
                <w:sz w:val="18"/>
                <w:szCs w:val="18"/>
              </w:rPr>
              <w:t xml:space="preserve">Lab order urgency/priority field</w:t>
            </w:r>
          </w:p>
        </w:tc>
        <w:tc>
          <w:tcPr>
            <w:tcW w:type="dxa" w:w="1628"/>
            <w:tcMar>
              <w:top w:type="dxa" w:w="70"/>
              <w:left w:type="dxa" w:w="100"/>
              <w:bottom w:type="dxa" w:w="70"/>
              <w:right w:type="dxa" w:w="100"/>
            </w:tcMar>
          </w:tcPr>
          <w:p>
            <w:r>
              <w:rPr>
                <w:b w:val="false"/>
                <w:bCs w:val="false"/>
                <w:sz w:val="18"/>
                <w:szCs w:val="18"/>
              </w:rPr>
              <w:t xml:space="preserve">OrderTest's dead Priority selector (doctor app)</w:t>
            </w:r>
          </w:p>
        </w:tc>
        <w:tc>
          <w:tcPr>
            <w:tcW w:type="dxa" w:w="2035"/>
            <w:tcMar>
              <w:top w:type="dxa" w:w="70"/>
              <w:left w:type="dxa" w:w="100"/>
              <w:bottom w:type="dxa" w:w="70"/>
              <w:right w:type="dxa" w:w="100"/>
            </w:tcMar>
          </w:tcPr>
          <w:p>
            <w:r>
              <w:rPr>
                <w:b w:val="false"/>
                <w:bCs w:val="false"/>
                <w:sz w:val="18"/>
                <w:szCs w:val="18"/>
              </w:rPr>
              <w:t xml:space="preserve">LabRequest has no urgency concept today</w:t>
            </w:r>
          </w:p>
        </w:tc>
        <w:tc>
          <w:tcPr>
            <w:tcW w:type="dxa" w:w="2035"/>
            <w:tcMar>
              <w:top w:type="dxa" w:w="70"/>
              <w:left w:type="dxa" w:w="100"/>
              <w:bottom w:type="dxa" w:w="70"/>
              <w:right w:type="dxa" w:w="100"/>
            </w:tcMar>
          </w:tcPr>
          <w:p>
            <w:r>
              <w:rPr>
                <w:b w:val="false"/>
                <w:bCs w:val="false"/>
                <w:sz w:val="18"/>
                <w:szCs w:val="18"/>
              </w:rPr>
              <w:t xml:space="preserve">BORROW THE CONCEPT ONLY</w:t>
            </w:r>
          </w:p>
        </w:tc>
        <w:tc>
          <w:tcPr>
            <w:tcW w:type="dxa" w:w="916"/>
            <w:tcMar>
              <w:top w:type="dxa" w:w="70"/>
              <w:left w:type="dxa" w:w="100"/>
              <w:bottom w:type="dxa" w:w="70"/>
              <w:right w:type="dxa" w:w="100"/>
            </w:tcMar>
          </w:tcPr>
          <w:p>
            <w:r>
              <w:rPr>
                <w:b w:val="false"/>
                <w:bCs w:val="false"/>
                <w:sz w:val="18"/>
                <w:szCs w:val="18"/>
              </w:rPr>
              <w:t xml:space="preserve">P1</w:t>
            </w:r>
          </w:p>
        </w:tc>
      </w:tr>
      <w:tr>
        <w:tc>
          <w:tcPr>
            <w:tcW w:type="dxa" w:w="509"/>
            <w:tcMar>
              <w:top w:type="dxa" w:w="70"/>
              <w:left w:type="dxa" w:w="100"/>
              <w:bottom w:type="dxa" w:w="70"/>
              <w:right w:type="dxa" w:w="100"/>
            </w:tcMar>
          </w:tcPr>
          <w:p>
            <w:r>
              <w:rPr>
                <w:b w:val="false"/>
                <w:bCs w:val="false"/>
                <w:sz w:val="18"/>
                <w:szCs w:val="18"/>
              </w:rPr>
              <w:t xml:space="preserve">3</w:t>
            </w:r>
          </w:p>
        </w:tc>
        <w:tc>
          <w:tcPr>
            <w:tcW w:type="dxa" w:w="2238"/>
            <w:tcMar>
              <w:top w:type="dxa" w:w="70"/>
              <w:left w:type="dxa" w:w="100"/>
              <w:bottom w:type="dxa" w:w="70"/>
              <w:right w:type="dxa" w:w="100"/>
            </w:tcMar>
          </w:tcPr>
          <w:p>
            <w:r>
              <w:rPr>
                <w:b w:val="false"/>
                <w:bCs w:val="false"/>
                <w:sz w:val="18"/>
                <w:szCs w:val="18"/>
              </w:rPr>
              <w:t xml:space="preserve">Unified “Documents” hub, tile-by-type landing page</w:t>
            </w:r>
          </w:p>
        </w:tc>
        <w:tc>
          <w:tcPr>
            <w:tcW w:type="dxa" w:w="1628"/>
            <w:tcMar>
              <w:top w:type="dxa" w:w="70"/>
              <w:left w:type="dxa" w:w="100"/>
              <w:bottom w:type="dxa" w:w="70"/>
              <w:right w:type="dxa" w:w="100"/>
            </w:tcMar>
          </w:tcPr>
          <w:p>
            <w:r>
              <w:rPr>
                <w:b w:val="false"/>
                <w:bCs w:val="false"/>
                <w:sz w:val="18"/>
                <w:szCs w:val="18"/>
              </w:rPr>
              <w:t xml:space="preserve">Reports module (patient app)</w:t>
            </w:r>
          </w:p>
        </w:tc>
        <w:tc>
          <w:tcPr>
            <w:tcW w:type="dxa" w:w="2035"/>
            <w:tcMar>
              <w:top w:type="dxa" w:w="70"/>
              <w:left w:type="dxa" w:w="100"/>
              <w:bottom w:type="dxa" w:w="70"/>
              <w:right w:type="dxa" w:w="100"/>
            </w:tcMar>
          </w:tcPr>
          <w:p>
            <w:r>
              <w:rPr>
                <w:b w:val="false"/>
                <w:bCs w:val="false"/>
                <w:sz w:val="18"/>
                <w:szCs w:val="18"/>
              </w:rPr>
              <w:t xml:space="preserve">Prescriptions/Bills/Records are separate pages today</w:t>
            </w:r>
          </w:p>
        </w:tc>
        <w:tc>
          <w:tcPr>
            <w:tcW w:type="dxa" w:w="2035"/>
            <w:tcMar>
              <w:top w:type="dxa" w:w="70"/>
              <w:left w:type="dxa" w:w="100"/>
              <w:bottom w:type="dxa" w:w="70"/>
              <w:right w:type="dxa" w:w="100"/>
            </w:tcMar>
          </w:tcPr>
          <w:p>
            <w:r>
              <w:rPr>
                <w:b w:val="false"/>
                <w:bCs w:val="false"/>
                <w:sz w:val="18"/>
                <w:szCs w:val="18"/>
              </w:rPr>
              <w:t xml:space="preserve">BORROW + IMPROVE</w:t>
            </w:r>
          </w:p>
        </w:tc>
        <w:tc>
          <w:tcPr>
            <w:tcW w:type="dxa" w:w="916"/>
            <w:tcMar>
              <w:top w:type="dxa" w:w="70"/>
              <w:left w:type="dxa" w:w="100"/>
              <w:bottom w:type="dxa" w:w="70"/>
              <w:right w:type="dxa" w:w="100"/>
            </w:tcMar>
          </w:tcPr>
          <w:p>
            <w:r>
              <w:rPr>
                <w:b w:val="false"/>
                <w:bCs w:val="false"/>
                <w:sz w:val="18"/>
                <w:szCs w:val="18"/>
              </w:rPr>
              <w:t xml:space="preserve">P1</w:t>
            </w:r>
          </w:p>
        </w:tc>
      </w:tr>
      <w:tr>
        <w:tc>
          <w:tcPr>
            <w:tcW w:type="dxa" w:w="509"/>
            <w:tcMar>
              <w:top w:type="dxa" w:w="70"/>
              <w:left w:type="dxa" w:w="100"/>
              <w:bottom w:type="dxa" w:w="70"/>
              <w:right w:type="dxa" w:w="100"/>
            </w:tcMar>
          </w:tcPr>
          <w:p>
            <w:r>
              <w:rPr>
                <w:b w:val="false"/>
                <w:bCs w:val="false"/>
                <w:sz w:val="18"/>
                <w:szCs w:val="18"/>
              </w:rPr>
              <w:t xml:space="preserve">4</w:t>
            </w:r>
          </w:p>
        </w:tc>
        <w:tc>
          <w:tcPr>
            <w:tcW w:type="dxa" w:w="2238"/>
            <w:tcMar>
              <w:top w:type="dxa" w:w="70"/>
              <w:left w:type="dxa" w:w="100"/>
              <w:bottom w:type="dxa" w:w="70"/>
              <w:right w:type="dxa" w:w="100"/>
            </w:tcMar>
          </w:tcPr>
          <w:p>
            <w:r>
              <w:rPr>
                <w:b w:val="false"/>
                <w:bCs w:val="false"/>
                <w:sz w:val="18"/>
                <w:szCs w:val="18"/>
              </w:rPr>
              <w:t xml:space="preserve">Add-to-calendar on booking confirmation</w:t>
            </w:r>
          </w:p>
        </w:tc>
        <w:tc>
          <w:tcPr>
            <w:tcW w:type="dxa" w:w="1628"/>
            <w:tcMar>
              <w:top w:type="dxa" w:w="70"/>
              <w:left w:type="dxa" w:w="100"/>
              <w:bottom w:type="dxa" w:w="70"/>
              <w:right w:type="dxa" w:w="100"/>
            </w:tcMar>
          </w:tcPr>
          <w:p>
            <w:r>
              <w:rPr>
                <w:b w:val="false"/>
                <w:bCs w:val="false"/>
                <w:sz w:val="18"/>
                <w:szCs w:val="18"/>
              </w:rPr>
              <w:t xml:space="preserve">MyAppointments/BookingConfirmation (patient app)</w:t>
            </w:r>
          </w:p>
        </w:tc>
        <w:tc>
          <w:tcPr>
            <w:tcW w:type="dxa" w:w="2035"/>
            <w:tcMar>
              <w:top w:type="dxa" w:w="70"/>
              <w:left w:type="dxa" w:w="100"/>
              <w:bottom w:type="dxa" w:w="70"/>
              <w:right w:type="dxa" w:w="100"/>
            </w:tcMar>
          </w:tcPr>
          <w:p>
            <w:r>
              <w:rPr>
                <w:b w:val="false"/>
                <w:bCs w:val="false"/>
                <w:sz w:val="18"/>
                <w:szCs w:val="18"/>
              </w:rPr>
              <w:t xml:space="preserve">Not present</w:t>
            </w:r>
          </w:p>
        </w:tc>
        <w:tc>
          <w:tcPr>
            <w:tcW w:type="dxa" w:w="2035"/>
            <w:tcMar>
              <w:top w:type="dxa" w:w="70"/>
              <w:left w:type="dxa" w:w="100"/>
              <w:bottom w:type="dxa" w:w="70"/>
              <w:right w:type="dxa" w:w="100"/>
            </w:tcMar>
          </w:tcPr>
          <w:p>
            <w:r>
              <w:rPr>
                <w:b w:val="false"/>
                <w:bCs w:val="false"/>
                <w:sz w:val="18"/>
                <w:szCs w:val="18"/>
              </w:rPr>
              <w:t xml:space="preserve">BORROW AS-IS (adapted to web/.ics)</w:t>
            </w:r>
          </w:p>
        </w:tc>
        <w:tc>
          <w:tcPr>
            <w:tcW w:type="dxa" w:w="916"/>
            <w:tcMar>
              <w:top w:type="dxa" w:w="70"/>
              <w:left w:type="dxa" w:w="100"/>
              <w:bottom w:type="dxa" w:w="70"/>
              <w:right w:type="dxa" w:w="100"/>
            </w:tcMar>
          </w:tcPr>
          <w:p>
            <w:r>
              <w:rPr>
                <w:b w:val="false"/>
                <w:bCs w:val="false"/>
                <w:sz w:val="18"/>
                <w:szCs w:val="18"/>
              </w:rPr>
              <w:t xml:space="preserve">P1</w:t>
            </w:r>
          </w:p>
        </w:tc>
      </w:tr>
      <w:tr>
        <w:tc>
          <w:tcPr>
            <w:tcW w:type="dxa" w:w="509"/>
            <w:tcMar>
              <w:top w:type="dxa" w:w="70"/>
              <w:left w:type="dxa" w:w="100"/>
              <w:bottom w:type="dxa" w:w="70"/>
              <w:right w:type="dxa" w:w="100"/>
            </w:tcMar>
          </w:tcPr>
          <w:p>
            <w:r>
              <w:rPr>
                <w:b w:val="false"/>
                <w:bCs w:val="false"/>
                <w:sz w:val="18"/>
                <w:szCs w:val="18"/>
              </w:rPr>
              <w:t xml:space="preserve">5</w:t>
            </w:r>
          </w:p>
        </w:tc>
        <w:tc>
          <w:tcPr>
            <w:tcW w:type="dxa" w:w="2238"/>
            <w:tcMar>
              <w:top w:type="dxa" w:w="70"/>
              <w:left w:type="dxa" w:w="100"/>
              <w:bottom w:type="dxa" w:w="70"/>
              <w:right w:type="dxa" w:w="100"/>
            </w:tcMar>
          </w:tcPr>
          <w:p>
            <w:r>
              <w:rPr>
                <w:b w:val="false"/>
                <w:bCs w:val="false"/>
                <w:sz w:val="18"/>
                <w:szCs w:val="18"/>
              </w:rPr>
              <w:t xml:space="preserve">Secure biometric/PIN quick re-auth</w:t>
            </w:r>
          </w:p>
        </w:tc>
        <w:tc>
          <w:tcPr>
            <w:tcW w:type="dxa" w:w="1628"/>
            <w:tcMar>
              <w:top w:type="dxa" w:w="70"/>
              <w:left w:type="dxa" w:w="100"/>
              <w:bottom w:type="dxa" w:w="70"/>
              <w:right w:type="dxa" w:w="100"/>
            </w:tcMar>
          </w:tcPr>
          <w:p>
            <w:r>
              <w:rPr>
                <w:b w:val="false"/>
                <w:bCs w:val="false"/>
                <w:sz w:val="18"/>
                <w:szCs w:val="18"/>
              </w:rPr>
              <w:t xml:space="preserve">PIN + biometric re-auth (both apps)</w:t>
            </w:r>
          </w:p>
        </w:tc>
        <w:tc>
          <w:tcPr>
            <w:tcW w:type="dxa" w:w="2035"/>
            <w:tcMar>
              <w:top w:type="dxa" w:w="70"/>
              <w:left w:type="dxa" w:w="100"/>
              <w:bottom w:type="dxa" w:w="70"/>
              <w:right w:type="dxa" w:w="100"/>
            </w:tcMar>
          </w:tcPr>
          <w:p>
            <w:r>
              <w:rPr>
                <w:b w:val="false"/>
                <w:bCs w:val="false"/>
                <w:sz w:val="18"/>
                <w:szCs w:val="18"/>
              </w:rPr>
              <w:t xml:space="preserve">Not present (and not needed without a mobile app)</w:t>
            </w:r>
          </w:p>
        </w:tc>
        <w:tc>
          <w:tcPr>
            <w:tcW w:type="dxa" w:w="2035"/>
            <w:tcMar>
              <w:top w:type="dxa" w:w="70"/>
              <w:left w:type="dxa" w:w="100"/>
              <w:bottom w:type="dxa" w:w="70"/>
              <w:right w:type="dxa" w:w="100"/>
            </w:tcMar>
          </w:tcPr>
          <w:p>
            <w:r>
              <w:rPr>
                <w:b w:val="false"/>
                <w:bCs w:val="false"/>
                <w:sz w:val="18"/>
                <w:szCs w:val="18"/>
              </w:rPr>
              <w:t xml:space="preserve">BORROW THE CONCEPT ONLY — must be re-engineered securely</w:t>
            </w:r>
          </w:p>
        </w:tc>
        <w:tc>
          <w:tcPr>
            <w:tcW w:type="dxa" w:w="916"/>
            <w:tcMar>
              <w:top w:type="dxa" w:w="70"/>
              <w:left w:type="dxa" w:w="100"/>
              <w:bottom w:type="dxa" w:w="70"/>
              <w:right w:type="dxa" w:w="100"/>
            </w:tcMar>
          </w:tcPr>
          <w:p>
            <w:r>
              <w:rPr>
                <w:b w:val="false"/>
                <w:bCs w:val="false"/>
                <w:sz w:val="18"/>
                <w:szCs w:val="18"/>
              </w:rPr>
              <w:t xml:space="preserve">P2 (gated on #8)</w:t>
            </w:r>
          </w:p>
        </w:tc>
      </w:tr>
      <w:tr>
        <w:tc>
          <w:tcPr>
            <w:tcW w:type="dxa" w:w="509"/>
            <w:tcMar>
              <w:top w:type="dxa" w:w="70"/>
              <w:left w:type="dxa" w:w="100"/>
              <w:bottom w:type="dxa" w:w="70"/>
              <w:right w:type="dxa" w:w="100"/>
            </w:tcMar>
          </w:tcPr>
          <w:p>
            <w:r>
              <w:rPr>
                <w:b w:val="false"/>
                <w:bCs w:val="false"/>
                <w:sz w:val="18"/>
                <w:szCs w:val="18"/>
              </w:rPr>
              <w:t xml:space="preserve">6</w:t>
            </w:r>
          </w:p>
        </w:tc>
        <w:tc>
          <w:tcPr>
            <w:tcW w:type="dxa" w:w="2238"/>
            <w:tcMar>
              <w:top w:type="dxa" w:w="70"/>
              <w:left w:type="dxa" w:w="100"/>
              <w:bottom w:type="dxa" w:w="70"/>
              <w:right w:type="dxa" w:w="100"/>
            </w:tcMar>
          </w:tcPr>
          <w:p>
            <w:r>
              <w:rPr>
                <w:b w:val="false"/>
                <w:bCs w:val="false"/>
                <w:sz w:val="18"/>
                <w:szCs w:val="18"/>
              </w:rPr>
              <w:t xml:space="preserve">Slot-level status labels during reschedule (“Current” highlighting)</w:t>
            </w:r>
          </w:p>
        </w:tc>
        <w:tc>
          <w:tcPr>
            <w:tcW w:type="dxa" w:w="1628"/>
            <w:tcMar>
              <w:top w:type="dxa" w:w="70"/>
              <w:left w:type="dxa" w:w="100"/>
              <w:bottom w:type="dxa" w:w="70"/>
              <w:right w:type="dxa" w:w="100"/>
            </w:tcMar>
          </w:tcPr>
          <w:p>
            <w:r>
              <w:rPr>
                <w:b w:val="false"/>
                <w:bCs w:val="false"/>
                <w:sz w:val="18"/>
                <w:szCs w:val="18"/>
              </w:rPr>
              <w:t xml:space="preserve">DateTimeForm slot status derivation (patient app)</w:t>
            </w:r>
          </w:p>
        </w:tc>
        <w:tc>
          <w:tcPr>
            <w:tcW w:type="dxa" w:w="2035"/>
            <w:tcMar>
              <w:top w:type="dxa" w:w="70"/>
              <w:left w:type="dxa" w:w="100"/>
              <w:bottom w:type="dxa" w:w="70"/>
              <w:right w:type="dxa" w:w="100"/>
            </w:tcMar>
          </w:tcPr>
          <w:p>
            <w:r>
              <w:rPr>
                <w:b w:val="false"/>
                <w:bCs w:val="false"/>
                <w:sz w:val="18"/>
                <w:szCs w:val="18"/>
              </w:rPr>
              <w:t xml:space="preserve">Our AvailabilityCalendar greys out unavailable days, not individual slots mid-reschedule</w:t>
            </w:r>
          </w:p>
        </w:tc>
        <w:tc>
          <w:tcPr>
            <w:tcW w:type="dxa" w:w="2035"/>
            <w:tcMar>
              <w:top w:type="dxa" w:w="70"/>
              <w:left w:type="dxa" w:w="100"/>
              <w:bottom w:type="dxa" w:w="70"/>
              <w:right w:type="dxa" w:w="100"/>
            </w:tcMar>
          </w:tcPr>
          <w:p>
            <w:r>
              <w:rPr>
                <w:b w:val="false"/>
                <w:bCs w:val="false"/>
                <w:sz w:val="18"/>
                <w:szCs w:val="18"/>
              </w:rPr>
              <w:t xml:space="preserve">BORROW THE CONCEPT ONLY</w:t>
            </w:r>
          </w:p>
        </w:tc>
        <w:tc>
          <w:tcPr>
            <w:tcW w:type="dxa" w:w="916"/>
            <w:tcMar>
              <w:top w:type="dxa" w:w="70"/>
              <w:left w:type="dxa" w:w="100"/>
              <w:bottom w:type="dxa" w:w="70"/>
              <w:right w:type="dxa" w:w="100"/>
            </w:tcMar>
          </w:tcPr>
          <w:p>
            <w:r>
              <w:rPr>
                <w:b w:val="false"/>
                <w:bCs w:val="false"/>
                <w:sz w:val="18"/>
                <w:szCs w:val="18"/>
              </w:rPr>
              <w:t xml:space="preserve">P2</w:t>
            </w:r>
          </w:p>
        </w:tc>
      </w:tr>
      <w:tr>
        <w:tc>
          <w:tcPr>
            <w:tcW w:type="dxa" w:w="509"/>
            <w:tcMar>
              <w:top w:type="dxa" w:w="70"/>
              <w:left w:type="dxa" w:w="100"/>
              <w:bottom w:type="dxa" w:w="70"/>
              <w:right w:type="dxa" w:w="100"/>
            </w:tcMar>
          </w:tcPr>
          <w:p>
            <w:r>
              <w:rPr>
                <w:b w:val="false"/>
                <w:bCs w:val="false"/>
                <w:sz w:val="18"/>
                <w:szCs w:val="18"/>
              </w:rPr>
              <w:t xml:space="preserve">7</w:t>
            </w:r>
          </w:p>
        </w:tc>
        <w:tc>
          <w:tcPr>
            <w:tcW w:type="dxa" w:w="2238"/>
            <w:tcMar>
              <w:top w:type="dxa" w:w="70"/>
              <w:left w:type="dxa" w:w="100"/>
              <w:bottom w:type="dxa" w:w="70"/>
              <w:right w:type="dxa" w:w="100"/>
            </w:tcMar>
          </w:tcPr>
          <w:p>
            <w:r>
              <w:rPr>
                <w:b w:val="false"/>
                <w:bCs w:val="false"/>
                <w:sz w:val="18"/>
                <w:szCs w:val="18"/>
              </w:rPr>
              <w:t xml:space="preserve">Server-fetched tenant/company selector list</w:t>
            </w:r>
          </w:p>
        </w:tc>
        <w:tc>
          <w:tcPr>
            <w:tcW w:type="dxa" w:w="1628"/>
            <w:tcMar>
              <w:top w:type="dxa" w:w="70"/>
              <w:left w:type="dxa" w:w="100"/>
              <w:bottom w:type="dxa" w:w="70"/>
              <w:right w:type="dxa" w:w="100"/>
            </w:tcMar>
          </w:tcPr>
          <w:p>
            <w:r>
              <w:rPr>
                <w:b w:val="false"/>
                <w:bCs w:val="false"/>
                <w:sz w:val="18"/>
                <w:szCs w:val="18"/>
              </w:rPr>
              <w:t xml:space="preserve">get_applicable_site (both apps)</w:t>
            </w:r>
          </w:p>
        </w:tc>
        <w:tc>
          <w:tcPr>
            <w:tcW w:type="dxa" w:w="2035"/>
            <w:tcMar>
              <w:top w:type="dxa" w:w="70"/>
              <w:left w:type="dxa" w:w="100"/>
              <w:bottom w:type="dxa" w:w="70"/>
              <w:right w:type="dxa" w:w="100"/>
            </w:tcMar>
          </w:tcPr>
          <w:p>
            <w:r>
              <w:rPr>
                <w:b w:val="false"/>
                <w:bCs w:val="false"/>
                <w:sz w:val="18"/>
                <w:szCs w:val="18"/>
              </w:rPr>
              <w:t xml:space="preserve">We resolve tenant via subdomain, which a single mobile binary can't replicate</w:t>
            </w:r>
          </w:p>
        </w:tc>
        <w:tc>
          <w:tcPr>
            <w:tcW w:type="dxa" w:w="2035"/>
            <w:tcMar>
              <w:top w:type="dxa" w:w="70"/>
              <w:left w:type="dxa" w:w="100"/>
              <w:bottom w:type="dxa" w:w="70"/>
              <w:right w:type="dxa" w:w="100"/>
            </w:tcMar>
          </w:tcPr>
          <w:p>
            <w:r>
              <w:rPr>
                <w:b w:val="false"/>
                <w:bCs w:val="false"/>
                <w:sz w:val="18"/>
                <w:szCs w:val="18"/>
              </w:rPr>
              <w:t xml:space="preserve">INSPIRE A NEW WORKFLOW (precondition for #8)</w:t>
            </w:r>
          </w:p>
        </w:tc>
        <w:tc>
          <w:tcPr>
            <w:tcW w:type="dxa" w:w="916"/>
            <w:tcMar>
              <w:top w:type="dxa" w:w="70"/>
              <w:left w:type="dxa" w:w="100"/>
              <w:bottom w:type="dxa" w:w="70"/>
              <w:right w:type="dxa" w:w="100"/>
            </w:tcMar>
          </w:tcPr>
          <w:p>
            <w:r>
              <w:rPr>
                <w:b w:val="false"/>
                <w:bCs w:val="false"/>
                <w:sz w:val="18"/>
                <w:szCs w:val="18"/>
              </w:rPr>
              <w:t xml:space="preserve">P2</w:t>
            </w:r>
          </w:p>
        </w:tc>
      </w:tr>
      <w:tr>
        <w:tc>
          <w:tcPr>
            <w:tcW w:type="dxa" w:w="509"/>
            <w:tcMar>
              <w:top w:type="dxa" w:w="70"/>
              <w:left w:type="dxa" w:w="100"/>
              <w:bottom w:type="dxa" w:w="70"/>
              <w:right w:type="dxa" w:w="100"/>
            </w:tcMar>
          </w:tcPr>
          <w:p>
            <w:r>
              <w:rPr>
                <w:b w:val="false"/>
                <w:bCs w:val="false"/>
                <w:sz w:val="18"/>
                <w:szCs w:val="18"/>
              </w:rPr>
              <w:t xml:space="preserve">8</w:t>
            </w:r>
          </w:p>
        </w:tc>
        <w:tc>
          <w:tcPr>
            <w:tcW w:type="dxa" w:w="2238"/>
            <w:tcMar>
              <w:top w:type="dxa" w:w="70"/>
              <w:left w:type="dxa" w:w="100"/>
              <w:bottom w:type="dxa" w:w="70"/>
              <w:right w:type="dxa" w:w="100"/>
            </w:tcMar>
          </w:tcPr>
          <w:p>
            <w:r>
              <w:rPr>
                <w:b w:val="false"/>
                <w:bCs w:val="false"/>
                <w:sz w:val="18"/>
                <w:szCs w:val="18"/>
              </w:rPr>
              <w:t xml:space="preserve">Native mobile companion apps (doctor + patient), built on our real backend</w:t>
            </w:r>
          </w:p>
        </w:tc>
        <w:tc>
          <w:tcPr>
            <w:tcW w:type="dxa" w:w="1628"/>
            <w:tcMar>
              <w:top w:type="dxa" w:w="70"/>
              <w:left w:type="dxa" w:w="100"/>
              <w:bottom w:type="dxa" w:w="70"/>
              <w:right w:type="dxa" w:w="100"/>
            </w:tcMar>
          </w:tcPr>
          <w:p>
            <w:r>
              <w:rPr>
                <w:b w:val="false"/>
                <w:bCs w:val="false"/>
                <w:sz w:val="18"/>
                <w:szCs w:val="18"/>
              </w:rPr>
              <w:t xml:space="preserve">Both apps' existence, not their implementation</w:t>
            </w:r>
          </w:p>
        </w:tc>
        <w:tc>
          <w:tcPr>
            <w:tcW w:type="dxa" w:w="2035"/>
            <w:tcMar>
              <w:top w:type="dxa" w:w="70"/>
              <w:left w:type="dxa" w:w="100"/>
              <w:bottom w:type="dxa" w:w="70"/>
              <w:right w:type="dxa" w:w="100"/>
            </w:tcMar>
          </w:tcPr>
          <w:p>
            <w:r>
              <w:rPr>
                <w:b w:val="false"/>
                <w:bCs w:val="false"/>
                <w:sz w:val="18"/>
                <w:szCs w:val="18"/>
              </w:rPr>
              <w:t xml:space="preserve">Web SPA only</w:t>
            </w:r>
          </w:p>
        </w:tc>
        <w:tc>
          <w:tcPr>
            <w:tcW w:type="dxa" w:w="2035"/>
            <w:tcMar>
              <w:top w:type="dxa" w:w="70"/>
              <w:left w:type="dxa" w:w="100"/>
              <w:bottom w:type="dxa" w:w="70"/>
              <w:right w:type="dxa" w:w="100"/>
            </w:tcMar>
          </w:tcPr>
          <w:p>
            <w:r>
              <w:rPr>
                <w:b w:val="false"/>
                <w:bCs w:val="false"/>
                <w:sz w:val="18"/>
                <w:szCs w:val="18"/>
              </w:rPr>
              <w:t xml:space="preserve">INSPIRE A NEW WORKFLOW</w:t>
            </w:r>
          </w:p>
        </w:tc>
        <w:tc>
          <w:tcPr>
            <w:tcW w:type="dxa" w:w="916"/>
            <w:tcMar>
              <w:top w:type="dxa" w:w="70"/>
              <w:left w:type="dxa" w:w="100"/>
              <w:bottom w:type="dxa" w:w="70"/>
              <w:right w:type="dxa" w:w="100"/>
            </w:tcMar>
          </w:tcPr>
          <w:p>
            <w:r>
              <w:rPr>
                <w:b w:val="false"/>
                <w:bCs w:val="false"/>
                <w:sz w:val="18"/>
                <w:szCs w:val="18"/>
              </w:rPr>
              <w:t xml:space="preserve">P3</w:t>
            </w:r>
          </w:p>
        </w:tc>
      </w:tr>
      <w:tr>
        <w:tc>
          <w:tcPr>
            <w:tcW w:type="dxa" w:w="509"/>
            <w:tcMar>
              <w:top w:type="dxa" w:w="70"/>
              <w:left w:type="dxa" w:w="100"/>
              <w:bottom w:type="dxa" w:w="70"/>
              <w:right w:type="dxa" w:w="100"/>
            </w:tcMar>
          </w:tcPr>
          <w:p>
            <w:r>
              <w:rPr>
                <w:b w:val="false"/>
                <w:bCs w:val="false"/>
                <w:sz w:val="18"/>
                <w:szCs w:val="18"/>
              </w:rPr>
              <w:t xml:space="preserve">9</w:t>
            </w:r>
          </w:p>
        </w:tc>
        <w:tc>
          <w:tcPr>
            <w:tcW w:type="dxa" w:w="2238"/>
            <w:tcMar>
              <w:top w:type="dxa" w:w="70"/>
              <w:left w:type="dxa" w:w="100"/>
              <w:bottom w:type="dxa" w:w="70"/>
              <w:right w:type="dxa" w:w="100"/>
            </w:tcMar>
          </w:tcPr>
          <w:p>
            <w:r>
              <w:rPr>
                <w:b w:val="false"/>
                <w:bCs w:val="false"/>
                <w:sz w:val="18"/>
                <w:szCs w:val="18"/>
              </w:rPr>
              <w:t xml:space="preserve">Document-type short-code taxonomy (RX-001/LAB-001/RAD-RPT-001/...)</w:t>
            </w:r>
          </w:p>
        </w:tc>
        <w:tc>
          <w:tcPr>
            <w:tcW w:type="dxa" w:w="1628"/>
            <w:tcMar>
              <w:top w:type="dxa" w:w="70"/>
              <w:left w:type="dxa" w:w="100"/>
              <w:bottom w:type="dxa" w:w="70"/>
              <w:right w:type="dxa" w:w="100"/>
            </w:tcMar>
          </w:tcPr>
          <w:p>
            <w:r>
              <w:rPr>
                <w:b w:val="false"/>
                <w:bCs w:val="false"/>
                <w:sz w:val="18"/>
                <w:szCs w:val="18"/>
              </w:rPr>
              <w:t xml:space="preserve">Reports document types (patient app)</w:t>
            </w:r>
          </w:p>
        </w:tc>
        <w:tc>
          <w:tcPr>
            <w:tcW w:type="dxa" w:w="2035"/>
            <w:tcMar>
              <w:top w:type="dxa" w:w="70"/>
              <w:left w:type="dxa" w:w="100"/>
              <w:bottom w:type="dxa" w:w="70"/>
              <w:right w:type="dxa" w:w="100"/>
            </w:tcMar>
          </w:tcPr>
          <w:p>
            <w:r>
              <w:rPr>
                <w:b w:val="false"/>
                <w:bCs w:val="false"/>
                <w:sz w:val="18"/>
                <w:szCs w:val="18"/>
              </w:rPr>
              <w:t xml:space="preserve">No formal document-category enum today</w:t>
            </w:r>
          </w:p>
        </w:tc>
        <w:tc>
          <w:tcPr>
            <w:tcW w:type="dxa" w:w="2035"/>
            <w:tcMar>
              <w:top w:type="dxa" w:w="70"/>
              <w:left w:type="dxa" w:w="100"/>
              <w:bottom w:type="dxa" w:w="70"/>
              <w:right w:type="dxa" w:w="100"/>
            </w:tcMar>
          </w:tcPr>
          <w:p>
            <w:r>
              <w:rPr>
                <w:b w:val="false"/>
                <w:bCs w:val="false"/>
                <w:sz w:val="18"/>
                <w:szCs w:val="18"/>
              </w:rPr>
              <w:t xml:space="preserve">BORROW THE CONCEPT ONLY (feeds #3)</w:t>
            </w:r>
          </w:p>
        </w:tc>
        <w:tc>
          <w:tcPr>
            <w:tcW w:type="dxa" w:w="916"/>
            <w:tcMar>
              <w:top w:type="dxa" w:w="70"/>
              <w:left w:type="dxa" w:w="100"/>
              <w:bottom w:type="dxa" w:w="70"/>
              <w:right w:type="dxa" w:w="100"/>
            </w:tcMar>
          </w:tcPr>
          <w:p>
            <w:r>
              <w:rPr>
                <w:b w:val="false"/>
                <w:bCs w:val="false"/>
                <w:sz w:val="18"/>
                <w:szCs w:val="18"/>
              </w:rPr>
              <w:t xml:space="preserve">P2</w:t>
            </w:r>
          </w:p>
        </w:tc>
      </w:tr>
      <w:tr>
        <w:tc>
          <w:tcPr>
            <w:tcW w:type="dxa" w:w="509"/>
            <w:tcMar>
              <w:top w:type="dxa" w:w="70"/>
              <w:left w:type="dxa" w:w="100"/>
              <w:bottom w:type="dxa" w:w="70"/>
              <w:right w:type="dxa" w:w="100"/>
            </w:tcMar>
          </w:tcPr>
          <w:p>
            <w:r>
              <w:rPr>
                <w:b w:val="false"/>
                <w:bCs w:val="false"/>
                <w:sz w:val="18"/>
                <w:szCs w:val="18"/>
              </w:rPr>
              <w:t xml:space="preserve">10</w:t>
            </w:r>
          </w:p>
        </w:tc>
        <w:tc>
          <w:tcPr>
            <w:tcW w:type="dxa" w:w="2238"/>
            <w:tcMar>
              <w:top w:type="dxa" w:w="70"/>
              <w:left w:type="dxa" w:w="100"/>
              <w:bottom w:type="dxa" w:w="70"/>
              <w:right w:type="dxa" w:w="100"/>
            </w:tcMar>
          </w:tcPr>
          <w:p>
            <w:r>
              <w:rPr>
                <w:b w:val="false"/>
                <w:bCs w:val="false"/>
                <w:sz w:val="18"/>
                <w:szCs w:val="18"/>
              </w:rPr>
              <w:t xml:space="preserve">Single combined “attach report + mark visit done” fast action</w:t>
            </w:r>
          </w:p>
        </w:tc>
        <w:tc>
          <w:tcPr>
            <w:tcW w:type="dxa" w:w="1628"/>
            <w:tcMar>
              <w:top w:type="dxa" w:w="70"/>
              <w:left w:type="dxa" w:w="100"/>
              <w:bottom w:type="dxa" w:w="70"/>
              <w:right w:type="dxa" w:w="100"/>
            </w:tcMar>
          </w:tcPr>
          <w:p>
            <w:r>
              <w:rPr>
                <w:b w:val="false"/>
                <w:bCs w:val="false"/>
                <w:sz w:val="18"/>
                <w:szCs w:val="18"/>
              </w:rPr>
              <w:t xml:space="preserve">Complete-a-booking workflow (doctor app)</w:t>
            </w:r>
          </w:p>
        </w:tc>
        <w:tc>
          <w:tcPr>
            <w:tcW w:type="dxa" w:w="2035"/>
            <w:tcMar>
              <w:top w:type="dxa" w:w="70"/>
              <w:left w:type="dxa" w:w="100"/>
              <w:bottom w:type="dxa" w:w="70"/>
              <w:right w:type="dxa" w:w="100"/>
            </w:tcMar>
          </w:tcPr>
          <w:p>
            <w:r>
              <w:rPr>
                <w:b w:val="false"/>
                <w:bCs w:val="false"/>
                <w:sz w:val="18"/>
                <w:szCs w:val="18"/>
              </w:rPr>
              <w:t xml:space="preserve">Our OPD flow is richer but multi-screen (vitals → encounter → prescription → sign)</w:t>
            </w:r>
          </w:p>
        </w:tc>
        <w:tc>
          <w:tcPr>
            <w:tcW w:type="dxa" w:w="2035"/>
            <w:tcMar>
              <w:top w:type="dxa" w:w="70"/>
              <w:left w:type="dxa" w:w="100"/>
              <w:bottom w:type="dxa" w:w="70"/>
              <w:right w:type="dxa" w:w="100"/>
            </w:tcMar>
          </w:tcPr>
          <w:p>
            <w:r>
              <w:rPr>
                <w:b w:val="false"/>
                <w:bCs w:val="false"/>
                <w:sz w:val="18"/>
                <w:szCs w:val="18"/>
              </w:rPr>
              <w:t xml:space="preserve">INSPIRE A NEW WORKFLOW (fast-path add-on for simple/follow-up visits)</w:t>
            </w:r>
          </w:p>
        </w:tc>
        <w:tc>
          <w:tcPr>
            <w:tcW w:type="dxa" w:w="916"/>
            <w:tcMar>
              <w:top w:type="dxa" w:w="70"/>
              <w:left w:type="dxa" w:w="100"/>
              <w:bottom w:type="dxa" w:w="70"/>
              <w:right w:type="dxa" w:w="100"/>
            </w:tcMar>
          </w:tcPr>
          <w:p>
            <w:r>
              <w:rPr>
                <w:b w:val="false"/>
                <w:bCs w:val="false"/>
                <w:sz w:val="18"/>
                <w:szCs w:val="18"/>
              </w:rPr>
              <w:t xml:space="preserve">P2</w:t>
            </w:r>
          </w:p>
        </w:tc>
      </w:tr>
    </w:tbl>
    <w:p>
      <w:r>
        <w:br w:type="page"/>
      </w:r>
    </w:p>
    <w:p>
      <w:pPr>
        <w:pStyle w:val="Heading1"/>
        <w:spacing w:after="200" w:before="400"/>
      </w:pPr>
      <w:r>
        <w:t xml:space="preserve">5. Clinical Workflow Comparison Across the Patient Lifecycle</w:t>
      </w:r>
    </w:p>
    <w:p>
      <w:pPr>
        <w:spacing w:after="160"/>
      </w:pPr>
      <w:r>
        <w:t xml:space="preserve">Per the brief's instruction, relevance was determined from what each system actually contains, not assumed. Lifecycle areas with no meaningful reference-system content (Radiology as structured data, Procedures/Surgery as a real workflow, Admission/IPD/Ward/Bed, Nursing, Care Plans, Doctor Rounds, Transfers, Referrals) are noted as such rather than force-fit into a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995"/>
        <w:gridCol w:w="2995"/>
        <w:gridCol w:w="1685"/>
      </w:tblGrid>
      <w:tr>
        <w:trPr>
          <w:tblHeader/>
        </w:trPr>
        <w:tc>
          <w:tcPr>
            <w:tcW w:type="dxa" w:w="1685"/>
            <w:shd w:fill="1E2761" w:val="clear"/>
            <w:tcMar>
              <w:top w:type="dxa" w:w="80"/>
              <w:left w:type="dxa" w:w="100"/>
              <w:bottom w:type="dxa" w:w="80"/>
              <w:right w:type="dxa" w:w="100"/>
            </w:tcMar>
          </w:tcPr>
          <w:p>
            <w:r>
              <w:rPr>
                <w:b/>
                <w:bCs/>
                <w:color w:val="FFFFFF"/>
                <w:sz w:val="18"/>
                <w:szCs w:val="18"/>
              </w:rPr>
              <w:t xml:space="preserve">Lifecycle Area</w:t>
            </w:r>
          </w:p>
        </w:tc>
        <w:tc>
          <w:tcPr>
            <w:tcW w:type="dxa" w:w="2995"/>
            <w:shd w:fill="1E2761" w:val="clear"/>
            <w:tcMar>
              <w:top w:type="dxa" w:w="80"/>
              <w:left w:type="dxa" w:w="100"/>
              <w:bottom w:type="dxa" w:w="80"/>
              <w:right w:type="dxa" w:w="100"/>
            </w:tcMar>
          </w:tcPr>
          <w:p>
            <w:r>
              <w:rPr>
                <w:b/>
                <w:bCs/>
                <w:color w:val="FFFFFF"/>
                <w:sz w:val="18"/>
                <w:szCs w:val="18"/>
              </w:rPr>
              <w:t xml:space="preserve">Our HMS</w:t>
            </w:r>
          </w:p>
        </w:tc>
        <w:tc>
          <w:tcPr>
            <w:tcW w:type="dxa" w:w="2995"/>
            <w:shd w:fill="1E2761" w:val="clear"/>
            <w:tcMar>
              <w:top w:type="dxa" w:w="80"/>
              <w:left w:type="dxa" w:w="100"/>
              <w:bottom w:type="dxa" w:w="80"/>
              <w:right w:type="dxa" w:w="100"/>
            </w:tcMar>
          </w:tcPr>
          <w:p>
            <w:r>
              <w:rPr>
                <w:b/>
                <w:bCs/>
                <w:color w:val="FFFFFF"/>
                <w:sz w:val="18"/>
                <w:szCs w:val="18"/>
              </w:rPr>
              <w:t xml:space="preserve">Reference System</w:t>
            </w:r>
          </w:p>
        </w:tc>
        <w:tc>
          <w:tcPr>
            <w:tcW w:type="dxa" w:w="1685"/>
            <w:shd w:fill="1E2761" w:val="clear"/>
            <w:tcMar>
              <w:top w:type="dxa" w:w="80"/>
              <w:left w:type="dxa" w:w="100"/>
              <w:bottom w:type="dxa" w:w="80"/>
              <w:right w:type="dxa" w:w="100"/>
            </w:tcMar>
          </w:tcPr>
          <w:p>
            <w:r>
              <w:rPr>
                <w:b/>
                <w:bCs/>
                <w:color w:val="FFFFFF"/>
                <w:sz w:val="18"/>
                <w:szCs w:val="18"/>
              </w:rPr>
              <w:t xml:space="preserve">Verdict</w:t>
            </w:r>
          </w:p>
        </w:tc>
      </w:tr>
      <w:tr>
        <w:tc>
          <w:tcPr>
            <w:tcW w:type="dxa" w:w="1685"/>
            <w:tcMar>
              <w:top w:type="dxa" w:w="70"/>
              <w:left w:type="dxa" w:w="100"/>
              <w:bottom w:type="dxa" w:w="70"/>
              <w:right w:type="dxa" w:w="100"/>
            </w:tcMar>
          </w:tcPr>
          <w:p>
            <w:r>
              <w:rPr>
                <w:b w:val="false"/>
                <w:bCs w:val="false"/>
                <w:sz w:val="18"/>
                <w:szCs w:val="18"/>
              </w:rPr>
              <w:t xml:space="preserve">Patient Registration</w:t>
            </w:r>
          </w:p>
        </w:tc>
        <w:tc>
          <w:tcPr>
            <w:tcW w:type="dxa" w:w="2995"/>
            <w:tcMar>
              <w:top w:type="dxa" w:w="70"/>
              <w:left w:type="dxa" w:w="100"/>
              <w:bottom w:type="dxa" w:w="70"/>
              <w:right w:type="dxa" w:w="100"/>
            </w:tcMar>
          </w:tcPr>
          <w:p>
            <w:r>
              <w:rPr>
                <w:b w:val="false"/>
                <w:bCs w:val="false"/>
                <w:sz w:val="18"/>
                <w:szCs w:val="18"/>
              </w:rPr>
              <w:t xml:space="preserve">Front-desk + patient self-registration, DPDP/HIE consent capture, cross-hospital identity dedup (PatientIdentity)</w:t>
            </w:r>
          </w:p>
        </w:tc>
        <w:tc>
          <w:tcPr>
            <w:tcW w:type="dxa" w:w="2995"/>
            <w:tcMar>
              <w:top w:type="dxa" w:w="70"/>
              <w:left w:type="dxa" w:w="100"/>
              <w:bottom w:type="dxa" w:w="70"/>
              <w:right w:type="dxa" w:w="100"/>
            </w:tcMar>
          </w:tcPr>
          <w:p>
            <w:r>
              <w:rPr>
                <w:b w:val="false"/>
                <w:bCs w:val="false"/>
                <w:sz w:val="18"/>
                <w:szCs w:val="18"/>
              </w:rPr>
              <w:t xml:space="preserve">Not present in either app — login only, for an already-provisioned customer</w:t>
            </w:r>
          </w:p>
        </w:tc>
        <w:tc>
          <w:tcPr>
            <w:tcW w:type="dxa" w:w="1685"/>
            <w:tcMar>
              <w:top w:type="dxa" w:w="70"/>
              <w:left w:type="dxa" w:w="100"/>
              <w:bottom w:type="dxa" w:w="70"/>
              <w:right w:type="dxa" w:w="100"/>
            </w:tcMar>
          </w:tcPr>
          <w:p>
            <w:r>
              <w:rPr>
                <w:b w:val="false"/>
                <w:bCs w:val="false"/>
                <w:sz w:val="18"/>
                <w:szCs w:val="18"/>
              </w:rPr>
              <w:t xml:space="preserve">Nothing to borrow; we are far ahead</w:t>
            </w:r>
          </w:p>
        </w:tc>
      </w:tr>
      <w:tr>
        <w:tc>
          <w:tcPr>
            <w:tcW w:type="dxa" w:w="1685"/>
            <w:tcMar>
              <w:top w:type="dxa" w:w="70"/>
              <w:left w:type="dxa" w:w="100"/>
              <w:bottom w:type="dxa" w:w="70"/>
              <w:right w:type="dxa" w:w="100"/>
            </w:tcMar>
          </w:tcPr>
          <w:p>
            <w:r>
              <w:rPr>
                <w:b w:val="false"/>
                <w:bCs w:val="false"/>
                <w:sz w:val="18"/>
                <w:szCs w:val="18"/>
              </w:rPr>
              <w:t xml:space="preserve">Appointment/Scheduling</w:t>
            </w:r>
          </w:p>
        </w:tc>
        <w:tc>
          <w:tcPr>
            <w:tcW w:type="dxa" w:w="2995"/>
            <w:tcMar>
              <w:top w:type="dxa" w:w="70"/>
              <w:left w:type="dxa" w:w="100"/>
              <w:bottom w:type="dxa" w:w="70"/>
              <w:right w:type="dxa" w:w="100"/>
            </w:tcMar>
          </w:tcPr>
          <w:p>
            <w:r>
              <w:rPr>
                <w:b w:val="false"/>
                <w:bCs w:val="false"/>
                <w:sz w:val="18"/>
                <w:szCs w:val="18"/>
              </w:rPr>
              <w:t xml:space="preserve">Working-days-aware calendar, room/floor auto-resolution, 2-month cap, double-booking prevention, server-enforced status machine</w:t>
            </w:r>
          </w:p>
        </w:tc>
        <w:tc>
          <w:tcPr>
            <w:tcW w:type="dxa" w:w="2995"/>
            <w:tcMar>
              <w:top w:type="dxa" w:w="70"/>
              <w:left w:type="dxa" w:w="100"/>
              <w:bottom w:type="dxa" w:w="70"/>
              <w:right w:type="dxa" w:w="100"/>
            </w:tcMar>
          </w:tcPr>
          <w:p>
            <w:r>
              <w:rPr>
                <w:b w:val="false"/>
                <w:bCs w:val="false"/>
                <w:sz w:val="18"/>
                <w:szCs w:val="18"/>
              </w:rPr>
              <w:t xml:space="preserve">Real book/reschedule/cancel flow, slot-status derivation, add-to-calendar</w:t>
            </w:r>
          </w:p>
        </w:tc>
        <w:tc>
          <w:tcPr>
            <w:tcW w:type="dxa" w:w="1685"/>
            <w:tcMar>
              <w:top w:type="dxa" w:w="70"/>
              <w:left w:type="dxa" w:w="100"/>
              <w:bottom w:type="dxa" w:w="70"/>
              <w:right w:type="dxa" w:w="100"/>
            </w:tcMar>
          </w:tcPr>
          <w:p>
            <w:r>
              <w:rPr>
                <w:b w:val="false"/>
                <w:bCs w:val="false"/>
                <w:sz w:val="18"/>
                <w:szCs w:val="18"/>
              </w:rPr>
              <w:t xml:space="preserve">Borrow add-to-calendar and slot-status polish only</w:t>
            </w:r>
          </w:p>
        </w:tc>
      </w:tr>
      <w:tr>
        <w:tc>
          <w:tcPr>
            <w:tcW w:type="dxa" w:w="1685"/>
            <w:tcMar>
              <w:top w:type="dxa" w:w="70"/>
              <w:left w:type="dxa" w:w="100"/>
              <w:bottom w:type="dxa" w:w="70"/>
              <w:right w:type="dxa" w:w="100"/>
            </w:tcMar>
          </w:tcPr>
          <w:p>
            <w:r>
              <w:rPr>
                <w:b w:val="false"/>
                <w:bCs w:val="false"/>
                <w:sz w:val="18"/>
                <w:szCs w:val="18"/>
              </w:rPr>
              <w:t xml:space="preserve">Check-in / OPD Queue</w:t>
            </w:r>
          </w:p>
        </w:tc>
        <w:tc>
          <w:tcPr>
            <w:tcW w:type="dxa" w:w="2995"/>
            <w:tcMar>
              <w:top w:type="dxa" w:w="70"/>
              <w:left w:type="dxa" w:w="100"/>
              <w:bottom w:type="dxa" w:w="70"/>
              <w:right w:type="dxa" w:w="100"/>
            </w:tcMar>
          </w:tcPr>
          <w:p>
            <w:r>
              <w:rPr>
                <w:b w:val="false"/>
                <w:bCs w:val="false"/>
                <w:sz w:val="18"/>
                <w:szCs w:val="18"/>
              </w:rPr>
              <w:t xml:space="preserve">Real, front-desk-scoped, live-polled queue</w:t>
            </w:r>
          </w:p>
        </w:tc>
        <w:tc>
          <w:tcPr>
            <w:tcW w:type="dxa" w:w="2995"/>
            <w:tcMar>
              <w:top w:type="dxa" w:w="70"/>
              <w:left w:type="dxa" w:w="100"/>
              <w:bottom w:type="dxa" w:w="70"/>
              <w:right w:type="dxa" w:w="100"/>
            </w:tcMar>
          </w:tcPr>
          <w:p>
            <w:r>
              <w:rPr>
                <w:b w:val="false"/>
                <w:bCs w:val="false"/>
                <w:sz w:val="18"/>
                <w:szCs w:val="18"/>
              </w:rPr>
              <w:t xml:space="preserve">Not present in either app</w:t>
            </w:r>
          </w:p>
        </w:tc>
        <w:tc>
          <w:tcPr>
            <w:tcW w:type="dxa" w:w="1685"/>
            <w:tcMar>
              <w:top w:type="dxa" w:w="70"/>
              <w:left w:type="dxa" w:w="100"/>
              <w:bottom w:type="dxa" w:w="70"/>
              <w:right w:type="dxa" w:w="100"/>
            </w:tcMar>
          </w:tcPr>
          <w:p>
            <w:r>
              <w:rPr>
                <w:b w:val="false"/>
                <w:bCs w:val="false"/>
                <w:sz w:val="18"/>
                <w:szCs w:val="18"/>
              </w:rPr>
              <w:t xml:space="preserve">Nothing to borrow</w:t>
            </w:r>
          </w:p>
        </w:tc>
      </w:tr>
      <w:tr>
        <w:tc>
          <w:tcPr>
            <w:tcW w:type="dxa" w:w="1685"/>
            <w:tcMar>
              <w:top w:type="dxa" w:w="70"/>
              <w:left w:type="dxa" w:w="100"/>
              <w:bottom w:type="dxa" w:w="70"/>
              <w:right w:type="dxa" w:w="100"/>
            </w:tcMar>
          </w:tcPr>
          <w:p>
            <w:r>
              <w:rPr>
                <w:b w:val="false"/>
                <w:bCs w:val="false"/>
                <w:sz w:val="18"/>
                <w:szCs w:val="18"/>
              </w:rPr>
              <w:t xml:space="preserve">Consultation / Encounter</w:t>
            </w:r>
          </w:p>
        </w:tc>
        <w:tc>
          <w:tcPr>
            <w:tcW w:type="dxa" w:w="2995"/>
            <w:tcMar>
              <w:top w:type="dxa" w:w="70"/>
              <w:left w:type="dxa" w:w="100"/>
              <w:bottom w:type="dxa" w:w="70"/>
              <w:right w:type="dxa" w:w="100"/>
            </w:tcMar>
          </w:tcPr>
          <w:p>
            <w:r>
              <w:rPr>
                <w:b w:val="false"/>
                <w:bCs w:val="false"/>
                <w:sz w:val="18"/>
                <w:szCs w:val="18"/>
              </w:rPr>
              <w:t xml:space="preserve">Structured encounter (diagnosis via ICD codes, auto in_progress on start)</w:t>
            </w:r>
          </w:p>
        </w:tc>
        <w:tc>
          <w:tcPr>
            <w:tcW w:type="dxa" w:w="2995"/>
            <w:tcMar>
              <w:top w:type="dxa" w:w="70"/>
              <w:left w:type="dxa" w:w="100"/>
              <w:bottom w:type="dxa" w:w="70"/>
              <w:right w:type="dxa" w:w="100"/>
            </w:tcMar>
          </w:tcPr>
          <w:p>
            <w:r>
              <w:rPr>
                <w:b w:val="false"/>
                <w:bCs w:val="false"/>
                <w:sz w:val="18"/>
                <w:szCs w:val="18"/>
              </w:rPr>
              <w:t xml:space="preserve">“Complete booking” is a single attach-document-and-mark-done action, no structured note</w:t>
            </w:r>
          </w:p>
        </w:tc>
        <w:tc>
          <w:tcPr>
            <w:tcW w:type="dxa" w:w="1685"/>
            <w:tcMar>
              <w:top w:type="dxa" w:w="70"/>
              <w:left w:type="dxa" w:w="100"/>
              <w:bottom w:type="dxa" w:w="70"/>
              <w:right w:type="dxa" w:w="100"/>
            </w:tcMar>
          </w:tcPr>
          <w:p>
            <w:r>
              <w:rPr>
                <w:b w:val="false"/>
                <w:bCs w:val="false"/>
                <w:sz w:val="18"/>
                <w:szCs w:val="18"/>
              </w:rPr>
              <w:t xml:space="preserve">Consider a fast-path add-on for simple visits (Section 6), not a replacement</w:t>
            </w:r>
          </w:p>
        </w:tc>
      </w:tr>
      <w:tr>
        <w:tc>
          <w:tcPr>
            <w:tcW w:type="dxa" w:w="1685"/>
            <w:tcMar>
              <w:top w:type="dxa" w:w="70"/>
              <w:left w:type="dxa" w:w="100"/>
              <w:bottom w:type="dxa" w:w="70"/>
              <w:right w:type="dxa" w:w="100"/>
            </w:tcMar>
          </w:tcPr>
          <w:p>
            <w:r>
              <w:rPr>
                <w:b w:val="false"/>
                <w:bCs w:val="false"/>
                <w:sz w:val="18"/>
                <w:szCs w:val="18"/>
              </w:rPr>
              <w:t xml:space="preserve">Vitals</w:t>
            </w:r>
          </w:p>
        </w:tc>
        <w:tc>
          <w:tcPr>
            <w:tcW w:type="dxa" w:w="2995"/>
            <w:tcMar>
              <w:top w:type="dxa" w:w="70"/>
              <w:left w:type="dxa" w:w="100"/>
              <w:bottom w:type="dxa" w:w="70"/>
              <w:right w:type="dxa" w:w="100"/>
            </w:tcMar>
          </w:tcPr>
          <w:p>
            <w:r>
              <w:rPr>
                <w:b w:val="false"/>
                <w:bCs w:val="false"/>
                <w:sz w:val="18"/>
                <w:szCs w:val="18"/>
              </w:rPr>
              <w:t xml:space="preserve">Real capture form, auto-BMI, feeds the status machine</w:t>
            </w:r>
          </w:p>
        </w:tc>
        <w:tc>
          <w:tcPr>
            <w:tcW w:type="dxa" w:w="2995"/>
            <w:tcMar>
              <w:top w:type="dxa" w:w="70"/>
              <w:left w:type="dxa" w:w="100"/>
              <w:bottom w:type="dxa" w:w="70"/>
              <w:right w:type="dxa" w:w="100"/>
            </w:tcMar>
          </w:tcPr>
          <w:p>
            <w:r>
              <w:rPr>
                <w:b w:val="false"/>
                <w:bCs w:val="false"/>
                <w:sz w:val="18"/>
                <w:szCs w:val="18"/>
              </w:rPr>
              <w:t xml:space="preserve">Display-only, permanently hardcoded values in both apps, no capture form anywhere</w:t>
            </w:r>
          </w:p>
        </w:tc>
        <w:tc>
          <w:tcPr>
            <w:tcW w:type="dxa" w:w="1685"/>
            <w:tcMar>
              <w:top w:type="dxa" w:w="70"/>
              <w:left w:type="dxa" w:w="100"/>
              <w:bottom w:type="dxa" w:w="70"/>
              <w:right w:type="dxa" w:w="100"/>
            </w:tcMar>
          </w:tcPr>
          <w:p>
            <w:r>
              <w:rPr>
                <w:b w:val="false"/>
                <w:bCs w:val="false"/>
                <w:sz w:val="18"/>
                <w:szCs w:val="18"/>
              </w:rPr>
              <w:t xml:space="preserve">Nothing to borrow — confirmed non-functional in reference</w:t>
            </w:r>
          </w:p>
        </w:tc>
      </w:tr>
      <w:tr>
        <w:tc>
          <w:tcPr>
            <w:tcW w:type="dxa" w:w="1685"/>
            <w:tcMar>
              <w:top w:type="dxa" w:w="70"/>
              <w:left w:type="dxa" w:w="100"/>
              <w:bottom w:type="dxa" w:w="70"/>
              <w:right w:type="dxa" w:w="100"/>
            </w:tcMar>
          </w:tcPr>
          <w:p>
            <w:r>
              <w:rPr>
                <w:b w:val="false"/>
                <w:bCs w:val="false"/>
                <w:sz w:val="18"/>
                <w:szCs w:val="18"/>
              </w:rPr>
              <w:t xml:space="preserve">Diagnosis / Allergies</w:t>
            </w:r>
          </w:p>
        </w:tc>
        <w:tc>
          <w:tcPr>
            <w:tcW w:type="dxa" w:w="2995"/>
            <w:tcMar>
              <w:top w:type="dxa" w:w="70"/>
              <w:left w:type="dxa" w:w="100"/>
              <w:bottom w:type="dxa" w:w="70"/>
              <w:right w:type="dxa" w:w="100"/>
            </w:tcMar>
          </w:tcPr>
          <w:p>
            <w:r>
              <w:rPr>
                <w:b w:val="false"/>
                <w:bCs w:val="false"/>
                <w:sz w:val="18"/>
                <w:szCs w:val="18"/>
              </w:rPr>
              <w:t xml:space="preserve">ICD-coded diagnosis list on the encounter</w:t>
            </w:r>
          </w:p>
        </w:tc>
        <w:tc>
          <w:tcPr>
            <w:tcW w:type="dxa" w:w="2995"/>
            <w:tcMar>
              <w:top w:type="dxa" w:w="70"/>
              <w:left w:type="dxa" w:w="100"/>
              <w:bottom w:type="dxa" w:w="70"/>
              <w:right w:type="dxa" w:w="100"/>
            </w:tcMar>
          </w:tcPr>
          <w:p>
            <w:r>
              <w:rPr>
                <w:b w:val="false"/>
                <w:bCs w:val="false"/>
                <w:sz w:val="18"/>
                <w:szCs w:val="18"/>
              </w:rPr>
              <w:t xml:space="preserve">Not present as structured data in either app</w:t>
            </w:r>
          </w:p>
        </w:tc>
        <w:tc>
          <w:tcPr>
            <w:tcW w:type="dxa" w:w="1685"/>
            <w:tcMar>
              <w:top w:type="dxa" w:w="70"/>
              <w:left w:type="dxa" w:w="100"/>
              <w:bottom w:type="dxa" w:w="70"/>
              <w:right w:type="dxa" w:w="100"/>
            </w:tcMar>
          </w:tcPr>
          <w:p>
            <w:r>
              <w:rPr>
                <w:b w:val="false"/>
                <w:bCs w:val="false"/>
                <w:sz w:val="18"/>
                <w:szCs w:val="18"/>
              </w:rPr>
              <w:t xml:space="preserve">Nothing to borrow</w:t>
            </w:r>
          </w:p>
        </w:tc>
      </w:tr>
      <w:tr>
        <w:tc>
          <w:tcPr>
            <w:tcW w:type="dxa" w:w="1685"/>
            <w:tcMar>
              <w:top w:type="dxa" w:w="70"/>
              <w:left w:type="dxa" w:w="100"/>
              <w:bottom w:type="dxa" w:w="70"/>
              <w:right w:type="dxa" w:w="100"/>
            </w:tcMar>
          </w:tcPr>
          <w:p>
            <w:r>
              <w:rPr>
                <w:b w:val="false"/>
                <w:bCs w:val="false"/>
                <w:sz w:val="18"/>
                <w:szCs w:val="18"/>
              </w:rPr>
              <w:t xml:space="preserve">Prescriptions</w:t>
            </w:r>
          </w:p>
        </w:tc>
        <w:tc>
          <w:tcPr>
            <w:tcW w:type="dxa" w:w="2995"/>
            <w:tcMar>
              <w:top w:type="dxa" w:w="70"/>
              <w:left w:type="dxa" w:w="100"/>
              <w:bottom w:type="dxa" w:w="70"/>
              <w:right w:type="dxa" w:w="100"/>
            </w:tcMar>
          </w:tcPr>
          <w:p>
            <w:r>
              <w:rPr>
                <w:b w:val="false"/>
                <w:bCs w:val="false"/>
                <w:sz w:val="18"/>
                <w:szCs w:val="18"/>
              </w:rPr>
              <w:t xml:space="preserve">Structured drug/dose/frequency items, in-house vs. outside choice, real billing</w:t>
            </w:r>
          </w:p>
        </w:tc>
        <w:tc>
          <w:tcPr>
            <w:tcW w:type="dxa" w:w="2995"/>
            <w:tcMar>
              <w:top w:type="dxa" w:w="70"/>
              <w:left w:type="dxa" w:w="100"/>
              <w:bottom w:type="dxa" w:w="70"/>
              <w:right w:type="dxa" w:w="100"/>
            </w:tcMar>
          </w:tcPr>
          <w:p>
            <w:r>
              <w:rPr>
                <w:b w:val="false"/>
                <w:bCs w:val="false"/>
                <w:sz w:val="18"/>
                <w:szCs w:val="18"/>
              </w:rPr>
              <w:t xml:space="preserve">Free-text prescription name + uploaded file only (doctor app); viewed as a document (patient app)</w:t>
            </w:r>
          </w:p>
        </w:tc>
        <w:tc>
          <w:tcPr>
            <w:tcW w:type="dxa" w:w="1685"/>
            <w:tcMar>
              <w:top w:type="dxa" w:w="70"/>
              <w:left w:type="dxa" w:w="100"/>
              <w:bottom w:type="dxa" w:w="70"/>
              <w:right w:type="dxa" w:w="100"/>
            </w:tcMar>
          </w:tcPr>
          <w:p>
            <w:r>
              <w:rPr>
                <w:b w:val="false"/>
                <w:bCs w:val="false"/>
                <w:sz w:val="18"/>
                <w:szCs w:val="18"/>
              </w:rPr>
              <w:t xml:space="preserve">Nothing to borrow — ours is structured, theirs is not</w:t>
            </w:r>
          </w:p>
        </w:tc>
      </w:tr>
      <w:tr>
        <w:tc>
          <w:tcPr>
            <w:tcW w:type="dxa" w:w="1685"/>
            <w:tcMar>
              <w:top w:type="dxa" w:w="70"/>
              <w:left w:type="dxa" w:w="100"/>
              <w:bottom w:type="dxa" w:w="70"/>
              <w:right w:type="dxa" w:w="100"/>
            </w:tcMar>
          </w:tcPr>
          <w:p>
            <w:r>
              <w:rPr>
                <w:b w:val="false"/>
                <w:bCs w:val="false"/>
                <w:sz w:val="18"/>
                <w:szCs w:val="18"/>
              </w:rPr>
              <w:t xml:space="preserve">Lab Orders</w:t>
            </w:r>
          </w:p>
        </w:tc>
        <w:tc>
          <w:tcPr>
            <w:tcW w:type="dxa" w:w="2995"/>
            <w:tcMar>
              <w:top w:type="dxa" w:w="70"/>
              <w:left w:type="dxa" w:w="100"/>
              <w:bottom w:type="dxa" w:w="70"/>
              <w:right w:type="dxa" w:w="100"/>
            </w:tcMar>
          </w:tcPr>
          <w:p>
            <w:r>
              <w:rPr>
                <w:b w:val="false"/>
                <w:bCs w:val="false"/>
                <w:sz w:val="18"/>
                <w:szCs w:val="18"/>
              </w:rPr>
              <w:t xml:space="preserve">Category-based ordering, NNTM token, real billing parity with prescriptions</w:t>
            </w:r>
          </w:p>
        </w:tc>
        <w:tc>
          <w:tcPr>
            <w:tcW w:type="dxa" w:w="2995"/>
            <w:tcMar>
              <w:top w:type="dxa" w:w="70"/>
              <w:left w:type="dxa" w:w="100"/>
              <w:bottom w:type="dxa" w:w="70"/>
              <w:right w:type="dxa" w:w="100"/>
            </w:tcMar>
          </w:tcPr>
          <w:p>
            <w:r>
              <w:rPr>
                <w:b w:val="false"/>
                <w:bCs w:val="false"/>
                <w:sz w:val="18"/>
                <w:szCs w:val="18"/>
              </w:rPr>
              <w:t xml:space="preserve">Category → variation → up to 3 tests, with a dead Priority field</w:t>
            </w:r>
          </w:p>
        </w:tc>
        <w:tc>
          <w:tcPr>
            <w:tcW w:type="dxa" w:w="1685"/>
            <w:tcMar>
              <w:top w:type="dxa" w:w="70"/>
              <w:left w:type="dxa" w:w="100"/>
              <w:bottom w:type="dxa" w:w="70"/>
              <w:right w:type="dxa" w:w="100"/>
            </w:tcMar>
          </w:tcPr>
          <w:p>
            <w:r>
              <w:rPr>
                <w:b w:val="false"/>
                <w:bCs w:val="false"/>
                <w:sz w:val="18"/>
                <w:szCs w:val="18"/>
              </w:rPr>
              <w:t xml:space="preserve">Borrow the priority field concept only</w:t>
            </w:r>
          </w:p>
        </w:tc>
      </w:tr>
      <w:tr>
        <w:tc>
          <w:tcPr>
            <w:tcW w:type="dxa" w:w="1685"/>
            <w:tcMar>
              <w:top w:type="dxa" w:w="70"/>
              <w:left w:type="dxa" w:w="100"/>
              <w:bottom w:type="dxa" w:w="70"/>
              <w:right w:type="dxa" w:w="100"/>
            </w:tcMar>
          </w:tcPr>
          <w:p>
            <w:r>
              <w:rPr>
                <w:b w:val="false"/>
                <w:bCs w:val="false"/>
                <w:sz w:val="18"/>
                <w:szCs w:val="18"/>
              </w:rPr>
              <w:t xml:space="preserve">Pharmacy</w:t>
            </w:r>
          </w:p>
        </w:tc>
        <w:tc>
          <w:tcPr>
            <w:tcW w:type="dxa" w:w="2995"/>
            <w:tcMar>
              <w:top w:type="dxa" w:w="70"/>
              <w:left w:type="dxa" w:w="100"/>
              <w:bottom w:type="dxa" w:w="70"/>
              <w:right w:type="dxa" w:w="100"/>
            </w:tcMar>
          </w:tcPr>
          <w:p>
            <w:r>
              <w:rPr>
                <w:b w:val="false"/>
                <w:bCs w:val="false"/>
                <w:sz w:val="18"/>
                <w:szCs w:val="18"/>
              </w:rPr>
              <w:t xml:space="preserve">Real catalog, stock ledger, dispensing</w:t>
            </w:r>
          </w:p>
        </w:tc>
        <w:tc>
          <w:tcPr>
            <w:tcW w:type="dxa" w:w="2995"/>
            <w:tcMar>
              <w:top w:type="dxa" w:w="70"/>
              <w:left w:type="dxa" w:w="100"/>
              <w:bottom w:type="dxa" w:w="70"/>
              <w:right w:type="dxa" w:w="100"/>
            </w:tcMar>
          </w:tcPr>
          <w:p>
            <w:r>
              <w:rPr>
                <w:b w:val="false"/>
                <w:bCs w:val="false"/>
                <w:sz w:val="18"/>
                <w:szCs w:val="18"/>
              </w:rPr>
              <w:t xml:space="preserve">Not present in either app</w:t>
            </w:r>
          </w:p>
        </w:tc>
        <w:tc>
          <w:tcPr>
            <w:tcW w:type="dxa" w:w="1685"/>
            <w:tcMar>
              <w:top w:type="dxa" w:w="70"/>
              <w:left w:type="dxa" w:w="100"/>
              <w:bottom w:type="dxa" w:w="70"/>
              <w:right w:type="dxa" w:w="100"/>
            </w:tcMar>
          </w:tcPr>
          <w:p>
            <w:r>
              <w:rPr>
                <w:b w:val="false"/>
                <w:bCs w:val="false"/>
                <w:sz w:val="18"/>
                <w:szCs w:val="18"/>
              </w:rPr>
              <w:t xml:space="preserve">Nothing to borrow</w:t>
            </w:r>
          </w:p>
        </w:tc>
      </w:tr>
      <w:tr>
        <w:tc>
          <w:tcPr>
            <w:tcW w:type="dxa" w:w="1685"/>
            <w:tcMar>
              <w:top w:type="dxa" w:w="70"/>
              <w:left w:type="dxa" w:w="100"/>
              <w:bottom w:type="dxa" w:w="70"/>
              <w:right w:type="dxa" w:w="100"/>
            </w:tcMar>
          </w:tcPr>
          <w:p>
            <w:r>
              <w:rPr>
                <w:b w:val="false"/>
                <w:bCs w:val="false"/>
                <w:sz w:val="18"/>
                <w:szCs w:val="18"/>
              </w:rPr>
              <w:t xml:space="preserve">Billing</w:t>
            </w:r>
          </w:p>
        </w:tc>
        <w:tc>
          <w:tcPr>
            <w:tcW w:type="dxa" w:w="2995"/>
            <w:tcMar>
              <w:top w:type="dxa" w:w="70"/>
              <w:left w:type="dxa" w:w="100"/>
              <w:bottom w:type="dxa" w:w="70"/>
              <w:right w:type="dxa" w:w="100"/>
            </w:tcMar>
          </w:tcPr>
          <w:p>
            <w:r>
              <w:rPr>
                <w:b w:val="false"/>
                <w:bCs w:val="false"/>
                <w:sz w:val="18"/>
                <w:szCs w:val="18"/>
              </w:rPr>
              <w:t xml:space="preserve">Real, configurable invoice/payment ledger</w:t>
            </w:r>
          </w:p>
        </w:tc>
        <w:tc>
          <w:tcPr>
            <w:tcW w:type="dxa" w:w="2995"/>
            <w:tcMar>
              <w:top w:type="dxa" w:w="70"/>
              <w:left w:type="dxa" w:w="100"/>
              <w:bottom w:type="dxa" w:w="70"/>
              <w:right w:type="dxa" w:w="100"/>
            </w:tcMar>
          </w:tcPr>
          <w:p>
            <w:r>
              <w:rPr>
                <w:b w:val="false"/>
                <w:bCs w:val="false"/>
                <w:sz w:val="18"/>
                <w:szCs w:val="18"/>
              </w:rPr>
              <w:t xml:space="preserve">Hardcoded, non-functional payment display</w:t>
            </w:r>
          </w:p>
        </w:tc>
        <w:tc>
          <w:tcPr>
            <w:tcW w:type="dxa" w:w="1685"/>
            <w:tcMar>
              <w:top w:type="dxa" w:w="70"/>
              <w:left w:type="dxa" w:w="100"/>
              <w:bottom w:type="dxa" w:w="70"/>
              <w:right w:type="dxa" w:w="100"/>
            </w:tcMar>
          </w:tcPr>
          <w:p>
            <w:r>
              <w:rPr>
                <w:b w:val="false"/>
                <w:bCs w:val="false"/>
                <w:sz w:val="18"/>
                <w:szCs w:val="18"/>
              </w:rPr>
              <w:t xml:space="preserve">Nothing to borrow</w:t>
            </w:r>
          </w:p>
        </w:tc>
      </w:tr>
      <w:tr>
        <w:tc>
          <w:tcPr>
            <w:tcW w:type="dxa" w:w="1685"/>
            <w:tcMar>
              <w:top w:type="dxa" w:w="70"/>
              <w:left w:type="dxa" w:w="100"/>
              <w:bottom w:type="dxa" w:w="70"/>
              <w:right w:type="dxa" w:w="100"/>
            </w:tcMar>
          </w:tcPr>
          <w:p>
            <w:r>
              <w:rPr>
                <w:b w:val="false"/>
                <w:bCs w:val="false"/>
                <w:sz w:val="18"/>
                <w:szCs w:val="18"/>
              </w:rPr>
              <w:t xml:space="preserve">Documents/Reports</w:t>
            </w:r>
          </w:p>
        </w:tc>
        <w:tc>
          <w:tcPr>
            <w:tcW w:type="dxa" w:w="2995"/>
            <w:tcMar>
              <w:top w:type="dxa" w:w="70"/>
              <w:left w:type="dxa" w:w="100"/>
              <w:bottom w:type="dxa" w:w="70"/>
              <w:right w:type="dxa" w:w="100"/>
            </w:tcMar>
          </w:tcPr>
          <w:p>
            <w:r>
              <w:rPr>
                <w:b w:val="false"/>
                <w:bCs w:val="false"/>
                <w:sz w:val="18"/>
                <w:szCs w:val="18"/>
              </w:rPr>
              <w:t xml:space="preserve">Category-specific pages (prescriptions, bills, vaccination) via S3 signed URLs</w:t>
            </w:r>
          </w:p>
        </w:tc>
        <w:tc>
          <w:tcPr>
            <w:tcW w:type="dxa" w:w="2995"/>
            <w:tcMar>
              <w:top w:type="dxa" w:w="70"/>
              <w:left w:type="dxa" w:w="100"/>
              <w:bottom w:type="dxa" w:w="70"/>
              <w:right w:type="dxa" w:w="100"/>
            </w:tcMar>
          </w:tcPr>
          <w:p>
            <w:r>
              <w:rPr>
                <w:b w:val="false"/>
                <w:bCs w:val="false"/>
                <w:sz w:val="18"/>
                <w:szCs w:val="18"/>
              </w:rPr>
              <w:t xml:space="preserve">Unified type-tile document hub</w:t>
            </w:r>
          </w:p>
        </w:tc>
        <w:tc>
          <w:tcPr>
            <w:tcW w:type="dxa" w:w="1685"/>
            <w:tcMar>
              <w:top w:type="dxa" w:w="70"/>
              <w:left w:type="dxa" w:w="100"/>
              <w:bottom w:type="dxa" w:w="70"/>
              <w:right w:type="dxa" w:w="100"/>
            </w:tcMar>
          </w:tcPr>
          <w:p>
            <w:r>
              <w:rPr>
                <w:b w:val="false"/>
                <w:bCs w:val="false"/>
                <w:sz w:val="18"/>
                <w:szCs w:val="18"/>
              </w:rPr>
              <w:t xml:space="preserve">Borrow the navigation pattern (Section 4, item 3)</w:t>
            </w:r>
          </w:p>
        </w:tc>
      </w:tr>
      <w:tr>
        <w:tc>
          <w:tcPr>
            <w:tcW w:type="dxa" w:w="1685"/>
            <w:tcMar>
              <w:top w:type="dxa" w:w="70"/>
              <w:left w:type="dxa" w:w="100"/>
              <w:bottom w:type="dxa" w:w="70"/>
              <w:right w:type="dxa" w:w="100"/>
            </w:tcMar>
          </w:tcPr>
          <w:p>
            <w:r>
              <w:rPr>
                <w:b w:val="false"/>
                <w:bCs w:val="false"/>
                <w:sz w:val="18"/>
                <w:szCs w:val="18"/>
              </w:rPr>
              <w:t xml:space="preserve">Follow-up / Adherence</w:t>
            </w:r>
          </w:p>
        </w:tc>
        <w:tc>
          <w:tcPr>
            <w:tcW w:type="dxa" w:w="2995"/>
            <w:tcMar>
              <w:top w:type="dxa" w:w="70"/>
              <w:left w:type="dxa" w:w="100"/>
              <w:bottom w:type="dxa" w:w="70"/>
              <w:right w:type="dxa" w:w="100"/>
            </w:tcMar>
          </w:tcPr>
          <w:p>
            <w:r>
              <w:rPr>
                <w:b w:val="false"/>
                <w:bCs w:val="false"/>
                <w:sz w:val="18"/>
                <w:szCs w:val="18"/>
              </w:rPr>
              <w:t xml:space="preserve">Not present</w:t>
            </w:r>
          </w:p>
        </w:tc>
        <w:tc>
          <w:tcPr>
            <w:tcW w:type="dxa" w:w="2995"/>
            <w:tcMar>
              <w:top w:type="dxa" w:w="70"/>
              <w:left w:type="dxa" w:w="100"/>
              <w:bottom w:type="dxa" w:w="70"/>
              <w:right w:type="dxa" w:w="100"/>
            </w:tcMar>
          </w:tcPr>
          <w:p>
            <w:r>
              <w:rPr>
                <w:b w:val="false"/>
                <w:bCs w:val="false"/>
                <w:sz w:val="18"/>
                <w:szCs w:val="18"/>
              </w:rPr>
              <w:t xml:space="preserve">“My Activities” concept (unbuilt)</w:t>
            </w:r>
          </w:p>
        </w:tc>
        <w:tc>
          <w:tcPr>
            <w:tcW w:type="dxa" w:w="1685"/>
            <w:tcMar>
              <w:top w:type="dxa" w:w="70"/>
              <w:left w:type="dxa" w:w="100"/>
              <w:bottom w:type="dxa" w:w="70"/>
              <w:right w:type="dxa" w:w="100"/>
            </w:tcMar>
          </w:tcPr>
          <w:p>
            <w:r>
              <w:rPr>
                <w:b w:val="false"/>
                <w:bCs w:val="false"/>
                <w:sz w:val="18"/>
                <w:szCs w:val="18"/>
              </w:rPr>
              <w:t xml:space="preserve">Borrow the concept, build it for real (Section 4, item 1)</w:t>
            </w:r>
          </w:p>
        </w:tc>
      </w:tr>
      <w:tr>
        <w:tc>
          <w:tcPr>
            <w:tcW w:type="dxa" w:w="1685"/>
            <w:tcMar>
              <w:top w:type="dxa" w:w="70"/>
              <w:left w:type="dxa" w:w="100"/>
              <w:bottom w:type="dxa" w:w="70"/>
              <w:right w:type="dxa" w:w="100"/>
            </w:tcMar>
          </w:tcPr>
          <w:p>
            <w:r>
              <w:rPr>
                <w:b w:val="false"/>
                <w:bCs w:val="false"/>
                <w:sz w:val="18"/>
                <w:szCs w:val="18"/>
              </w:rPr>
              <w:t xml:space="preserve">Patient Portal (general)</w:t>
            </w:r>
          </w:p>
        </w:tc>
        <w:tc>
          <w:tcPr>
            <w:tcW w:type="dxa" w:w="2995"/>
            <w:tcMar>
              <w:top w:type="dxa" w:w="70"/>
              <w:left w:type="dxa" w:w="100"/>
              <w:bottom w:type="dxa" w:w="70"/>
              <w:right w:type="dxa" w:w="100"/>
            </w:tcMar>
          </w:tcPr>
          <w:p>
            <w:r>
              <w:rPr>
                <w:b w:val="false"/>
                <w:bCs w:val="false"/>
                <w:sz w:val="18"/>
                <w:szCs w:val="18"/>
              </w:rPr>
              <w:t xml:space="preserve">Rich: bookings, prescriptions, bills, vaccination roadmap, emergency QR, family accounts</w:t>
            </w:r>
          </w:p>
        </w:tc>
        <w:tc>
          <w:tcPr>
            <w:tcW w:type="dxa" w:w="2995"/>
            <w:tcMar>
              <w:top w:type="dxa" w:w="70"/>
              <w:left w:type="dxa" w:w="100"/>
              <w:bottom w:type="dxa" w:w="70"/>
              <w:right w:type="dxa" w:w="100"/>
            </w:tcMar>
          </w:tcPr>
          <w:p>
            <w:r>
              <w:rPr>
                <w:b w:val="false"/>
                <w:bCs w:val="false"/>
                <w:sz w:val="18"/>
                <w:szCs w:val="18"/>
              </w:rPr>
              <w:t xml:space="preserve">Booking + documents + activities only, read-only profile</w:t>
            </w:r>
          </w:p>
        </w:tc>
        <w:tc>
          <w:tcPr>
            <w:tcW w:type="dxa" w:w="1685"/>
            <w:tcMar>
              <w:top w:type="dxa" w:w="70"/>
              <w:left w:type="dxa" w:w="100"/>
              <w:bottom w:type="dxa" w:w="70"/>
              <w:right w:type="dxa" w:w="100"/>
            </w:tcMar>
          </w:tcPr>
          <w:p>
            <w:r>
              <w:rPr>
                <w:b w:val="false"/>
                <w:bCs w:val="false"/>
                <w:sz w:val="18"/>
                <w:szCs w:val="18"/>
              </w:rPr>
              <w:t xml:space="preserve">Nothing to borrow; ours is broader and all real</w:t>
            </w:r>
          </w:p>
        </w:tc>
      </w:tr>
      <w:tr>
        <w:tc>
          <w:tcPr>
            <w:tcW w:type="dxa" w:w="1685"/>
            <w:tcMar>
              <w:top w:type="dxa" w:w="70"/>
              <w:left w:type="dxa" w:w="100"/>
              <w:bottom w:type="dxa" w:w="70"/>
              <w:right w:type="dxa" w:w="100"/>
            </w:tcMar>
          </w:tcPr>
          <w:p>
            <w:r>
              <w:rPr>
                <w:b w:val="false"/>
                <w:bCs w:val="false"/>
                <w:sz w:val="18"/>
                <w:szCs w:val="18"/>
              </w:rPr>
              <w:t xml:space="preserve">Consent</w:t>
            </w:r>
          </w:p>
        </w:tc>
        <w:tc>
          <w:tcPr>
            <w:tcW w:type="dxa" w:w="2995"/>
            <w:tcMar>
              <w:top w:type="dxa" w:w="70"/>
              <w:left w:type="dxa" w:w="100"/>
              <w:bottom w:type="dxa" w:w="70"/>
              <w:right w:type="dxa" w:w="100"/>
            </w:tcMar>
          </w:tcPr>
          <w:p>
            <w:r>
              <w:rPr>
                <w:b w:val="false"/>
                <w:bCs w:val="false"/>
                <w:sz w:val="18"/>
                <w:szCs w:val="18"/>
              </w:rPr>
              <w:t xml:space="preserve">Explicit DPDP + HIE consent capture, durable proof trail (ConsentRecord)</w:t>
            </w:r>
          </w:p>
        </w:tc>
        <w:tc>
          <w:tcPr>
            <w:tcW w:type="dxa" w:w="2995"/>
            <w:tcMar>
              <w:top w:type="dxa" w:w="70"/>
              <w:left w:type="dxa" w:w="100"/>
              <w:bottom w:type="dxa" w:w="70"/>
              <w:right w:type="dxa" w:w="100"/>
            </w:tcMar>
          </w:tcPr>
          <w:p>
            <w:r>
              <w:rPr>
                <w:b w:val="false"/>
                <w:bCs w:val="false"/>
                <w:sz w:val="18"/>
                <w:szCs w:val="18"/>
              </w:rPr>
              <w:t xml:space="preserve">Not present in either app</w:t>
            </w:r>
          </w:p>
        </w:tc>
        <w:tc>
          <w:tcPr>
            <w:tcW w:type="dxa" w:w="1685"/>
            <w:tcMar>
              <w:top w:type="dxa" w:w="70"/>
              <w:left w:type="dxa" w:w="100"/>
              <w:bottom w:type="dxa" w:w="70"/>
              <w:right w:type="dxa" w:w="100"/>
            </w:tcMar>
          </w:tcPr>
          <w:p>
            <w:r>
              <w:rPr>
                <w:b w:val="false"/>
                <w:bCs w:val="false"/>
                <w:sz w:val="18"/>
                <w:szCs w:val="18"/>
              </w:rPr>
              <w:t xml:space="preserve">Nothing to borrow</w:t>
            </w:r>
          </w:p>
        </w:tc>
      </w:tr>
      <w:tr>
        <w:tc>
          <w:tcPr>
            <w:tcW w:type="dxa" w:w="1685"/>
            <w:tcMar>
              <w:top w:type="dxa" w:w="70"/>
              <w:left w:type="dxa" w:w="100"/>
              <w:bottom w:type="dxa" w:w="70"/>
              <w:right w:type="dxa" w:w="100"/>
            </w:tcMar>
          </w:tcPr>
          <w:p>
            <w:r>
              <w:rPr>
                <w:b w:val="false"/>
                <w:bCs w:val="false"/>
                <w:sz w:val="18"/>
                <w:szCs w:val="18"/>
              </w:rPr>
              <w:t xml:space="preserve">IPD / Admission / Ward / Bed / Surgery / Nursing / Discharge / Transfers / Referrals</w:t>
            </w:r>
          </w:p>
        </w:tc>
        <w:tc>
          <w:tcPr>
            <w:tcW w:type="dxa" w:w="2995"/>
            <w:tcMar>
              <w:top w:type="dxa" w:w="70"/>
              <w:left w:type="dxa" w:w="100"/>
              <w:bottom w:type="dxa" w:w="70"/>
              <w:right w:type="dxa" w:w="100"/>
            </w:tcMar>
          </w:tcPr>
          <w:p>
            <w:r>
              <w:rPr>
                <w:b w:val="false"/>
                <w:bCs w:val="false"/>
                <w:sz w:val="18"/>
                <w:szCs w:val="18"/>
              </w:rPr>
              <w:t xml:space="preserve">Not built (OPD-only)</w:t>
            </w:r>
          </w:p>
        </w:tc>
        <w:tc>
          <w:tcPr>
            <w:tcW w:type="dxa" w:w="2995"/>
            <w:tcMar>
              <w:top w:type="dxa" w:w="70"/>
              <w:left w:type="dxa" w:w="100"/>
              <w:bottom w:type="dxa" w:w="70"/>
              <w:right w:type="dxa" w:w="100"/>
            </w:tcMar>
          </w:tcPr>
          <w:p>
            <w:r>
              <w:rPr>
                <w:b w:val="false"/>
                <w:bCs w:val="false"/>
                <w:sz w:val="18"/>
                <w:szCs w:val="18"/>
              </w:rPr>
              <w:t xml:space="preserve">UI screens exist for In-Patient list/detail and Surgery detail, but are entirely mocked with no backend or real data model in either app</w:t>
            </w:r>
          </w:p>
        </w:tc>
        <w:tc>
          <w:tcPr>
            <w:tcW w:type="dxa" w:w="1685"/>
            <w:tcMar>
              <w:top w:type="dxa" w:w="70"/>
              <w:left w:type="dxa" w:w="100"/>
              <w:bottom w:type="dxa" w:w="70"/>
              <w:right w:type="dxa" w:w="100"/>
            </w:tcMar>
          </w:tcPr>
          <w:p>
            <w:r>
              <w:rPr>
                <w:b w:val="false"/>
                <w:bCs w:val="false"/>
                <w:sz w:val="18"/>
                <w:szCs w:val="18"/>
              </w:rPr>
              <w:t xml:space="preserve">Neither system offers a real reference here; if/when we scope IPD, treat their screen layout only as a loose UX sketch, never their (non-existent) data model</w:t>
            </w:r>
          </w:p>
        </w:tc>
      </w:tr>
    </w:tbl>
    <w:p>
      <w:r>
        <w:br w:type="page"/>
      </w:r>
    </w:p>
    <w:p>
      <w:pPr>
        <w:pStyle w:val="Heading1"/>
        <w:spacing w:after="200" w:before="400"/>
      </w:pPr>
      <w:r>
        <w:t xml:space="preserve">6. Workflow Improvements, Not Just Features</w:t>
      </w:r>
    </w:p>
    <w:p>
      <w:pPr>
        <w:pStyle w:val="Heading2"/>
        <w:spacing w:after="150" w:before="300"/>
      </w:pPr>
      <w:r>
        <w:t xml:space="preserve">6.1 The one workflow-level idea worth studying: “complete a visit” as a single action</w:t>
      </w:r>
    </w:p>
    <w:p>
      <w:pPr>
        <w:spacing w:after="120"/>
      </w:pPr>
      <w:r>
        <w:rPr>
          <w:b/>
          <w:bCs/>
          <w:color w:val="1B7A3D"/>
        </w:rPr>
        <w:t xml:space="preserve">[FACT] </w:t>
      </w:r>
      <w:r>
        <w:t xml:space="preserve">The doctor app's only fully real, multi-step clinical workflow is: open an appointment → attach a document (camera/gallery/PDF) → type a prescription name and remarks → one Submit that both marks the booking complete and uploads the document, with a local optimistic “already completed” cache so re-opening the same appointment shows it as done without waiting on a network round-trip.</w:t>
      </w:r>
    </w:p>
    <w:p>
      <w:pPr>
        <w:spacing w:after="120"/>
      </w:pPr>
      <w:r>
        <w:rPr>
          <w:b/>
          <w:bCs/>
          <w:color w:val="B8860B"/>
        </w:rPr>
        <w:t xml:space="preserve">[INFERENCE] </w:t>
      </w:r>
      <w:r>
        <w:t xml:space="preserve">Our OPD flow is clinically far more capable (structured vitals, ICD diagnosis, structured prescription items, real lab orders) but is also necessarily more steps and more screens (vitals → start encounter → diagnosis → prescription → sign). For the subset of visits where that full structure is overkill — a quick follow-up, a medication refill check, a telemedicine-style consult — there is a real workflow gap: no fast path exists.</w:t>
      </w:r>
    </w:p>
    <w:p>
      <w:pPr>
        <w:spacing w:after="120"/>
      </w:pPr>
      <w:r>
        <w:rPr>
          <w:b/>
          <w:bCs/>
          <w:color w:val="A6192E"/>
        </w:rPr>
        <w:t xml:space="preserve">[RECOMMENDATION] </w:t>
      </w:r>
      <w:r>
        <w:t xml:space="preserve">Do not replace the structured encounter flow. Add an optional fast path — available from the doctor's queue for a follow-up-type appointment — that combines “attach a note/file + mark visit done” into one action, still writing a real (if minimal) OPDEncounter row rather than a document-only record, so the visit still counts toward the patient's real clinical history. Priority P2 (Section 13).</w:t>
      </w:r>
    </w:p>
    <w:p>
      <w:pPr>
        <w:pStyle w:val="Heading2"/>
        <w:spacing w:after="150" w:before="300"/>
      </w:pPr>
      <w:r>
        <w:t xml:space="preserve">6.2 What happens after completion, cancellation, and failure</w:t>
      </w:r>
    </w:p>
    <w:p>
      <w:pPr>
        <w:spacing w:after="120"/>
      </w:pPr>
      <w:r>
        <w:rPr>
          <w:b/>
          <w:bCs/>
          <w:color w:val="1B7A3D"/>
        </w:rPr>
        <w:t xml:space="preserve">[FACT] </w:t>
      </w:r>
      <w:r>
        <w:t xml:space="preserve">In the reference apps, cancelling a booking or failing an upload has no distinguishable recovery path: a single catch-all alert covers both of the two sequential API calls in the booking-completion flow, with no rollback of the first call if the second fails, and no indication to the user which one failed.</w:t>
      </w:r>
    </w:p>
    <w:p>
      <w:pPr>
        <w:spacing w:after="120"/>
      </w:pPr>
      <w:r>
        <w:rPr>
          <w:b/>
          <w:bCs/>
          <w:color w:val="A6192E"/>
        </w:rPr>
        <w:t xml:space="preserve">[RECOMMENDATION] </w:t>
      </w:r>
      <w:r>
        <w:t xml:space="preserve">This is worth confirming is NOT true of our own two-step flows (e.g., invoice-then-payment, or prescription-then-billing) — not because the reference does it well, but because it is exactly the kind of partial-failure gap worth deliberately checking for as a standing engineering practice. No specific instance was found broken in our HMS during this pass; flagged as a review item, not a confirmed bug.</w:t>
      </w:r>
    </w:p>
    <w:p>
      <w:pPr>
        <w:pStyle w:val="Heading2"/>
        <w:spacing w:after="150" w:before="300"/>
      </w:pPr>
      <w:r>
        <w:t xml:space="preserve">6.3 Responsibility handoff and revision</w:t>
      </w:r>
    </w:p>
    <w:p>
      <w:pPr>
        <w:spacing w:after="120"/>
      </w:pPr>
      <w:r>
        <w:rPr>
          <w:b/>
          <w:bCs/>
          <w:color w:val="B8860B"/>
        </w:rPr>
        <w:t xml:space="preserve">[INFERENCE] </w:t>
      </w:r>
      <w:r>
        <w:t xml:space="preserve">Neither reference app models a handoff of responsibility (e.g., doctor → nurse → pharmacist) as a first-class workflow concept — each screen operates within one role's silo. Our HMS already does this better: the Appointment status machine and NurseDoctorAssignment scoping are exactly this kind of cross-role handoff, done properly. Nothing to borrow here; noted as a confirmed strength.</w:t>
      </w:r>
    </w:p>
    <w:p>
      <w:r>
        <w:br w:type="page"/>
      </w:r>
    </w:p>
    <w:p>
      <w:pPr>
        <w:pStyle w:val="Heading1"/>
        <w:spacing w:after="200" w:before="400"/>
      </w:pPr>
      <w:r>
        <w:t xml:space="preserve">7. Cross-Module Ideas</w:t>
      </w:r>
    </w:p>
    <w:p>
      <w:pPr>
        <w:pStyle w:val="Heading2"/>
        <w:spacing w:after="150" w:before="300"/>
      </w:pPr>
      <w:r>
        <w:t xml:space="preserve">Patient → Appointment → Encounter → Orders → Results → Treatment → Follow-up</w:t>
      </w:r>
    </w:p>
    <w:p>
      <w:pPr>
        <w:spacing w:after="120"/>
      </w:pPr>
      <w:r>
        <w:rPr>
          <w:b/>
          <w:bCs/>
          <w:color w:val="1B7A3D"/>
        </w:rPr>
        <w:t xml:space="preserve">[FACT] </w:t>
      </w:r>
      <w:r>
        <w:t xml:space="preserve">In the reference system this chain is loose: completing a booking and ordering a test are two unconnected screens a doctor must remember to visit separately, with no suggested or forced linkage between them.</w:t>
      </w:r>
    </w:p>
    <w:p>
      <w:pPr>
        <w:spacing w:after="120"/>
      </w:pPr>
      <w:r>
        <w:rPr>
          <w:b/>
          <w:bCs/>
          <w:color w:val="B8860B"/>
        </w:rPr>
        <w:t xml:space="preserve">[INFERENCE] </w:t>
      </w:r>
      <w:r>
        <w:t xml:space="preserve">Our HMS already integrates this chain better — the OPDEncounter is the hub that prescriptions and lab orders both hang off of within one flow. This is a confirmed strength, not a gap.</w:t>
      </w:r>
    </w:p>
    <w:p>
      <w:pPr>
        <w:spacing w:after="120"/>
      </w:pPr>
      <w:r>
        <w:rPr>
          <w:b/>
          <w:bCs/>
          <w:color w:val="A6192E"/>
        </w:rPr>
        <w:t xml:space="preserve">[RECOMMENDATION] </w:t>
      </w:r>
      <w:r>
        <w:t xml:space="preserve">The one genuine cross-module idea worth taking is extending this same chain one step further than either system currently does: today it stops at “Treatment” (prescription/lab order created). Wiring apps.tasks onto the end of an encounter — so a doctor can attach a small number of structured follow-up tasks (take medication at 8am/8pm, review in 2 weeks, upload a photo of the wound in 3 days) that the patient then sees and checks off in the portal — closes the loop the reference system only gestures at with “My Activities.” This is the same recommendation as Section 4 item 1, restated at the cross-module level.</w:t>
      </w:r>
    </w:p>
    <w:p>
      <w:pPr>
        <w:pStyle w:val="Heading2"/>
        <w:spacing w:after="150" w:before="300"/>
      </w:pPr>
      <w:r>
        <w:t xml:space="preserve">Admission → Bed → Nursing → Doctor Rounds → Orders → Medication → Investigations → Discharge</w:t>
      </w:r>
    </w:p>
    <w:p>
      <w:pPr>
        <w:spacing w:after="120"/>
      </w:pPr>
      <w:r>
        <w:rPr>
          <w:b/>
          <w:bCs/>
          <w:color w:val="1B7A3D"/>
        </w:rPr>
        <w:t xml:space="preserve">[FACT] </w:t>
      </w:r>
      <w:r>
        <w:t xml:space="preserve">Neither system has a real implementation of this chain. The reference apps' In-Patient/Surgery screens gesture at pieces of it (a “rounds done” toggle, a pre-op checklist) but every field is hardcoded and nothing persists.</w:t>
      </w:r>
    </w:p>
    <w:p>
      <w:pPr>
        <w:spacing w:after="120"/>
      </w:pPr>
      <w:r>
        <w:rPr>
          <w:b/>
          <w:bCs/>
          <w:color w:val="A6192E"/>
        </w:rPr>
        <w:t xml:space="preserve">[RECOMMENDATION] </w:t>
      </w:r>
      <w:r>
        <w:t xml:space="preserve">Not a current priority (Section 13, P3) given our HMS is OPD-only by design today, but if IPD is ever scoped, the reference material's screen SHAPE (a tabbed in-patient list, a per-patient detail with an Overview/Vitals/Medications tab switcher) is a reasonable UX starting sketch — its data model and persistence are not, since neither exists.</w:t>
      </w:r>
    </w:p>
    <w:p>
      <w:pPr>
        <w:pStyle w:val="Heading2"/>
        <w:spacing w:after="150" w:before="300"/>
      </w:pPr>
      <w:r>
        <w:t xml:space="preserve">Surgery → Pre-op → OT → Procedure → Recovery → Post-op → Discharge</w:t>
      </w:r>
    </w:p>
    <w:p>
      <w:pPr>
        <w:spacing w:after="120"/>
      </w:pPr>
      <w:r>
        <w:rPr>
          <w:b/>
          <w:bCs/>
          <w:color w:val="1B7A3D"/>
        </w:rPr>
        <w:t xml:space="preserve">[FACT] </w:t>
      </w:r>
      <w:r>
        <w:t xml:space="preserve">Not implemented in either system. The reference app's Surgery Details screen is a fully mocked checklist (patient consent, anesthesia clearance, lab results, imaging review) with identical hardcoded data for every surgery regardless of which one was tapped.</w:t>
      </w:r>
    </w:p>
    <w:p>
      <w:pPr>
        <w:spacing w:after="120"/>
      </w:pPr>
      <w:r>
        <w:rPr>
          <w:b/>
          <w:bCs/>
          <w:color w:val="A6192E"/>
        </w:rPr>
        <w:t xml:space="preserve">[RECOMMENDATION] </w:t>
      </w:r>
      <w:r>
        <w:t xml:space="preserve">No action recommended — there is nothing real to borrow here, and this chain is out of scope for our current OPD-focused product.</w:t>
      </w:r>
    </w:p>
    <w:p>
      <w:r>
        <w:br w:type="page"/>
      </w:r>
    </w:p>
    <w:p>
      <w:pPr>
        <w:pStyle w:val="Heading1"/>
        <w:spacing w:after="200" w:before="400"/>
      </w:pPr>
      <w:r>
        <w:t xml:space="preserve">8. Data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808"/>
        <w:gridCol w:w="2995"/>
        <w:gridCol w:w="1872"/>
      </w:tblGrid>
      <w:tr>
        <w:trPr>
          <w:tblHeader/>
        </w:trPr>
        <w:tc>
          <w:tcPr>
            <w:tcW w:type="dxa" w:w="1685"/>
            <w:shd w:fill="1E2761" w:val="clear"/>
            <w:tcMar>
              <w:top w:type="dxa" w:w="80"/>
              <w:left w:type="dxa" w:w="100"/>
              <w:bottom w:type="dxa" w:w="80"/>
              <w:right w:type="dxa" w:w="100"/>
            </w:tcMar>
          </w:tcPr>
          <w:p>
            <w:r>
              <w:rPr>
                <w:b/>
                <w:bCs/>
                <w:color w:val="FFFFFF"/>
                <w:sz w:val="18"/>
                <w:szCs w:val="18"/>
              </w:rPr>
              <w:t xml:space="preserve">Entity/Concept</w:t>
            </w:r>
          </w:p>
        </w:tc>
        <w:tc>
          <w:tcPr>
            <w:tcW w:type="dxa" w:w="2808"/>
            <w:shd w:fill="1E2761" w:val="clear"/>
            <w:tcMar>
              <w:top w:type="dxa" w:w="80"/>
              <w:left w:type="dxa" w:w="100"/>
              <w:bottom w:type="dxa" w:w="80"/>
              <w:right w:type="dxa" w:w="100"/>
            </w:tcMar>
          </w:tcPr>
          <w:p>
            <w:r>
              <w:rPr>
                <w:b/>
                <w:bCs/>
                <w:color w:val="FFFFFF"/>
                <w:sz w:val="18"/>
                <w:szCs w:val="18"/>
              </w:rPr>
              <w:t xml:space="preserve">Our Model</w:t>
            </w:r>
          </w:p>
        </w:tc>
        <w:tc>
          <w:tcPr>
            <w:tcW w:type="dxa" w:w="2995"/>
            <w:shd w:fill="1E2761" w:val="clear"/>
            <w:tcMar>
              <w:top w:type="dxa" w:w="80"/>
              <w:left w:type="dxa" w:w="100"/>
              <w:bottom w:type="dxa" w:w="80"/>
              <w:right w:type="dxa" w:w="100"/>
            </w:tcMar>
          </w:tcPr>
          <w:p>
            <w:r>
              <w:rPr>
                <w:b/>
                <w:bCs/>
                <w:color w:val="FFFFFF"/>
                <w:sz w:val="18"/>
                <w:szCs w:val="18"/>
              </w:rPr>
              <w:t xml:space="preserve">Reference Model</w:t>
            </w:r>
          </w:p>
        </w:tc>
        <w:tc>
          <w:tcPr>
            <w:tcW w:type="dxa" w:w="1872"/>
            <w:shd w:fill="1E2761" w:val="clear"/>
            <w:tcMar>
              <w:top w:type="dxa" w:w="80"/>
              <w:left w:type="dxa" w:w="100"/>
              <w:bottom w:type="dxa" w:w="80"/>
              <w:right w:type="dxa" w:w="100"/>
            </w:tcMar>
          </w:tcPr>
          <w:p>
            <w:r>
              <w:rPr>
                <w:b/>
                <w:bCs/>
                <w:color w:val="FFFFFF"/>
                <w:sz w:val="18"/>
                <w:szCs w:val="18"/>
              </w:rPr>
              <w:t xml:space="preserve">What We Should Do</w:t>
            </w:r>
          </w:p>
        </w:tc>
      </w:tr>
      <w:tr>
        <w:tc>
          <w:tcPr>
            <w:tcW w:type="dxa" w:w="1685"/>
            <w:tcMar>
              <w:top w:type="dxa" w:w="70"/>
              <w:left w:type="dxa" w:w="100"/>
              <w:bottom w:type="dxa" w:w="70"/>
              <w:right w:type="dxa" w:w="100"/>
            </w:tcMar>
          </w:tcPr>
          <w:p>
            <w:r>
              <w:rPr>
                <w:b w:val="false"/>
                <w:bCs w:val="false"/>
                <w:sz w:val="18"/>
                <w:szCs w:val="18"/>
              </w:rPr>
              <w:t xml:space="preserve">Doctor identity</w:t>
            </w:r>
          </w:p>
        </w:tc>
        <w:tc>
          <w:tcPr>
            <w:tcW w:type="dxa" w:w="2808"/>
            <w:tcMar>
              <w:top w:type="dxa" w:w="70"/>
              <w:left w:type="dxa" w:w="100"/>
              <w:bottom w:type="dxa" w:w="70"/>
              <w:right w:type="dxa" w:w="100"/>
            </w:tcMar>
          </w:tcPr>
          <w:p>
            <w:r>
              <w:rPr>
                <w:b w:val="false"/>
                <w:bCs w:val="false"/>
                <w:sz w:val="18"/>
                <w:szCs w:val="18"/>
              </w:rPr>
              <w:t xml:space="preserve">StaffUser + DoctorProfile, purpose-built, role-scoped</w:t>
            </w:r>
          </w:p>
        </w:tc>
        <w:tc>
          <w:tcPr>
            <w:tcW w:type="dxa" w:w="2995"/>
            <w:tcMar>
              <w:top w:type="dxa" w:w="70"/>
              <w:left w:type="dxa" w:w="100"/>
              <w:bottom w:type="dxa" w:w="70"/>
              <w:right w:type="dxa" w:w="100"/>
            </w:tcMar>
          </w:tcPr>
          <w:p>
            <w:r>
              <w:rPr>
                <w:b w:val="false"/>
                <w:bCs w:val="false"/>
                <w:sz w:val="18"/>
                <w:szCs w:val="18"/>
              </w:rPr>
              <w:t xml:space="preserve">“Employee” record, doubles as “equipment” inside a booking response</w:t>
            </w:r>
          </w:p>
        </w:tc>
        <w:tc>
          <w:tcPr>
            <w:tcW w:type="dxa" w:w="1872"/>
            <w:tcMar>
              <w:top w:type="dxa" w:w="70"/>
              <w:left w:type="dxa" w:w="100"/>
              <w:bottom w:type="dxa" w:w="70"/>
              <w:right w:type="dxa" w:w="100"/>
            </w:tcMar>
          </w:tcPr>
          <w:p>
            <w:r>
              <w:rPr>
                <w:b w:val="false"/>
                <w:bCs w:val="false"/>
                <w:sz w:val="18"/>
                <w:szCs w:val="18"/>
              </w:rPr>
              <w:t xml:space="preserve">Nothing — ours is sound; theirs is a documented source of confusion in their own audit</w:t>
            </w:r>
          </w:p>
        </w:tc>
      </w:tr>
      <w:tr>
        <w:tc>
          <w:tcPr>
            <w:tcW w:type="dxa" w:w="1685"/>
            <w:tcMar>
              <w:top w:type="dxa" w:w="70"/>
              <w:left w:type="dxa" w:w="100"/>
              <w:bottom w:type="dxa" w:w="70"/>
              <w:right w:type="dxa" w:w="100"/>
            </w:tcMar>
          </w:tcPr>
          <w:p>
            <w:r>
              <w:rPr>
                <w:b w:val="false"/>
                <w:bCs w:val="false"/>
                <w:sz w:val="18"/>
                <w:szCs w:val="18"/>
              </w:rPr>
              <w:t xml:space="preserve">Patient identity</w:t>
            </w:r>
          </w:p>
        </w:tc>
        <w:tc>
          <w:tcPr>
            <w:tcW w:type="dxa" w:w="2808"/>
            <w:tcMar>
              <w:top w:type="dxa" w:w="70"/>
              <w:left w:type="dxa" w:w="100"/>
              <w:bottom w:type="dxa" w:w="70"/>
              <w:right w:type="dxa" w:w="100"/>
            </w:tcMar>
          </w:tcPr>
          <w:p>
            <w:r>
              <w:rPr>
                <w:b w:val="false"/>
                <w:bCs w:val="false"/>
                <w:sz w:val="18"/>
                <w:szCs w:val="18"/>
              </w:rPr>
              <w:t xml:space="preserve">PatientIdentity (cross-hospital) + per-tenant Patient + PatientAccount (portal login), explicitly separated by design</w:t>
            </w:r>
          </w:p>
        </w:tc>
        <w:tc>
          <w:tcPr>
            <w:tcW w:type="dxa" w:w="2995"/>
            <w:tcMar>
              <w:top w:type="dxa" w:w="70"/>
              <w:left w:type="dxa" w:w="100"/>
              <w:bottom w:type="dxa" w:w="70"/>
              <w:right w:type="dxa" w:w="100"/>
            </w:tcMar>
          </w:tcPr>
          <w:p>
            <w:r>
              <w:rPr>
                <w:b w:val="false"/>
                <w:bCs w:val="false"/>
                <w:sz w:val="18"/>
                <w:szCs w:val="18"/>
              </w:rPr>
              <w:t xml:space="preserve">“Customer” record embedded inside a booking response; no standalone patient profile fetch/edit exists at all</w:t>
            </w:r>
          </w:p>
        </w:tc>
        <w:tc>
          <w:tcPr>
            <w:tcW w:type="dxa" w:w="1872"/>
            <w:tcMar>
              <w:top w:type="dxa" w:w="70"/>
              <w:left w:type="dxa" w:w="100"/>
              <w:bottom w:type="dxa" w:w="70"/>
              <w:right w:type="dxa" w:w="100"/>
            </w:tcMar>
          </w:tcPr>
          <w:p>
            <w:r>
              <w:rPr>
                <w:b w:val="false"/>
                <w:bCs w:val="false"/>
                <w:sz w:val="18"/>
                <w:szCs w:val="18"/>
              </w:rPr>
              <w:t xml:space="preserve">Nothing to borrow</w:t>
            </w:r>
          </w:p>
        </w:tc>
      </w:tr>
      <w:tr>
        <w:tc>
          <w:tcPr>
            <w:tcW w:type="dxa" w:w="1685"/>
            <w:tcMar>
              <w:top w:type="dxa" w:w="70"/>
              <w:left w:type="dxa" w:w="100"/>
              <w:bottom w:type="dxa" w:w="70"/>
              <w:right w:type="dxa" w:w="100"/>
            </w:tcMar>
          </w:tcPr>
          <w:p>
            <w:r>
              <w:rPr>
                <w:b w:val="false"/>
                <w:bCs w:val="false"/>
                <w:sz w:val="18"/>
                <w:szCs w:val="18"/>
              </w:rPr>
              <w:t xml:space="preserve">Appointment</w:t>
            </w:r>
          </w:p>
        </w:tc>
        <w:tc>
          <w:tcPr>
            <w:tcW w:type="dxa" w:w="2808"/>
            <w:tcMar>
              <w:top w:type="dxa" w:w="70"/>
              <w:left w:type="dxa" w:w="100"/>
              <w:bottom w:type="dxa" w:w="70"/>
              <w:right w:type="dxa" w:w="100"/>
            </w:tcMar>
          </w:tcPr>
          <w:p>
            <w:r>
              <w:rPr>
                <w:b w:val="false"/>
                <w:bCs w:val="false"/>
                <w:sz w:val="18"/>
                <w:szCs w:val="18"/>
              </w:rPr>
              <w:t xml:space="preserve">Purpose-built Appointment entity with a real server-enforced status machine</w:t>
            </w:r>
          </w:p>
        </w:tc>
        <w:tc>
          <w:tcPr>
            <w:tcW w:type="dxa" w:w="2995"/>
            <w:tcMar>
              <w:top w:type="dxa" w:w="70"/>
              <w:left w:type="dxa" w:w="100"/>
              <w:bottom w:type="dxa" w:w="70"/>
              <w:right w:type="dxa" w:w="100"/>
            </w:tcMar>
          </w:tcPr>
          <w:p>
            <w:r>
              <w:rPr>
                <w:b w:val="false"/>
                <w:bCs w:val="false"/>
                <w:sz w:val="18"/>
                <w:szCs w:val="18"/>
              </w:rPr>
              <w:t xml:space="preserve">A “facility booking” (equipment+customer), status is a free string only meaningfully transitioning Pending→Completed</w:t>
            </w:r>
          </w:p>
        </w:tc>
        <w:tc>
          <w:tcPr>
            <w:tcW w:type="dxa" w:w="1872"/>
            <w:tcMar>
              <w:top w:type="dxa" w:w="70"/>
              <w:left w:type="dxa" w:w="100"/>
              <w:bottom w:type="dxa" w:w="70"/>
              <w:right w:type="dxa" w:w="100"/>
            </w:tcMar>
          </w:tcPr>
          <w:p>
            <w:r>
              <w:rPr>
                <w:b w:val="false"/>
                <w:bCs w:val="false"/>
                <w:sz w:val="18"/>
                <w:szCs w:val="18"/>
              </w:rPr>
              <w:t xml:space="preserve">Nothing to borrow</w:t>
            </w:r>
          </w:p>
        </w:tc>
      </w:tr>
      <w:tr>
        <w:tc>
          <w:tcPr>
            <w:tcW w:type="dxa" w:w="1685"/>
            <w:tcMar>
              <w:top w:type="dxa" w:w="70"/>
              <w:left w:type="dxa" w:w="100"/>
              <w:bottom w:type="dxa" w:w="70"/>
              <w:right w:type="dxa" w:w="100"/>
            </w:tcMar>
          </w:tcPr>
          <w:p>
            <w:r>
              <w:rPr>
                <w:b w:val="false"/>
                <w:bCs w:val="false"/>
                <w:sz w:val="18"/>
                <w:szCs w:val="18"/>
              </w:rPr>
              <w:t xml:space="preserve">Document/report</w:t>
            </w:r>
          </w:p>
        </w:tc>
        <w:tc>
          <w:tcPr>
            <w:tcW w:type="dxa" w:w="2808"/>
            <w:tcMar>
              <w:top w:type="dxa" w:w="70"/>
              <w:left w:type="dxa" w:w="100"/>
              <w:bottom w:type="dxa" w:w="70"/>
              <w:right w:type="dxa" w:w="100"/>
            </w:tcMar>
          </w:tcPr>
          <w:p>
            <w:r>
              <w:rPr>
                <w:b w:val="false"/>
                <w:bCs w:val="false"/>
                <w:sz w:val="18"/>
                <w:szCs w:val="18"/>
              </w:rPr>
              <w:t xml:space="preserve">Per-model file fields (Prescription, LabReport, etc.) via S3 signed URLs, no unifying category concept</w:t>
            </w:r>
          </w:p>
        </w:tc>
        <w:tc>
          <w:tcPr>
            <w:tcW w:type="dxa" w:w="2995"/>
            <w:tcMar>
              <w:top w:type="dxa" w:w="70"/>
              <w:left w:type="dxa" w:w="100"/>
              <w:bottom w:type="dxa" w:w="70"/>
              <w:right w:type="dxa" w:w="100"/>
            </w:tcMar>
          </w:tcPr>
          <w:p>
            <w:r>
              <w:rPr>
                <w:b w:val="false"/>
                <w:bCs w:val="false"/>
                <w:sz w:val="18"/>
                <w:szCs w:val="18"/>
              </w:rPr>
              <w:t xml:space="preserve">A dedicated Document entity with a formal type code (RX-001, LAB-001, RAD-RPT-001, RAD-IMG-001, DS-001)</w:t>
            </w:r>
          </w:p>
        </w:tc>
        <w:tc>
          <w:tcPr>
            <w:tcW w:type="dxa" w:w="1872"/>
            <w:tcMar>
              <w:top w:type="dxa" w:w="70"/>
              <w:left w:type="dxa" w:w="100"/>
              <w:bottom w:type="dxa" w:w="70"/>
              <w:right w:type="dxa" w:w="100"/>
            </w:tcMar>
          </w:tcPr>
          <w:p>
            <w:r>
              <w:rPr>
                <w:b w:val="false"/>
                <w:bCs w:val="false"/>
                <w:sz w:val="18"/>
                <w:szCs w:val="18"/>
              </w:rPr>
              <w:t xml:space="preserve">Adopt a lightweight document-category enum to power the unified Documents hub (Section 4, item 3/9). Business reason: today a patient has to know which page to visit for which kind of file; a category field lets one screen group everything correctly.</w:t>
            </w:r>
          </w:p>
        </w:tc>
      </w:tr>
      <w:tr>
        <w:tc>
          <w:tcPr>
            <w:tcW w:type="dxa" w:w="1685"/>
            <w:tcMar>
              <w:top w:type="dxa" w:w="70"/>
              <w:left w:type="dxa" w:w="100"/>
              <w:bottom w:type="dxa" w:w="70"/>
              <w:right w:type="dxa" w:w="100"/>
            </w:tcMar>
          </w:tcPr>
          <w:p>
            <w:r>
              <w:rPr>
                <w:b w:val="false"/>
                <w:bCs w:val="false"/>
                <w:sz w:val="18"/>
                <w:szCs w:val="18"/>
              </w:rPr>
              <w:t xml:space="preserve">Task/Activity</w:t>
            </w:r>
          </w:p>
        </w:tc>
        <w:tc>
          <w:tcPr>
            <w:tcW w:type="dxa" w:w="2808"/>
            <w:tcMar>
              <w:top w:type="dxa" w:w="70"/>
              <w:left w:type="dxa" w:w="100"/>
              <w:bottom w:type="dxa" w:w="70"/>
              <w:right w:type="dxa" w:w="100"/>
            </w:tcMar>
          </w:tcPr>
          <w:p>
            <w:r>
              <w:rPr>
                <w:b w:val="false"/>
                <w:bCs w:val="false"/>
                <w:sz w:val="18"/>
                <w:szCs w:val="18"/>
              </w:rPr>
              <w:t xml:space="preserve">Task/TaskAssignment (apps.tasks) — real, staff-oriented, unused by any frontend</w:t>
            </w:r>
          </w:p>
        </w:tc>
        <w:tc>
          <w:tcPr>
            <w:tcW w:type="dxa" w:w="2995"/>
            <w:tcMar>
              <w:top w:type="dxa" w:w="70"/>
              <w:left w:type="dxa" w:w="100"/>
              <w:bottom w:type="dxa" w:w="70"/>
              <w:right w:type="dxa" w:w="100"/>
            </w:tcMar>
          </w:tcPr>
          <w:p>
            <w:r>
              <w:rPr>
                <w:b w:val="false"/>
                <w:bCs w:val="false"/>
                <w:sz w:val="18"/>
                <w:szCs w:val="18"/>
              </w:rPr>
              <w:t xml:space="preserve">No real entity (Medicine/Music/Exercise/Activity are all local-state only, never reach a server)</w:t>
            </w:r>
          </w:p>
        </w:tc>
        <w:tc>
          <w:tcPr>
            <w:tcW w:type="dxa" w:w="1872"/>
            <w:tcMar>
              <w:top w:type="dxa" w:w="70"/>
              <w:left w:type="dxa" w:w="100"/>
              <w:bottom w:type="dxa" w:w="70"/>
              <w:right w:type="dxa" w:w="100"/>
            </w:tcMar>
          </w:tcPr>
          <w:p>
            <w:r>
              <w:rPr>
                <w:b w:val="false"/>
                <w:bCs w:val="false"/>
                <w:sz w:val="18"/>
                <w:szCs w:val="18"/>
              </w:rPr>
              <w:t xml:space="preserve">Extend Task to support a patient-visible, patient-completable variant. Business reason: this is the single highest-leverage recommendation in this report — it reuses backend work that already exists and is otherwise wasted.</w:t>
            </w:r>
          </w:p>
        </w:tc>
      </w:tr>
      <w:tr>
        <w:tc>
          <w:tcPr>
            <w:tcW w:type="dxa" w:w="1685"/>
            <w:tcMar>
              <w:top w:type="dxa" w:w="70"/>
              <w:left w:type="dxa" w:w="100"/>
              <w:bottom w:type="dxa" w:w="70"/>
              <w:right w:type="dxa" w:w="100"/>
            </w:tcMar>
          </w:tcPr>
          <w:p>
            <w:r>
              <w:rPr>
                <w:b w:val="false"/>
                <w:bCs w:val="false"/>
                <w:sz w:val="18"/>
                <w:szCs w:val="18"/>
              </w:rPr>
              <w:t xml:space="preserve">Lab order</w:t>
            </w:r>
          </w:p>
        </w:tc>
        <w:tc>
          <w:tcPr>
            <w:tcW w:type="dxa" w:w="2808"/>
            <w:tcMar>
              <w:top w:type="dxa" w:w="70"/>
              <w:left w:type="dxa" w:w="100"/>
              <w:bottom w:type="dxa" w:w="70"/>
              <w:right w:type="dxa" w:w="100"/>
            </w:tcMar>
          </w:tcPr>
          <w:p>
            <w:r>
              <w:rPr>
                <w:b w:val="false"/>
                <w:bCs w:val="false"/>
                <w:sz w:val="18"/>
                <w:szCs w:val="18"/>
              </w:rPr>
              <w:t xml:space="preserve">LabRequest with in-house/outside choice and billing parity to prescriptions</w:t>
            </w:r>
          </w:p>
        </w:tc>
        <w:tc>
          <w:tcPr>
            <w:tcW w:type="dxa" w:w="2995"/>
            <w:tcMar>
              <w:top w:type="dxa" w:w="70"/>
              <w:left w:type="dxa" w:w="100"/>
              <w:bottom w:type="dxa" w:w="70"/>
              <w:right w:type="dxa" w:w="100"/>
            </w:tcMar>
          </w:tcPr>
          <w:p>
            <w:r>
              <w:rPr>
                <w:b w:val="false"/>
                <w:bCs w:val="false"/>
                <w:sz w:val="18"/>
                <w:szCs w:val="18"/>
              </w:rPr>
              <w:t xml:space="preserve">“Task interest” (a generic CRM “product interest” entity repurposed), with an unpersisted priority field</w:t>
            </w:r>
          </w:p>
        </w:tc>
        <w:tc>
          <w:tcPr>
            <w:tcW w:type="dxa" w:w="1872"/>
            <w:tcMar>
              <w:top w:type="dxa" w:w="70"/>
              <w:left w:type="dxa" w:w="100"/>
              <w:bottom w:type="dxa" w:w="70"/>
              <w:right w:type="dxa" w:w="100"/>
            </w:tcMar>
          </w:tcPr>
          <w:p>
            <w:r>
              <w:rPr>
                <w:b w:val="false"/>
                <w:bCs w:val="false"/>
                <w:sz w:val="18"/>
                <w:szCs w:val="18"/>
              </w:rPr>
              <w:t xml:space="preserve">Add a real, persisted urgency/priority field (enum: Routine/Urgent/STAT) to LabRequest. Business reason: a doctor genuinely needs to flag an urgent lab order so lab-tech triage reflects it; this is currently impossible to express.</w:t>
            </w:r>
          </w:p>
        </w:tc>
      </w:tr>
      <w:tr>
        <w:tc>
          <w:tcPr>
            <w:tcW w:type="dxa" w:w="1685"/>
            <w:tcMar>
              <w:top w:type="dxa" w:w="70"/>
              <w:left w:type="dxa" w:w="100"/>
              <w:bottom w:type="dxa" w:w="70"/>
              <w:right w:type="dxa" w:w="100"/>
            </w:tcMar>
          </w:tcPr>
          <w:p>
            <w:r>
              <w:rPr>
                <w:b w:val="false"/>
                <w:bCs w:val="false"/>
                <w:sz w:val="18"/>
                <w:szCs w:val="18"/>
              </w:rPr>
              <w:t xml:space="preserve">Tenant selector</w:t>
            </w:r>
          </w:p>
        </w:tc>
        <w:tc>
          <w:tcPr>
            <w:tcW w:type="dxa" w:w="2808"/>
            <w:tcMar>
              <w:top w:type="dxa" w:w="70"/>
              <w:left w:type="dxa" w:w="100"/>
              <w:bottom w:type="dxa" w:w="70"/>
              <w:right w:type="dxa" w:w="100"/>
            </w:tcMar>
          </w:tcPr>
          <w:p>
            <w:r>
              <w:rPr>
                <w:b w:val="false"/>
                <w:bCs w:val="false"/>
                <w:sz w:val="18"/>
                <w:szCs w:val="18"/>
              </w:rPr>
              <w:t xml:space="preserve">Resolved server-side from the JWT's tenant claim; the web app never asks the user to pick a hospital by name at login</w:t>
            </w:r>
          </w:p>
        </w:tc>
        <w:tc>
          <w:tcPr>
            <w:tcW w:type="dxa" w:w="2995"/>
            <w:tcMar>
              <w:top w:type="dxa" w:w="70"/>
              <w:left w:type="dxa" w:w="100"/>
              <w:bottom w:type="dxa" w:w="70"/>
              <w:right w:type="dxa" w:w="100"/>
            </w:tcMar>
          </w:tcPr>
          <w:p>
            <w:r>
              <w:rPr>
                <w:b w:val="false"/>
                <w:bCs w:val="false"/>
                <w:sz w:val="18"/>
                <w:szCs w:val="18"/>
              </w:rPr>
              <w:t xml:space="preserve">A fetched list of companies (get_applicable_site), chosen explicitly at login, stored client-side</w:t>
            </w:r>
          </w:p>
        </w:tc>
        <w:tc>
          <w:tcPr>
            <w:tcW w:type="dxa" w:w="1872"/>
            <w:tcMar>
              <w:top w:type="dxa" w:w="70"/>
              <w:left w:type="dxa" w:w="100"/>
              <w:bottom w:type="dxa" w:w="70"/>
              <w:right w:type="dxa" w:w="100"/>
            </w:tcMar>
          </w:tcPr>
          <w:p>
            <w:r>
              <w:rPr>
                <w:b w:val="false"/>
                <w:bCs w:val="false"/>
                <w:sz w:val="18"/>
                <w:szCs w:val="18"/>
              </w:rPr>
              <w:t xml:space="preserve">Only relevant if a native mobile app is built (Section 4, item 7/8) — a single mobile binary cannot rely on subdomain resolution the way a browser does. Not a data-model change today.</w:t>
            </w:r>
          </w:p>
        </w:tc>
      </w:tr>
      <w:tr>
        <w:tc>
          <w:tcPr>
            <w:tcW w:type="dxa" w:w="1685"/>
            <w:tcMar>
              <w:top w:type="dxa" w:w="70"/>
              <w:left w:type="dxa" w:w="100"/>
              <w:bottom w:type="dxa" w:w="70"/>
              <w:right w:type="dxa" w:w="100"/>
            </w:tcMar>
          </w:tcPr>
          <w:p>
            <w:r>
              <w:rPr>
                <w:b w:val="false"/>
                <w:bCs w:val="false"/>
                <w:sz w:val="18"/>
                <w:szCs w:val="18"/>
              </w:rPr>
              <w:t xml:space="preserve">RBAC</w:t>
            </w:r>
          </w:p>
        </w:tc>
        <w:tc>
          <w:tcPr>
            <w:tcW w:type="dxa" w:w="2808"/>
            <w:tcMar>
              <w:top w:type="dxa" w:w="70"/>
              <w:left w:type="dxa" w:w="100"/>
              <w:bottom w:type="dxa" w:w="70"/>
              <w:right w:type="dxa" w:w="100"/>
            </w:tcMar>
          </w:tcPr>
          <w:p>
            <w:r>
              <w:rPr>
                <w:b w:val="false"/>
                <w:bCs w:val="false"/>
                <w:sz w:val="18"/>
                <w:szCs w:val="18"/>
              </w:rPr>
              <w:t xml:space="preserve">Two systems: live hardcoded Is* classes, plus a fully modeled but dead Permission/Role/RolePermission table</w:t>
            </w:r>
          </w:p>
        </w:tc>
        <w:tc>
          <w:tcPr>
            <w:tcW w:type="dxa" w:w="2995"/>
            <w:tcMar>
              <w:top w:type="dxa" w:w="70"/>
              <w:left w:type="dxa" w:w="100"/>
              <w:bottom w:type="dxa" w:w="70"/>
              <w:right w:type="dxa" w:w="100"/>
            </w:tcMar>
          </w:tcPr>
          <w:p>
            <w:r>
              <w:rPr>
                <w:b w:val="false"/>
                <w:bCs w:val="false"/>
                <w:sz w:val="18"/>
                <w:szCs w:val="18"/>
              </w:rPr>
              <w:t xml:space="preserve">None — single implicit role in each app</w:t>
            </w:r>
          </w:p>
        </w:tc>
        <w:tc>
          <w:tcPr>
            <w:tcW w:type="dxa" w:w="1872"/>
            <w:tcMar>
              <w:top w:type="dxa" w:w="70"/>
              <w:left w:type="dxa" w:w="100"/>
              <w:bottom w:type="dxa" w:w="70"/>
              <w:right w:type="dxa" w:w="100"/>
            </w:tcMar>
          </w:tcPr>
          <w:p>
            <w:r>
              <w:rPr>
                <w:b w:val="false"/>
                <w:bCs w:val="false"/>
                <w:sz w:val="18"/>
                <w:szCs w:val="18"/>
              </w:rPr>
              <w:t xml:space="preserve">Nothing to add; if anything, this comparison reinforces that the dead table-driven RBAC system (already flagged in the separate 19-phase audit) is not needed even by a more permissive comparison point, and remains a reasonable candidate for removal or a real integration, not further investment</w:t>
            </w:r>
          </w:p>
        </w:tc>
      </w:tr>
    </w:tbl>
    <w:p>
      <w:r>
        <w:br w:type="page"/>
      </w:r>
    </w:p>
    <w:p>
      <w:pPr>
        <w:pStyle w:val="Heading1"/>
        <w:spacing w:after="200" w:before="400"/>
      </w:pPr>
      <w:r>
        <w:t xml:space="preserve">9. API / Backend Comparison</w:t>
      </w:r>
    </w:p>
    <w:p>
      <w:pPr>
        <w:spacing w:after="160"/>
      </w:pPr>
      <w:r>
        <w:t xml:space="preserve">The reference system's API layer is, on the evidence in both reports, materially weaker than ours on every dimension examined: no versioning, two inconsistent base domains with the GET/POST split landing on different hosts, no refresh-token flow, no centralized error handling, and no server-observed RBAC enforcement (client has none, and nothing in the client suggests the server does either). None of that is something to adopt. The comparison below focuses on the few capability-level ideas worth a business-capability translation, per the brief's instruction not to copy endpoint names or implementation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34"/>
        <w:gridCol w:w="2621"/>
        <w:gridCol w:w="2434"/>
      </w:tblGrid>
      <w:tr>
        <w:trPr>
          <w:tblHeader/>
        </w:trPr>
        <w:tc>
          <w:tcPr>
            <w:tcW w:type="dxa" w:w="1872"/>
            <w:shd w:fill="1E2761" w:val="clear"/>
            <w:tcMar>
              <w:top w:type="dxa" w:w="80"/>
              <w:left w:type="dxa" w:w="100"/>
              <w:bottom w:type="dxa" w:w="80"/>
              <w:right w:type="dxa" w:w="100"/>
            </w:tcMar>
          </w:tcPr>
          <w:p>
            <w:r>
              <w:rPr>
                <w:b/>
                <w:bCs/>
                <w:color w:val="FFFFFF"/>
                <w:sz w:val="18"/>
                <w:szCs w:val="18"/>
              </w:rPr>
              <w:t xml:space="preserve">Capability</w:t>
            </w:r>
          </w:p>
        </w:tc>
        <w:tc>
          <w:tcPr>
            <w:tcW w:type="dxa" w:w="2434"/>
            <w:shd w:fill="1E2761" w:val="clear"/>
            <w:tcMar>
              <w:top w:type="dxa" w:w="80"/>
              <w:left w:type="dxa" w:w="100"/>
              <w:bottom w:type="dxa" w:w="80"/>
              <w:right w:type="dxa" w:w="100"/>
            </w:tcMar>
          </w:tcPr>
          <w:p>
            <w:r>
              <w:rPr>
                <w:b/>
                <w:bCs/>
                <w:color w:val="FFFFFF"/>
                <w:sz w:val="18"/>
                <w:szCs w:val="18"/>
              </w:rPr>
              <w:t xml:space="preserve">Our API</w:t>
            </w:r>
          </w:p>
        </w:tc>
        <w:tc>
          <w:tcPr>
            <w:tcW w:type="dxa" w:w="2621"/>
            <w:shd w:fill="1E2761" w:val="clear"/>
            <w:tcMar>
              <w:top w:type="dxa" w:w="80"/>
              <w:left w:type="dxa" w:w="100"/>
              <w:bottom w:type="dxa" w:w="80"/>
              <w:right w:type="dxa" w:w="100"/>
            </w:tcMar>
          </w:tcPr>
          <w:p>
            <w:r>
              <w:rPr>
                <w:b/>
                <w:bCs/>
                <w:color w:val="FFFFFF"/>
                <w:sz w:val="18"/>
                <w:szCs w:val="18"/>
              </w:rPr>
              <w:t xml:space="preserve">Reference Approach</w:t>
            </w:r>
          </w:p>
        </w:tc>
        <w:tc>
          <w:tcPr>
            <w:tcW w:type="dxa" w:w="2434"/>
            <w:shd w:fill="1E2761" w:val="clear"/>
            <w:tcMar>
              <w:top w:type="dxa" w:w="80"/>
              <w:left w:type="dxa" w:w="100"/>
              <w:bottom w:type="dxa" w:w="80"/>
              <w:right w:type="dxa" w:w="100"/>
            </w:tcMar>
          </w:tcPr>
          <w:p>
            <w:r>
              <w:rPr>
                <w:b/>
                <w:bCs/>
                <w:color w:val="FFFFFF"/>
                <w:sz w:val="18"/>
                <w:szCs w:val="18"/>
              </w:rPr>
              <w:t xml:space="preserve">Recommended HMS API/Workflow</w:t>
            </w:r>
          </w:p>
        </w:tc>
      </w:tr>
      <w:tr>
        <w:tc>
          <w:tcPr>
            <w:tcW w:type="dxa" w:w="1872"/>
            <w:tcMar>
              <w:top w:type="dxa" w:w="70"/>
              <w:left w:type="dxa" w:w="100"/>
              <w:bottom w:type="dxa" w:w="70"/>
              <w:right w:type="dxa" w:w="100"/>
            </w:tcMar>
          </w:tcPr>
          <w:p>
            <w:r>
              <w:rPr>
                <w:b w:val="false"/>
                <w:bCs w:val="false"/>
                <w:sz w:val="18"/>
                <w:szCs w:val="18"/>
              </w:rPr>
              <w:t xml:space="preserve">Task assignment &amp; completion</w:t>
            </w:r>
          </w:p>
        </w:tc>
        <w:tc>
          <w:tcPr>
            <w:tcW w:type="dxa" w:w="2434"/>
            <w:tcMar>
              <w:top w:type="dxa" w:w="70"/>
              <w:left w:type="dxa" w:w="100"/>
              <w:bottom w:type="dxa" w:w="70"/>
              <w:right w:type="dxa" w:w="100"/>
            </w:tcMar>
          </w:tcPr>
          <w:p>
            <w:r>
              <w:rPr>
                <w:b w:val="false"/>
                <w:bCs w:val="false"/>
                <w:sz w:val="18"/>
                <w:szCs w:val="18"/>
              </w:rPr>
              <w:t xml:space="preserve">apps.tasks exists (Task/TaskAssignment), no endpoint is consumed by any frontend today</w:t>
            </w:r>
          </w:p>
        </w:tc>
        <w:tc>
          <w:tcPr>
            <w:tcW w:type="dxa" w:w="2621"/>
            <w:tcMar>
              <w:top w:type="dxa" w:w="70"/>
              <w:left w:type="dxa" w:w="100"/>
              <w:bottom w:type="dxa" w:w="70"/>
              <w:right w:type="dxa" w:w="100"/>
            </w:tcMar>
          </w:tcPr>
          <w:p>
            <w:r>
              <w:rPr>
                <w:b w:val="false"/>
                <w:bCs w:val="false"/>
                <w:sz w:val="18"/>
                <w:szCs w:val="18"/>
              </w:rPr>
              <w:t xml:space="preserve">update_task_interest / user_task endpoints exist but drive a UI-only, non-persisted screen in practice (a type-classification bug means most tasks never even reach the intended UI branch)</w:t>
            </w:r>
          </w:p>
        </w:tc>
        <w:tc>
          <w:tcPr>
            <w:tcW w:type="dxa" w:w="2434"/>
            <w:tcMar>
              <w:top w:type="dxa" w:w="70"/>
              <w:left w:type="dxa" w:w="100"/>
              <w:bottom w:type="dxa" w:w="70"/>
              <w:right w:type="dxa" w:w="100"/>
            </w:tcMar>
          </w:tcPr>
          <w:p>
            <w:r>
              <w:rPr>
                <w:b w:val="false"/>
                <w:bCs w:val="false"/>
                <w:sz w:val="18"/>
                <w:szCs w:val="18"/>
              </w:rPr>
              <w:t xml:space="preserve">Expose a patient-scoped read/complete endpoint on top of the EXISTING apps.tasks models; do not build a parallel entity</w:t>
            </w:r>
          </w:p>
        </w:tc>
      </w:tr>
      <w:tr>
        <w:tc>
          <w:tcPr>
            <w:tcW w:type="dxa" w:w="1872"/>
            <w:tcMar>
              <w:top w:type="dxa" w:w="70"/>
              <w:left w:type="dxa" w:w="100"/>
              <w:bottom w:type="dxa" w:w="70"/>
              <w:right w:type="dxa" w:w="100"/>
            </w:tcMar>
          </w:tcPr>
          <w:p>
            <w:r>
              <w:rPr>
                <w:b w:val="false"/>
                <w:bCs w:val="false"/>
                <w:sz w:val="18"/>
                <w:szCs w:val="18"/>
              </w:rPr>
              <w:t xml:space="preserve">Lab order submission</w:t>
            </w:r>
          </w:p>
        </w:tc>
        <w:tc>
          <w:tcPr>
            <w:tcW w:type="dxa" w:w="2434"/>
            <w:tcMar>
              <w:top w:type="dxa" w:w="70"/>
              <w:left w:type="dxa" w:w="100"/>
              <w:bottom w:type="dxa" w:w="70"/>
              <w:right w:type="dxa" w:w="100"/>
            </w:tcMar>
          </w:tcPr>
          <w:p>
            <w:r>
              <w:rPr>
                <w:b w:val="false"/>
                <w:bCs w:val="false"/>
                <w:sz w:val="18"/>
                <w:szCs w:val="18"/>
              </w:rPr>
              <w:t xml:space="preserve">Real LabRequest create endpoint, no urgency field</w:t>
            </w:r>
          </w:p>
        </w:tc>
        <w:tc>
          <w:tcPr>
            <w:tcW w:type="dxa" w:w="2621"/>
            <w:tcMar>
              <w:top w:type="dxa" w:w="70"/>
              <w:left w:type="dxa" w:w="100"/>
              <w:bottom w:type="dxa" w:w="70"/>
              <w:right w:type="dxa" w:w="100"/>
            </w:tcMar>
          </w:tcPr>
          <w:p>
            <w:r>
              <w:rPr>
                <w:b w:val="false"/>
                <w:bCs w:val="false"/>
                <w:sz w:val="18"/>
                <w:szCs w:val="18"/>
              </w:rPr>
              <w:t xml:space="preserve">update_task_interest accepts a priority-shaped field but the client never actually sends it</w:t>
            </w:r>
          </w:p>
        </w:tc>
        <w:tc>
          <w:tcPr>
            <w:tcW w:type="dxa" w:w="2434"/>
            <w:tcMar>
              <w:top w:type="dxa" w:w="70"/>
              <w:left w:type="dxa" w:w="100"/>
              <w:bottom w:type="dxa" w:w="70"/>
              <w:right w:type="dxa" w:w="100"/>
            </w:tcMar>
          </w:tcPr>
          <w:p>
            <w:r>
              <w:rPr>
                <w:b w:val="false"/>
                <w:bCs w:val="false"/>
                <w:sz w:val="18"/>
                <w:szCs w:val="18"/>
              </w:rPr>
              <w:t xml:space="preserve">Add urgency to the existing LabRequest create/update payload; small, additive change</w:t>
            </w:r>
          </w:p>
        </w:tc>
      </w:tr>
      <w:tr>
        <w:tc>
          <w:tcPr>
            <w:tcW w:type="dxa" w:w="1872"/>
            <w:tcMar>
              <w:top w:type="dxa" w:w="70"/>
              <w:left w:type="dxa" w:w="100"/>
              <w:bottom w:type="dxa" w:w="70"/>
              <w:right w:type="dxa" w:w="100"/>
            </w:tcMar>
          </w:tcPr>
          <w:p>
            <w:r>
              <w:rPr>
                <w:b w:val="false"/>
                <w:bCs w:val="false"/>
                <w:sz w:val="18"/>
                <w:szCs w:val="18"/>
              </w:rPr>
              <w:t xml:space="preserve">Document listing by category</w:t>
            </w:r>
          </w:p>
        </w:tc>
        <w:tc>
          <w:tcPr>
            <w:tcW w:type="dxa" w:w="2434"/>
            <w:tcMar>
              <w:top w:type="dxa" w:w="70"/>
              <w:left w:type="dxa" w:w="100"/>
              <w:bottom w:type="dxa" w:w="70"/>
              <w:right w:type="dxa" w:w="100"/>
            </w:tcMar>
          </w:tcPr>
          <w:p>
            <w:r>
              <w:rPr>
                <w:b w:val="false"/>
                <w:bCs w:val="false"/>
                <w:sz w:val="18"/>
                <w:szCs w:val="18"/>
              </w:rPr>
              <w:t xml:space="preserve">Separate endpoints per document kind (prescriptions, invoices, vaccination records)</w:t>
            </w:r>
          </w:p>
        </w:tc>
        <w:tc>
          <w:tcPr>
            <w:tcW w:type="dxa" w:w="2621"/>
            <w:tcMar>
              <w:top w:type="dxa" w:w="70"/>
              <w:left w:type="dxa" w:w="100"/>
              <w:bottom w:type="dxa" w:w="70"/>
              <w:right w:type="dxa" w:w="100"/>
            </w:tcMar>
          </w:tcPr>
          <w:p>
            <w:r>
              <w:rPr>
                <w:b w:val="false"/>
                <w:bCs w:val="false"/>
                <w:sz w:val="18"/>
                <w:szCs w:val="18"/>
              </w:rPr>
              <w:t xml:space="preserve">One get_customer_document_list endpoint returning a mixed list, categorized client-side by a type code</w:t>
            </w:r>
          </w:p>
        </w:tc>
        <w:tc>
          <w:tcPr>
            <w:tcW w:type="dxa" w:w="2434"/>
            <w:tcMar>
              <w:top w:type="dxa" w:w="70"/>
              <w:left w:type="dxa" w:w="100"/>
              <w:bottom w:type="dxa" w:w="70"/>
              <w:right w:type="dxa" w:w="100"/>
            </w:tcMar>
          </w:tcPr>
          <w:p>
            <w:r>
              <w:rPr>
                <w:b w:val="false"/>
                <w:bCs w:val="false"/>
                <w:sz w:val="18"/>
                <w:szCs w:val="18"/>
              </w:rPr>
              <w:t xml:space="preserve">Add a lightweight aggregating endpoint (or a category query param on an existing list endpoint) that returns a per-type count so the portal can render the tile-grid landing page without N separate calls</w:t>
            </w:r>
          </w:p>
        </w:tc>
      </w:tr>
      <w:tr>
        <w:tc>
          <w:tcPr>
            <w:tcW w:type="dxa" w:w="1872"/>
            <w:tcMar>
              <w:top w:type="dxa" w:w="70"/>
              <w:left w:type="dxa" w:w="100"/>
              <w:bottom w:type="dxa" w:w="70"/>
              <w:right w:type="dxa" w:w="100"/>
            </w:tcMar>
          </w:tcPr>
          <w:p>
            <w:r>
              <w:rPr>
                <w:b w:val="false"/>
                <w:bCs w:val="false"/>
                <w:sz w:val="18"/>
                <w:szCs w:val="18"/>
              </w:rPr>
              <w:t xml:space="preserve">Tenant/company list</w:t>
            </w:r>
          </w:p>
        </w:tc>
        <w:tc>
          <w:tcPr>
            <w:tcW w:type="dxa" w:w="2434"/>
            <w:tcMar>
              <w:top w:type="dxa" w:w="70"/>
              <w:left w:type="dxa" w:w="100"/>
              <w:bottom w:type="dxa" w:w="70"/>
              <w:right w:type="dxa" w:w="100"/>
            </w:tcMar>
          </w:tcPr>
          <w:p>
            <w:r>
              <w:rPr>
                <w:b w:val="false"/>
                <w:bCs w:val="false"/>
                <w:sz w:val="18"/>
                <w:szCs w:val="18"/>
              </w:rPr>
              <w:t xml:space="preserve">Not exposed — tenant is resolved from the JWT</w:t>
            </w:r>
          </w:p>
        </w:tc>
        <w:tc>
          <w:tcPr>
            <w:tcW w:type="dxa" w:w="2621"/>
            <w:tcMar>
              <w:top w:type="dxa" w:w="70"/>
              <w:left w:type="dxa" w:w="100"/>
              <w:bottom w:type="dxa" w:w="70"/>
              <w:right w:type="dxa" w:w="100"/>
            </w:tcMar>
          </w:tcPr>
          <w:p>
            <w:r>
              <w:rPr>
                <w:b w:val="false"/>
                <w:bCs w:val="false"/>
                <w:sz w:val="18"/>
                <w:szCs w:val="18"/>
              </w:rPr>
              <w:t xml:space="preserve">get_applicable_site returns a selectable company list at login</w:t>
            </w:r>
          </w:p>
        </w:tc>
        <w:tc>
          <w:tcPr>
            <w:tcW w:type="dxa" w:w="2434"/>
            <w:tcMar>
              <w:top w:type="dxa" w:w="70"/>
              <w:left w:type="dxa" w:w="100"/>
              <w:bottom w:type="dxa" w:w="70"/>
              <w:right w:type="dxa" w:w="100"/>
            </w:tcMar>
          </w:tcPr>
          <w:p>
            <w:r>
              <w:rPr>
                <w:b w:val="false"/>
                <w:bCs w:val="false"/>
                <w:sz w:val="18"/>
                <w:szCs w:val="18"/>
              </w:rPr>
              <w:t xml:space="preserve">Only needed if a mobile app ships: add a public, unauthenticated “list hospitals this account can reach” endpoint, resolved from the account's known tenant memberships server-side, not a raw open list</w:t>
            </w:r>
          </w:p>
        </w:tc>
      </w:tr>
      <w:tr>
        <w:tc>
          <w:tcPr>
            <w:tcW w:type="dxa" w:w="1872"/>
            <w:tcMar>
              <w:top w:type="dxa" w:w="70"/>
              <w:left w:type="dxa" w:w="100"/>
              <w:bottom w:type="dxa" w:w="70"/>
              <w:right w:type="dxa" w:w="100"/>
            </w:tcMar>
          </w:tcPr>
          <w:p>
            <w:r>
              <w:rPr>
                <w:b w:val="false"/>
                <w:bCs w:val="false"/>
                <w:sz w:val="18"/>
                <w:szCs w:val="18"/>
              </w:rPr>
              <w:t xml:space="preserve">Bulk operations</w:t>
            </w:r>
          </w:p>
        </w:tc>
        <w:tc>
          <w:tcPr>
            <w:tcW w:type="dxa" w:w="2434"/>
            <w:tcMar>
              <w:top w:type="dxa" w:w="70"/>
              <w:left w:type="dxa" w:w="100"/>
              <w:bottom w:type="dxa" w:w="70"/>
              <w:right w:type="dxa" w:w="100"/>
            </w:tcMar>
          </w:tcPr>
          <w:p>
            <w:r>
              <w:rPr>
                <w:b w:val="false"/>
                <w:bCs w:val="false"/>
                <w:sz w:val="18"/>
                <w:szCs w:val="18"/>
              </w:rPr>
              <w:t xml:space="preserve">Not specifically compared — out of scope; neither report surfaces a bulk-operation pattern worth adopting</w:t>
            </w:r>
          </w:p>
        </w:tc>
        <w:tc>
          <w:tcPr>
            <w:tcW w:type="dxa" w:w="2621"/>
            <w:tcMar>
              <w:top w:type="dxa" w:w="70"/>
              <w:left w:type="dxa" w:w="100"/>
              <w:bottom w:type="dxa" w:w="70"/>
              <w:right w:type="dxa" w:w="100"/>
            </w:tcMar>
          </w:tcPr>
          <w:p>
            <w:r>
              <w:rPr>
                <w:b w:val="false"/>
                <w:bCs w:val="false"/>
                <w:sz w:val="18"/>
                <w:szCs w:val="18"/>
              </w:rPr>
              <w:t xml:space="preserve">None found</w:t>
            </w:r>
          </w:p>
        </w:tc>
        <w:tc>
          <w:tcPr>
            <w:tcW w:type="dxa" w:w="2434"/>
            <w:tcMar>
              <w:top w:type="dxa" w:w="70"/>
              <w:left w:type="dxa" w:w="100"/>
              <w:bottom w:type="dxa" w:w="70"/>
              <w:right w:type="dxa" w:w="100"/>
            </w:tcMar>
          </w:tcPr>
          <w:p>
            <w:r>
              <w:rPr>
                <w:b w:val="false"/>
                <w:bCs w:val="false"/>
                <w:sz w:val="18"/>
                <w:szCs w:val="18"/>
              </w:rPr>
              <w:t xml:space="preserve">No action</w:t>
            </w:r>
          </w:p>
        </w:tc>
      </w:tr>
    </w:tbl>
    <w:p>
      <w:r>
        <w:br w:type="page"/>
      </w:r>
    </w:p>
    <w:p>
      <w:pPr>
        <w:pStyle w:val="Heading1"/>
        <w:spacing w:after="200" w:before="400"/>
      </w:pPr>
      <w:r>
        <w:t xml:space="preserve">10. UX Comparison</w:t>
      </w:r>
    </w:p>
    <w:p>
      <w:pPr>
        <w:pStyle w:val="Heading2"/>
        <w:spacing w:after="150" w:before="300"/>
      </w:pPr>
      <w:r>
        <w:t xml:space="preserve">Ideas worth adopting</w:t>
      </w:r>
    </w:p>
    <w:p>
      <w:pPr>
        <w:pStyle w:val="ListParagraph"/>
        <w:numPr>
          <w:ilvl w:val="0"/>
          <w:numId w:val="1"/>
        </w:numPr>
        <w:spacing w:after="80"/>
      </w:pPr>
      <w:r>
        <w:t xml:space="preserve">Document type tile grid, filtered to only the categories a patient actually has content in — reduces a returning user to one tap instead of scanning a long flat list.</w:t>
      </w:r>
    </w:p>
    <w:p>
      <w:pPr>
        <w:pStyle w:val="ListParagraph"/>
        <w:numPr>
          <w:ilvl w:val="0"/>
          <w:numId w:val="1"/>
        </w:numPr>
        <w:spacing w:after="80"/>
      </w:pPr>
      <w:r>
        <w:t xml:space="preserve">Today/Tomorrow/Next-3-days/Past bucketing for a task-style list — a proven pattern for “what do I need to do right now” that would translate well to the recommended patient Care Tasks feature.</w:t>
      </w:r>
    </w:p>
    <w:p>
      <w:pPr>
        <w:pStyle w:val="ListParagraph"/>
        <w:numPr>
          <w:ilvl w:val="0"/>
          <w:numId w:val="1"/>
        </w:numPr>
        <w:spacing w:after="80"/>
      </w:pPr>
      <w:r>
        <w:t xml:space="preserve">In-app audio mini-player that persists across tab switches — relevant only if a media-bearing task type (e.g., a guided-breathing or physio-instruction clip) is ever built; noted for completeness rather than urgency.</w:t>
      </w:r>
    </w:p>
    <w:p>
      <w:pPr>
        <w:pStyle w:val="ListParagraph"/>
        <w:numPr>
          <w:ilvl w:val="0"/>
          <w:numId w:val="1"/>
        </w:numPr>
        <w:spacing w:after="80"/>
      </w:pPr>
      <w:r>
        <w:t xml:space="preserve">Add-to-device-calendar action directly on a booking confirmation screen — a small, well-scoped, high-value addition to the existing web booking confirmation.</w:t>
      </w:r>
    </w:p>
    <w:p>
      <w:pPr>
        <w:pStyle w:val="ListParagraph"/>
        <w:numPr>
          <w:ilvl w:val="0"/>
          <w:numId w:val="1"/>
        </w:numPr>
        <w:spacing w:after="80"/>
      </w:pPr>
      <w:r>
        <w:t xml:space="preserve">A confirmation modal pattern before any destructive/committing action (logout, biometric toggle, cancel) — already present in parts of our HMS (e.g., queue check-in/cancel confirmations added earlier this session); worth confirming it is applied consistently everywhere a similar action exists, as a standing practice rather than a specific new build.</w:t>
      </w:r>
    </w:p>
    <w:p>
      <w:pPr>
        <w:pStyle w:val="Heading2"/>
        <w:spacing w:after="150" w:before="300"/>
      </w:pPr>
      <w:r>
        <w:t xml:space="preserve">Ideas confirmed NOT worth adopting</w:t>
      </w:r>
    </w:p>
    <w:p>
      <w:pPr>
        <w:pStyle w:val="ListParagraph"/>
        <w:numPr>
          <w:ilvl w:val="0"/>
          <w:numId w:val="1"/>
        </w:numPr>
        <w:spacing w:after="80"/>
      </w:pPr>
      <w:r>
        <w:t xml:space="preserve">Search boxes that are wired up visually but never actually filter anything (confirmed dead UI on the Home and Order-Test screens in the doctor app, and implied similarly elsewhere) — the opposite of a pattern to copy; a reminder to make sure every search/filter control we ship is genuinely wired, which recent work this session generally already ensures.</w:t>
      </w:r>
    </w:p>
    <w:p>
      <w:pPr>
        <w:pStyle w:val="ListParagraph"/>
        <w:numPr>
          <w:ilvl w:val="0"/>
          <w:numId w:val="1"/>
        </w:numPr>
        <w:spacing w:after="80"/>
      </w:pPr>
      <w:r>
        <w:t xml:space="preserve">A Ward filter dropdown that cannot ever change its result set because every underlying row is hardcoded to one ward — the UX pattern (a filter control) is fine; the underlying non-functional data is the problem, and is a caution about shipping UI ahead of real data.</w:t>
      </w:r>
    </w:p>
    <w:p>
      <w:pPr>
        <w:pStyle w:val="ListParagraph"/>
        <w:numPr>
          <w:ilvl w:val="0"/>
          <w:numId w:val="1"/>
        </w:numPr>
        <w:spacing w:after="80"/>
      </w:pPr>
      <w:r>
        <w:t xml:space="preserve">Two visually distinct, functionally overlapping header/dropdown components with no clear ownership boundary — a code-hygiene caution, not a UX idea.</w:t>
      </w:r>
    </w:p>
    <w:p>
      <w:r>
        <w:br w:type="page"/>
      </w:r>
    </w:p>
    <w:p>
      <w:pPr>
        <w:pStyle w:val="Heading1"/>
        <w:spacing w:after="200" w:before="400"/>
      </w:pPr>
      <w:r>
        <w:t xml:space="preserve">11. Bad Ideas — Explicitly Not to Borrow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246"/>
        <w:gridCol w:w="2995"/>
        <w:gridCol w:w="2246"/>
      </w:tblGrid>
      <w:tr>
        <w:trPr>
          <w:tblHeader/>
        </w:trPr>
        <w:tc>
          <w:tcPr>
            <w:tcW w:type="dxa" w:w="1872"/>
            <w:shd w:fill="1E2761" w:val="clear"/>
            <w:tcMar>
              <w:top w:type="dxa" w:w="80"/>
              <w:left w:type="dxa" w:w="100"/>
              <w:bottom w:type="dxa" w:w="80"/>
              <w:right w:type="dxa" w:w="100"/>
            </w:tcMar>
          </w:tcPr>
          <w:p>
            <w:r>
              <w:rPr>
                <w:b/>
                <w:bCs/>
                <w:color w:val="FFFFFF"/>
                <w:sz w:val="18"/>
                <w:szCs w:val="18"/>
              </w:rPr>
              <w:t xml:space="preserve">Reference Concept</w:t>
            </w:r>
          </w:p>
        </w:tc>
        <w:tc>
          <w:tcPr>
            <w:tcW w:type="dxa" w:w="2246"/>
            <w:shd w:fill="1E2761" w:val="clear"/>
            <w:tcMar>
              <w:top w:type="dxa" w:w="80"/>
              <w:left w:type="dxa" w:w="100"/>
              <w:bottom w:type="dxa" w:w="80"/>
              <w:right w:type="dxa" w:w="100"/>
            </w:tcMar>
          </w:tcPr>
          <w:p>
            <w:r>
              <w:rPr>
                <w:b/>
                <w:bCs/>
                <w:color w:val="FFFFFF"/>
                <w:sz w:val="18"/>
                <w:szCs w:val="18"/>
              </w:rPr>
              <w:t xml:space="preserve">Why It Looks Useful</w:t>
            </w:r>
          </w:p>
        </w:tc>
        <w:tc>
          <w:tcPr>
            <w:tcW w:type="dxa" w:w="2995"/>
            <w:shd w:fill="1E2761" w:val="clear"/>
            <w:tcMar>
              <w:top w:type="dxa" w:w="80"/>
              <w:left w:type="dxa" w:w="100"/>
              <w:bottom w:type="dxa" w:w="80"/>
              <w:right w:type="dxa" w:w="100"/>
            </w:tcMar>
          </w:tcPr>
          <w:p>
            <w:r>
              <w:rPr>
                <w:b/>
                <w:bCs/>
                <w:color w:val="FFFFFF"/>
                <w:sz w:val="18"/>
                <w:szCs w:val="18"/>
              </w:rPr>
              <w:t xml:space="preserve">Why We Should NOT Copy It</w:t>
            </w:r>
          </w:p>
        </w:tc>
        <w:tc>
          <w:tcPr>
            <w:tcW w:type="dxa" w:w="2246"/>
            <w:shd w:fill="1E2761" w:val="clear"/>
            <w:tcMar>
              <w:top w:type="dxa" w:w="80"/>
              <w:left w:type="dxa" w:w="100"/>
              <w:bottom w:type="dxa" w:w="80"/>
              <w:right w:type="dxa" w:w="100"/>
            </w:tcMar>
          </w:tcPr>
          <w:p>
            <w:r>
              <w:rPr>
                <w:b/>
                <w:bCs/>
                <w:color w:val="FFFFFF"/>
                <w:sz w:val="18"/>
                <w:szCs w:val="18"/>
              </w:rPr>
              <w:t xml:space="preserve">Better HMS Approach</w:t>
            </w:r>
          </w:p>
        </w:tc>
      </w:tr>
      <w:tr>
        <w:tc>
          <w:tcPr>
            <w:tcW w:type="dxa" w:w="1872"/>
            <w:tcMar>
              <w:top w:type="dxa" w:w="70"/>
              <w:left w:type="dxa" w:w="100"/>
              <w:bottom w:type="dxa" w:w="70"/>
              <w:right w:type="dxa" w:w="100"/>
            </w:tcMar>
          </w:tcPr>
          <w:p>
            <w:r>
              <w:rPr>
                <w:b w:val="false"/>
                <w:bCs w:val="false"/>
                <w:sz w:val="18"/>
                <w:szCs w:val="18"/>
              </w:rPr>
              <w:t xml:space="preserve">PIN stored in plaintext, replayed as the live login password on every biometric re-auth</w:t>
            </w:r>
          </w:p>
        </w:tc>
        <w:tc>
          <w:tcPr>
            <w:tcW w:type="dxa" w:w="2246"/>
            <w:tcMar>
              <w:top w:type="dxa" w:w="70"/>
              <w:left w:type="dxa" w:w="100"/>
              <w:bottom w:type="dxa" w:w="70"/>
              <w:right w:type="dxa" w:w="100"/>
            </w:tcMar>
          </w:tcPr>
          <w:p>
            <w:r>
              <w:rPr>
                <w:b w:val="false"/>
                <w:bCs w:val="false"/>
                <w:sz w:val="18"/>
                <w:szCs w:val="18"/>
              </w:rPr>
              <w:t xml:space="preserve">Fast, frictionless re-login on a trusted device</w:t>
            </w:r>
          </w:p>
        </w:tc>
        <w:tc>
          <w:tcPr>
            <w:tcW w:type="dxa" w:w="2995"/>
            <w:tcMar>
              <w:top w:type="dxa" w:w="70"/>
              <w:left w:type="dxa" w:w="100"/>
              <w:bottom w:type="dxa" w:w="70"/>
              <w:right w:type="dxa" w:w="100"/>
            </w:tcMar>
          </w:tcPr>
          <w:p>
            <w:r>
              <w:rPr>
                <w:b w:val="false"/>
                <w:bCs w:val="false"/>
                <w:sz w:val="18"/>
                <w:szCs w:val="18"/>
              </w:rPr>
              <w:t xml:space="preserve">Anyone with read access to app storage (or a rooted/jailbroken device) recovers a working server credential, not just a local unlock code — this is the single largest security finding in either reference report</w:t>
            </w:r>
          </w:p>
        </w:tc>
        <w:tc>
          <w:tcPr>
            <w:tcW w:type="dxa" w:w="2246"/>
            <w:tcMar>
              <w:top w:type="dxa" w:w="70"/>
              <w:left w:type="dxa" w:w="100"/>
              <w:bottom w:type="dxa" w:w="70"/>
              <w:right w:type="dxa" w:w="100"/>
            </w:tcMar>
          </w:tcPr>
          <w:p>
            <w:r>
              <w:rPr>
                <w:b w:val="false"/>
                <w:bCs w:val="false"/>
                <w:sz w:val="18"/>
                <w:szCs w:val="18"/>
              </w:rPr>
              <w:t xml:space="preserve">If a mobile app is built: biometric gate unlocks a securely-stored (Keychain/Keystore/SecureStore) refresh token; the raw password/PIN is never persisted or replayed</w:t>
            </w:r>
          </w:p>
        </w:tc>
      </w:tr>
      <w:tr>
        <w:tc>
          <w:tcPr>
            <w:tcW w:type="dxa" w:w="1872"/>
            <w:tcMar>
              <w:top w:type="dxa" w:w="70"/>
              <w:left w:type="dxa" w:w="100"/>
              <w:bottom w:type="dxa" w:w="70"/>
              <w:right w:type="dxa" w:w="100"/>
            </w:tcMar>
          </w:tcPr>
          <w:p>
            <w:r>
              <w:rPr>
                <w:b w:val="false"/>
                <w:bCs w:val="false"/>
                <w:sz w:val="18"/>
                <w:szCs w:val="18"/>
              </w:rPr>
              <w:t xml:space="preserve">Client-supplied, unverified tenant/db_name string</w:t>
            </w:r>
          </w:p>
        </w:tc>
        <w:tc>
          <w:tcPr>
            <w:tcW w:type="dxa" w:w="2246"/>
            <w:tcMar>
              <w:top w:type="dxa" w:w="70"/>
              <w:left w:type="dxa" w:w="100"/>
              <w:bottom w:type="dxa" w:w="70"/>
              <w:right w:type="dxa" w:w="100"/>
            </w:tcMar>
          </w:tcPr>
          <w:p>
            <w:r>
              <w:rPr>
                <w:b w:val="false"/>
                <w:bCs w:val="false"/>
                <w:sz w:val="18"/>
                <w:szCs w:val="18"/>
              </w:rPr>
              <w:t xml:space="preserve">Simple to implement, works fine for a single-tenant demo</w:t>
            </w:r>
          </w:p>
        </w:tc>
        <w:tc>
          <w:tcPr>
            <w:tcW w:type="dxa" w:w="2995"/>
            <w:tcMar>
              <w:top w:type="dxa" w:w="70"/>
              <w:left w:type="dxa" w:w="100"/>
              <w:bottom w:type="dxa" w:w="70"/>
              <w:right w:type="dxa" w:w="100"/>
            </w:tcMar>
          </w:tcPr>
          <w:p>
            <w:r>
              <w:rPr>
                <w:b w:val="false"/>
                <w:bCs w:val="false"/>
                <w:sz w:val="18"/>
                <w:szCs w:val="18"/>
              </w:rPr>
              <w:t xml:space="preserve">Nothing in the client prevents a stale or incorrect stored value from silently querying the wrong hospital; server-side enforcement is unconfirmed even in the reference's own audit</w:t>
            </w:r>
          </w:p>
        </w:tc>
        <w:tc>
          <w:tcPr>
            <w:tcW w:type="dxa" w:w="2246"/>
            <w:tcMar>
              <w:top w:type="dxa" w:w="70"/>
              <w:left w:type="dxa" w:w="100"/>
              <w:bottom w:type="dxa" w:w="70"/>
              <w:right w:type="dxa" w:w="100"/>
            </w:tcMar>
          </w:tcPr>
          <w:p>
            <w:r>
              <w:rPr>
                <w:b w:val="false"/>
                <w:bCs w:val="false"/>
                <w:sz w:val="18"/>
                <w:szCs w:val="18"/>
              </w:rPr>
              <w:t xml:space="preserve">Keep tenant resolution server-derived from the authenticated token, as already done</w:t>
            </w:r>
          </w:p>
        </w:tc>
      </w:tr>
      <w:tr>
        <w:tc>
          <w:tcPr>
            <w:tcW w:type="dxa" w:w="1872"/>
            <w:tcMar>
              <w:top w:type="dxa" w:w="70"/>
              <w:left w:type="dxa" w:w="100"/>
              <w:bottom w:type="dxa" w:w="70"/>
              <w:right w:type="dxa" w:w="100"/>
            </w:tcMar>
          </w:tcPr>
          <w:p>
            <w:r>
              <w:rPr>
                <w:b w:val="false"/>
                <w:bCs w:val="false"/>
                <w:sz w:val="18"/>
                <w:szCs w:val="18"/>
              </w:rPr>
              <w:t xml:space="preserve">Generic CRM/ERP schema reused for clinical concepts (equipment=doctor, customer=patient, project=in-patient, product=lab test)</w:t>
            </w:r>
          </w:p>
        </w:tc>
        <w:tc>
          <w:tcPr>
            <w:tcW w:type="dxa" w:w="2246"/>
            <w:tcMar>
              <w:top w:type="dxa" w:w="70"/>
              <w:left w:type="dxa" w:w="100"/>
              <w:bottom w:type="dxa" w:w="70"/>
              <w:right w:type="dxa" w:w="100"/>
            </w:tcMar>
          </w:tcPr>
          <w:p>
            <w:r>
              <w:rPr>
                <w:b w:val="false"/>
                <w:bCs w:val="false"/>
                <w:sz w:val="18"/>
                <w:szCs w:val="18"/>
              </w:rPr>
              <w:t xml:space="preserve">Fast to stand up on existing infrastructure</w:t>
            </w:r>
          </w:p>
        </w:tc>
        <w:tc>
          <w:tcPr>
            <w:tcW w:type="dxa" w:w="2995"/>
            <w:tcMar>
              <w:top w:type="dxa" w:w="70"/>
              <w:left w:type="dxa" w:w="100"/>
              <w:bottom w:type="dxa" w:w="70"/>
              <w:right w:type="dxa" w:w="100"/>
            </w:tcMar>
          </w:tcPr>
          <w:p>
            <w:r>
              <w:rPr>
                <w:b w:val="false"/>
                <w:bCs w:val="false"/>
                <w:sz w:val="18"/>
                <w:szCs w:val="18"/>
              </w:rPr>
              <w:t xml:space="preserve">Directly caused multiple confirmed bugs in the reference's own audit (e.g., a ward filter that can never differentiate results because every row is hardcoded to one ward) — the vocabulary mismatch invites exactly this class of error</w:t>
            </w:r>
          </w:p>
        </w:tc>
        <w:tc>
          <w:tcPr>
            <w:tcW w:type="dxa" w:w="2246"/>
            <w:tcMar>
              <w:top w:type="dxa" w:w="70"/>
              <w:left w:type="dxa" w:w="100"/>
              <w:bottom w:type="dxa" w:w="70"/>
              <w:right w:type="dxa" w:w="100"/>
            </w:tcMar>
          </w:tcPr>
          <w:p>
            <w:r>
              <w:rPr>
                <w:b w:val="false"/>
                <w:bCs w:val="false"/>
                <w:sz w:val="18"/>
                <w:szCs w:val="18"/>
              </w:rPr>
              <w:t xml:space="preserve">Continue using purpose-built clinical entities, as already done</w:t>
            </w:r>
          </w:p>
        </w:tc>
      </w:tr>
      <w:tr>
        <w:tc>
          <w:tcPr>
            <w:tcW w:type="dxa" w:w="1872"/>
            <w:tcMar>
              <w:top w:type="dxa" w:w="70"/>
              <w:left w:type="dxa" w:w="100"/>
              <w:bottom w:type="dxa" w:w="70"/>
              <w:right w:type="dxa" w:w="100"/>
            </w:tcMar>
          </w:tcPr>
          <w:p>
            <w:r>
              <w:rPr>
                <w:b w:val="false"/>
                <w:bCs w:val="false"/>
                <w:sz w:val="18"/>
                <w:szCs w:val="18"/>
              </w:rPr>
              <w:t xml:space="preserve">Ship a fully-designed screen before its backend exists (In-Patient detail, Surgery detail, Medicine/Music/Exercise assignment)</w:t>
            </w:r>
          </w:p>
        </w:tc>
        <w:tc>
          <w:tcPr>
            <w:tcW w:type="dxa" w:w="2246"/>
            <w:tcMar>
              <w:top w:type="dxa" w:w="70"/>
              <w:left w:type="dxa" w:w="100"/>
              <w:bottom w:type="dxa" w:w="70"/>
              <w:right w:type="dxa" w:w="100"/>
            </w:tcMar>
          </w:tcPr>
          <w:p>
            <w:r>
              <w:rPr>
                <w:b w:val="false"/>
                <w:bCs w:val="false"/>
                <w:sz w:val="18"/>
                <w:szCs w:val="18"/>
              </w:rPr>
              <w:t xml:space="preserve">Lets design/UI work proceed in parallel with backend work</w:t>
            </w:r>
          </w:p>
        </w:tc>
        <w:tc>
          <w:tcPr>
            <w:tcW w:type="dxa" w:w="2995"/>
            <w:tcMar>
              <w:top w:type="dxa" w:w="70"/>
              <w:left w:type="dxa" w:w="100"/>
              <w:bottom w:type="dxa" w:w="70"/>
              <w:right w:type="dxa" w:w="100"/>
            </w:tcMar>
          </w:tcPr>
          <w:p>
            <w:r>
              <w:rPr>
                <w:b w:val="false"/>
                <w:bCs w:val="false"/>
                <w:sz w:val="18"/>
                <w:szCs w:val="18"/>
              </w:rPr>
              <w:t xml:space="preserve">In both reference apps this became permanent — polished-looking screens that have never been wired up and, per the report, should be treated as scaffolding rather than working features by anyone picking up the project</w:t>
            </w:r>
          </w:p>
        </w:tc>
        <w:tc>
          <w:tcPr>
            <w:tcW w:type="dxa" w:w="2246"/>
            <w:tcMar>
              <w:top w:type="dxa" w:w="70"/>
              <w:left w:type="dxa" w:w="100"/>
              <w:bottom w:type="dxa" w:w="70"/>
              <w:right w:type="dxa" w:w="100"/>
            </w:tcMar>
          </w:tcPr>
          <w:p>
            <w:r>
              <w:rPr>
                <w:b w:val="false"/>
                <w:bCs w:val="false"/>
                <w:sz w:val="18"/>
                <w:szCs w:val="18"/>
              </w:rPr>
              <w:t xml:space="preserve">Don't ship a screen to production until its persistence path is real; our own audit found a smaller-scale version of this pattern (apps.tasks has a real backend with no frontend) — the fix in both directions is the same: close the loop before shipping either side</w:t>
            </w:r>
          </w:p>
        </w:tc>
      </w:tr>
      <w:tr>
        <w:tc>
          <w:tcPr>
            <w:tcW w:type="dxa" w:w="1872"/>
            <w:tcMar>
              <w:top w:type="dxa" w:w="70"/>
              <w:left w:type="dxa" w:w="100"/>
              <w:bottom w:type="dxa" w:w="70"/>
              <w:right w:type="dxa" w:w="100"/>
            </w:tcMar>
          </w:tcPr>
          <w:p>
            <w:r>
              <w:rPr>
                <w:b w:val="false"/>
                <w:bCs w:val="false"/>
                <w:sz w:val="18"/>
                <w:szCs w:val="18"/>
              </w:rPr>
              <w:t xml:space="preserve">Two independent, parallel login implementations that can silently drift (AuthScreen's inline login vs. AppContext.login, storing different key sets)</w:t>
            </w:r>
          </w:p>
        </w:tc>
        <w:tc>
          <w:tcPr>
            <w:tcW w:type="dxa" w:w="2246"/>
            <w:tcMar>
              <w:top w:type="dxa" w:w="70"/>
              <w:left w:type="dxa" w:w="100"/>
              <w:bottom w:type="dxa" w:w="70"/>
              <w:right w:type="dxa" w:w="100"/>
            </w:tcMar>
          </w:tcPr>
          <w:p>
            <w:r>
              <w:rPr>
                <w:b w:val="false"/>
                <w:bCs w:val="false"/>
                <w:sz w:val="18"/>
                <w:szCs w:val="18"/>
              </w:rPr>
              <w:t xml:space="preserve">Emerged organically as the app grew</w:t>
            </w:r>
          </w:p>
        </w:tc>
        <w:tc>
          <w:tcPr>
            <w:tcW w:type="dxa" w:w="2995"/>
            <w:tcMar>
              <w:top w:type="dxa" w:w="70"/>
              <w:left w:type="dxa" w:w="100"/>
              <w:bottom w:type="dxa" w:w="70"/>
              <w:right w:type="dxa" w:w="100"/>
            </w:tcMar>
          </w:tcPr>
          <w:p>
            <w:r>
              <w:rPr>
                <w:b w:val="false"/>
                <w:bCs w:val="false"/>
                <w:sz w:val="18"/>
                <w:szCs w:val="18"/>
              </w:rPr>
              <w:t xml:space="preserve">Confirmed to have already drifted (one path fetches company info, the other doesn't; they write different AsyncStorage keys for the same value) — a maintainability trap</w:t>
            </w:r>
          </w:p>
        </w:tc>
        <w:tc>
          <w:tcPr>
            <w:tcW w:type="dxa" w:w="2246"/>
            <w:tcMar>
              <w:top w:type="dxa" w:w="70"/>
              <w:left w:type="dxa" w:w="100"/>
              <w:bottom w:type="dxa" w:w="70"/>
              <w:right w:type="dxa" w:w="100"/>
            </w:tcMar>
          </w:tcPr>
          <w:p>
            <w:r>
              <w:rPr>
                <w:b w:val="false"/>
                <w:bCs w:val="false"/>
                <w:sz w:val="18"/>
                <w:szCs w:val="18"/>
              </w:rPr>
              <w:t xml:space="preserve">One login code path, one place credentials are built and stored</w:t>
            </w:r>
          </w:p>
        </w:tc>
      </w:tr>
      <w:tr>
        <w:tc>
          <w:tcPr>
            <w:tcW w:type="dxa" w:w="1872"/>
            <w:tcMar>
              <w:top w:type="dxa" w:w="70"/>
              <w:left w:type="dxa" w:w="100"/>
              <w:bottom w:type="dxa" w:w="70"/>
              <w:right w:type="dxa" w:w="100"/>
            </w:tcMar>
          </w:tcPr>
          <w:p>
            <w:r>
              <w:rPr>
                <w:b w:val="false"/>
                <w:bCs w:val="false"/>
                <w:sz w:val="18"/>
                <w:szCs w:val="18"/>
              </w:rPr>
              <w:t xml:space="preserve">Hardcoded fee/rating display divorced from the real record (“Consultation Fee: 500”, “4.9 (500 reviews)” shown for every doctor regardless of their actual profile)</w:t>
            </w:r>
          </w:p>
        </w:tc>
        <w:tc>
          <w:tcPr>
            <w:tcW w:type="dxa" w:w="2246"/>
            <w:tcMar>
              <w:top w:type="dxa" w:w="70"/>
              <w:left w:type="dxa" w:w="100"/>
              <w:bottom w:type="dxa" w:w="70"/>
              <w:right w:type="dxa" w:w="100"/>
            </w:tcMar>
          </w:tcPr>
          <w:p>
            <w:r>
              <w:rPr>
                <w:b w:val="false"/>
                <w:bCs w:val="false"/>
                <w:sz w:val="18"/>
                <w:szCs w:val="18"/>
              </w:rPr>
              <w:t xml:space="preserve">Looks complete in a demo</w:t>
            </w:r>
          </w:p>
        </w:tc>
        <w:tc>
          <w:tcPr>
            <w:tcW w:type="dxa" w:w="2995"/>
            <w:tcMar>
              <w:top w:type="dxa" w:w="70"/>
              <w:left w:type="dxa" w:w="100"/>
              <w:bottom w:type="dxa" w:w="70"/>
              <w:right w:type="dxa" w:w="100"/>
            </w:tcMar>
          </w:tcPr>
          <w:p>
            <w:r>
              <w:rPr>
                <w:b w:val="false"/>
                <w:bCs w:val="false"/>
                <w:sz w:val="18"/>
                <w:szCs w:val="18"/>
              </w:rPr>
              <w:t xml:space="preserve">Actively misleading in production — shows a price that has no relationship to what will actually be billed</w:t>
            </w:r>
          </w:p>
        </w:tc>
        <w:tc>
          <w:tcPr>
            <w:tcW w:type="dxa" w:w="2246"/>
            <w:tcMar>
              <w:top w:type="dxa" w:w="70"/>
              <w:left w:type="dxa" w:w="100"/>
              <w:bottom w:type="dxa" w:w="70"/>
              <w:right w:type="dxa" w:w="100"/>
            </w:tcMar>
          </w:tcPr>
          <w:p>
            <w:r>
              <w:rPr>
                <w:b w:val="false"/>
                <w:bCs w:val="false"/>
                <w:sz w:val="18"/>
                <w:szCs w:val="18"/>
              </w:rPr>
              <w:t xml:space="preserve">Continue reading the real DoctorProfile.consultation_fee at both display and billing time, as already done</w:t>
            </w:r>
          </w:p>
        </w:tc>
      </w:tr>
      <w:tr>
        <w:tc>
          <w:tcPr>
            <w:tcW w:type="dxa" w:w="1872"/>
            <w:tcMar>
              <w:top w:type="dxa" w:w="70"/>
              <w:left w:type="dxa" w:w="100"/>
              <w:bottom w:type="dxa" w:w="70"/>
              <w:right w:type="dxa" w:w="100"/>
            </w:tcMar>
          </w:tcPr>
          <w:p>
            <w:r>
              <w:rPr>
                <w:b w:val="false"/>
                <w:bCs w:val="false"/>
                <w:sz w:val="18"/>
                <w:szCs w:val="18"/>
              </w:rPr>
              <w:t xml:space="preserve">console.log of the raw bearer auth token on every authenticated request</w:t>
            </w:r>
          </w:p>
        </w:tc>
        <w:tc>
          <w:tcPr>
            <w:tcW w:type="dxa" w:w="2246"/>
            <w:tcMar>
              <w:top w:type="dxa" w:w="70"/>
              <w:left w:type="dxa" w:w="100"/>
              <w:bottom w:type="dxa" w:w="70"/>
              <w:right w:type="dxa" w:w="100"/>
            </w:tcMar>
          </w:tcPr>
          <w:p>
            <w:r>
              <w:rPr>
                <w:b w:val="false"/>
                <w:bCs w:val="false"/>
                <w:sz w:val="18"/>
                <w:szCs w:val="18"/>
              </w:rPr>
              <w:t xml:space="preserve">Convenient during development</w:t>
            </w:r>
          </w:p>
        </w:tc>
        <w:tc>
          <w:tcPr>
            <w:tcW w:type="dxa" w:w="2995"/>
            <w:tcMar>
              <w:top w:type="dxa" w:w="70"/>
              <w:left w:type="dxa" w:w="100"/>
              <w:bottom w:type="dxa" w:w="70"/>
              <w:right w:type="dxa" w:w="100"/>
            </w:tcMar>
          </w:tcPr>
          <w:p>
            <w:r>
              <w:rPr>
                <w:b w:val="false"/>
                <w:bCs w:val="false"/>
                <w:sz w:val="18"/>
                <w:szCs w:val="18"/>
              </w:rPr>
              <w:t xml:space="preserve">Confirmed present in shipped code in both reference apps — leaks a live session credential to the device console/log</w:t>
            </w:r>
          </w:p>
        </w:tc>
        <w:tc>
          <w:tcPr>
            <w:tcW w:type="dxa" w:w="2246"/>
            <w:tcMar>
              <w:top w:type="dxa" w:w="70"/>
              <w:left w:type="dxa" w:w="100"/>
              <w:bottom w:type="dxa" w:w="70"/>
              <w:right w:type="dxa" w:w="100"/>
            </w:tcMar>
          </w:tcPr>
          <w:p>
            <w:r>
              <w:rPr>
                <w:b w:val="false"/>
                <w:bCs w:val="false"/>
                <w:sz w:val="18"/>
                <w:szCs w:val="18"/>
              </w:rPr>
              <w:t xml:space="preserve">Strip or gate all sensitive logging behind a build-time debug flag in any client code we write</w:t>
            </w:r>
          </w:p>
        </w:tc>
      </w:tr>
      <w:tr>
        <w:tc>
          <w:tcPr>
            <w:tcW w:type="dxa" w:w="1872"/>
            <w:tcMar>
              <w:top w:type="dxa" w:w="70"/>
              <w:left w:type="dxa" w:w="100"/>
              <w:bottom w:type="dxa" w:w="70"/>
              <w:right w:type="dxa" w:w="100"/>
            </w:tcMar>
          </w:tcPr>
          <w:p>
            <w:r>
              <w:rPr>
                <w:b w:val="false"/>
                <w:bCs w:val="false"/>
                <w:sz w:val="18"/>
                <w:szCs w:val="18"/>
              </w:rPr>
              <w:t xml:space="preserve">Client-side re-filtering of a list “just in case” the server returns another tenant's/customer's data</w:t>
            </w:r>
          </w:p>
        </w:tc>
        <w:tc>
          <w:tcPr>
            <w:tcW w:type="dxa" w:w="2246"/>
            <w:tcMar>
              <w:top w:type="dxa" w:w="70"/>
              <w:left w:type="dxa" w:w="100"/>
              <w:bottom w:type="dxa" w:w="70"/>
              <w:right w:type="dxa" w:w="100"/>
            </w:tcMar>
          </w:tcPr>
          <w:p>
            <w:r>
              <w:rPr>
                <w:b w:val="false"/>
                <w:bCs w:val="false"/>
                <w:sz w:val="18"/>
                <w:szCs w:val="18"/>
              </w:rPr>
              <w:t xml:space="preserve">Feels defensive and safety-conscious</w:t>
            </w:r>
          </w:p>
        </w:tc>
        <w:tc>
          <w:tcPr>
            <w:tcW w:type="dxa" w:w="2995"/>
            <w:tcMar>
              <w:top w:type="dxa" w:w="70"/>
              <w:left w:type="dxa" w:w="100"/>
              <w:bottom w:type="dxa" w:w="70"/>
              <w:right w:type="dxa" w:w="100"/>
            </w:tcMar>
          </w:tcPr>
          <w:p>
            <w:r>
              <w:rPr>
                <w:b w:val="false"/>
                <w:bCs w:val="false"/>
                <w:sz w:val="18"/>
                <w:szCs w:val="18"/>
              </w:rPr>
              <w:t xml:space="preserve">It's a tell that data scoping isn't fully trusted server-side — the correct fix is server-side scoping, not a client-side safety net that could silently mask a real authorization bug</w:t>
            </w:r>
          </w:p>
        </w:tc>
        <w:tc>
          <w:tcPr>
            <w:tcW w:type="dxa" w:w="2246"/>
            <w:tcMar>
              <w:top w:type="dxa" w:w="70"/>
              <w:left w:type="dxa" w:w="100"/>
              <w:bottom w:type="dxa" w:w="70"/>
              <w:right w:type="dxa" w:w="100"/>
            </w:tcMar>
          </w:tcPr>
          <w:p>
            <w:r>
              <w:rPr>
                <w:b w:val="false"/>
                <w:bCs w:val="false"/>
                <w:sz w:val="18"/>
                <w:szCs w:val="18"/>
              </w:rPr>
              <w:t xml:space="preserve">Keep enforcing tenant/role scoping in the query itself (as our permission classes + DB router already do), and treat any future need for client-side re-filtering as a signal to go fix the server query instead</w:t>
            </w:r>
          </w:p>
        </w:tc>
      </w:tr>
    </w:tbl>
    <w:p>
      <w:r>
        <w:br w:type="page"/>
      </w:r>
    </w:p>
    <w:p>
      <w:pPr>
        <w:pStyle w:val="Heading1"/>
        <w:spacing w:after="200" w:before="400"/>
      </w:pPr>
      <w:r>
        <w:t xml:space="preserve">12. Borrowable Patterns (Beyond Individual Features)</w:t>
      </w:r>
    </w:p>
    <w:p>
      <w:pPr>
        <w:pStyle w:val="ListParagraph"/>
        <w:numPr>
          <w:ilvl w:val="0"/>
          <w:numId w:val="1"/>
        </w:numPr>
        <w:spacing w:after="80"/>
      </w:pPr>
      <w:r>
        <w:t xml:space="preserve">Task/completion pattern: assign → bucket by due date → mark complete → refetch. Directly reusable for the recommended patient Care Tasks feature (Section 4, item 1), and general enough to also fit a future staff-facing use of the already-built apps.tasks backend.</w:t>
      </w:r>
    </w:p>
    <w:p>
      <w:pPr>
        <w:pStyle w:val="ListParagraph"/>
        <w:numPr>
          <w:ilvl w:val="0"/>
          <w:numId w:val="1"/>
        </w:numPr>
        <w:spacing w:after="80"/>
      </w:pPr>
      <w:r>
        <w:t xml:space="preserve">Type-tile landing pattern: show only the categories that have content, count-badged, before drilling into a filtered list. Reusable for the Documents hub (Section 4, item 3) and potentially for other portal areas that currently default to a flat list.</w:t>
      </w:r>
    </w:p>
    <w:p>
      <w:pPr>
        <w:pStyle w:val="ListParagraph"/>
        <w:numPr>
          <w:ilvl w:val="0"/>
          <w:numId w:val="1"/>
        </w:numPr>
        <w:spacing w:after="80"/>
      </w:pPr>
      <w:r>
        <w:t xml:space="preserve">Optimistic local-completion cache: cache a just-completed action's result locally so re-opening the same screen doesn't need a network round-trip to show the correct state, while the server write is still the source of truth. A reasonable pattern to apply narrowly (e.g., the fast-path visit-completion flow in Section 6.1), not as a substitute for server confirmation.</w:t>
      </w:r>
    </w:p>
    <w:p>
      <w:pPr>
        <w:pStyle w:val="ListParagraph"/>
        <w:numPr>
          <w:ilvl w:val="0"/>
          <w:numId w:val="1"/>
        </w:numPr>
        <w:spacing w:after="80"/>
      </w:pPr>
      <w:r>
        <w:t xml:space="preserve">Status-derivation-at-render pattern (their client computes Available/Booked/Unavailable/Current from raw slot data rather than the server pre-labeling each slot): reasonable and already broadly how our own AvailabilityCalendar works at the day level; extending it to slot-level status labels during a reschedule (Section 4, item 6) is a natural, low-risk extension of a pattern we already use.</w:t>
      </w:r>
    </w:p>
    <w:p>
      <w:pPr>
        <w:pStyle w:val="ListParagraph"/>
        <w:numPr>
          <w:ilvl w:val="0"/>
          <w:numId w:val="1"/>
        </w:numPr>
        <w:spacing w:after="80"/>
      </w:pPr>
      <w:r>
        <w:t xml:space="preserve">Anti-pattern worth naming as a pattern to avoid everywhere: shipping a UI surface whose persistence layer doesn't exist yet, and never circling back. Both reference apps demonstrate this at scale; it's worth treating as a standing engineering discipline question (“does this button's action actually reach a database?”) for any new screen this team builds, not just a one-time finding.</w:t>
      </w:r>
    </w:p>
    <w:p>
      <w:r>
        <w:br w:type="page"/>
      </w:r>
    </w:p>
    <w:p>
      <w:pPr>
        <w:pStyle w:val="Heading1"/>
        <w:spacing w:after="200" w:before="400"/>
      </w:pPr>
      <w:r>
        <w:t xml:space="preserve">13. Prioritization</w:t>
      </w:r>
    </w:p>
    <w:p>
      <w:pPr>
        <w:pStyle w:val="Heading2"/>
        <w:spacing w:after="150" w:before="300"/>
      </w:pPr>
      <w:r>
        <w:t xml:space="preserve">P0 — Critical</w:t>
      </w:r>
    </w:p>
    <w:p>
      <w:pPr>
        <w:spacing w:after="160"/>
      </w:pPr>
      <w:r>
        <w:t xml:space="preserve">Should become part of the core HMS. Reason: reuses substantial, already-built, currently idle backend infrastructure, and directly closes a named gap (patient adherence/follow-up) that neither system currently serves for real.</w:t>
      </w:r>
    </w:p>
    <w:p>
      <w:pPr>
        <w:pStyle w:val="ListParagraph"/>
        <w:numPr>
          <w:ilvl w:val="0"/>
          <w:numId w:val="1"/>
        </w:numPr>
        <w:spacing w:after="80"/>
      </w:pPr>
      <w:r>
        <w:t xml:space="preserve">Wire apps.tasks into a real, patient-visible “Care Tasks” feature (Section 4 item 1 / Section 7).</w:t>
      </w:r>
    </w:p>
    <w:p>
      <w:pPr>
        <w:pStyle w:val="Heading2"/>
        <w:spacing w:after="150" w:before="300"/>
      </w:pPr>
      <w:r>
        <w:t xml:space="preserve">P1 — High Value</w:t>
      </w:r>
    </w:p>
    <w:p>
      <w:pPr>
        <w:spacing w:after="160"/>
      </w:pPr>
      <w:r>
        <w:t xml:space="preserve">Strong improvements to the product; each is small, cheap, and clinically or operationally meaningful, but none is foundational the way P0 is.</w:t>
      </w:r>
    </w:p>
    <w:p>
      <w:pPr>
        <w:pStyle w:val="ListParagraph"/>
        <w:numPr>
          <w:ilvl w:val="0"/>
          <w:numId w:val="1"/>
        </w:numPr>
        <w:spacing w:after="80"/>
      </w:pPr>
      <w:r>
        <w:t xml:space="preserve">LabRequest urgency/priority field (Section 4 item 2).</w:t>
      </w:r>
    </w:p>
    <w:p>
      <w:pPr>
        <w:pStyle w:val="ListParagraph"/>
        <w:numPr>
          <w:ilvl w:val="0"/>
          <w:numId w:val="1"/>
        </w:numPr>
        <w:spacing w:after="80"/>
      </w:pPr>
      <w:r>
        <w:t xml:space="preserve">Unified Documents hub, tile-by-type (Section 4 items 3 &amp; 9).</w:t>
      </w:r>
    </w:p>
    <w:p>
      <w:pPr>
        <w:pStyle w:val="ListParagraph"/>
        <w:numPr>
          <w:ilvl w:val="0"/>
          <w:numId w:val="1"/>
        </w:numPr>
        <w:spacing w:after="80"/>
      </w:pPr>
      <w:r>
        <w:t xml:space="preserve">Add-to-calendar on booking confirmation (Section 4 item 4).</w:t>
      </w:r>
    </w:p>
    <w:p>
      <w:pPr>
        <w:pStyle w:val="Heading2"/>
        <w:spacing w:after="150" w:before="300"/>
      </w:pPr>
      <w:r>
        <w:t xml:space="preserve">P2 — Useful</w:t>
      </w:r>
    </w:p>
    <w:p>
      <w:pPr>
        <w:spacing w:after="160"/>
      </w:pPr>
      <w:r>
        <w:t xml:space="preserve">Good enhancements, not foundational; several are explicitly gated on a bigger decision (shipping a mobile app) that hasn't been made yet.</w:t>
      </w:r>
    </w:p>
    <w:p>
      <w:pPr>
        <w:pStyle w:val="ListParagraph"/>
        <w:numPr>
          <w:ilvl w:val="0"/>
          <w:numId w:val="1"/>
        </w:numPr>
        <w:spacing w:after="80"/>
      </w:pPr>
      <w:r>
        <w:t xml:space="preserve">Secure biometric/PIN quick re-auth (Section 4 item 5) — gated on P3.</w:t>
      </w:r>
    </w:p>
    <w:p>
      <w:pPr>
        <w:pStyle w:val="ListParagraph"/>
        <w:numPr>
          <w:ilvl w:val="0"/>
          <w:numId w:val="1"/>
        </w:numPr>
        <w:spacing w:after="80"/>
      </w:pPr>
      <w:r>
        <w:t xml:space="preserve">Slot-level status labels during reschedule (Section 4 item 6).</w:t>
      </w:r>
    </w:p>
    <w:p>
      <w:pPr>
        <w:pStyle w:val="ListParagraph"/>
        <w:numPr>
          <w:ilvl w:val="0"/>
          <w:numId w:val="1"/>
        </w:numPr>
        <w:spacing w:after="80"/>
      </w:pPr>
      <w:r>
        <w:t xml:space="preserve">Server-fetched tenant/company selector (Section 4 item 7) — gated on P3.</w:t>
      </w:r>
    </w:p>
    <w:p>
      <w:pPr>
        <w:pStyle w:val="ListParagraph"/>
        <w:numPr>
          <w:ilvl w:val="0"/>
          <w:numId w:val="1"/>
        </w:numPr>
        <w:spacing w:after="80"/>
      </w:pPr>
      <w:r>
        <w:t xml:space="preserve">Fast-path “attach note + mark visit done” for simple/follow-up encounters (Section 4 item 10 / Section 6.1).</w:t>
      </w:r>
    </w:p>
    <w:p>
      <w:pPr>
        <w:pStyle w:val="Heading2"/>
        <w:spacing w:after="150" w:before="300"/>
      </w:pPr>
      <w:r>
        <w:t xml:space="preserve">P3 — Future</w:t>
      </w:r>
    </w:p>
    <w:p>
      <w:pPr>
        <w:spacing w:after="160"/>
      </w:pPr>
      <w:r>
        <w:t xml:space="preserve">Worth considering later; large enough in scope to warrant its own separate scoping and business case rather than folding into ongoing web-app work.</w:t>
      </w:r>
    </w:p>
    <w:p>
      <w:pPr>
        <w:pStyle w:val="ListParagraph"/>
        <w:numPr>
          <w:ilvl w:val="0"/>
          <w:numId w:val="1"/>
        </w:numPr>
        <w:spacing w:after="80"/>
      </w:pPr>
      <w:r>
        <w:t xml:space="preserve">Native mobile companion apps for doctors and patients, built against our real backend (Section 4 item 8).</w:t>
      </w:r>
    </w:p>
    <w:p>
      <w:r>
        <w:br w:type="page"/>
      </w:r>
    </w:p>
    <w:p>
      <w:pPr>
        <w:pStyle w:val="Heading1"/>
        <w:spacing w:after="200" w:before="400"/>
      </w:pPr>
      <w:r>
        <w:t xml:space="preserve">14. Final Borrow List</w:t>
      </w:r>
    </w:p>
    <w:p>
      <w:pPr>
        <w:pStyle w:val="Heading2"/>
        <w:spacing w:after="150" w:before="300"/>
      </w:pPr>
      <w:r>
        <w:t xml:space="preserve">TOP 10 THINGS WE SHOULD BORROW</w:t>
      </w:r>
    </w:p>
    <w:p>
      <w:pPr>
        <w:spacing w:after="160"/>
      </w:pPr>
      <w:r>
        <w:t xml:space="preserve">Only the strongest, most concrete, most immediately actionable recommendations — several items from Section 4 are combined or dropped here to keep this list to genuinely the top 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246"/>
        <w:gridCol w:w="1685"/>
        <w:gridCol w:w="2246"/>
        <w:gridCol w:w="749"/>
      </w:tblGrid>
      <w:tr>
        <w:trPr>
          <w:tblHeader/>
        </w:trPr>
        <w:tc>
          <w:tcPr>
            <w:tcW w:type="dxa" w:w="2434"/>
            <w:shd w:fill="1E2761" w:val="clear"/>
            <w:tcMar>
              <w:top w:type="dxa" w:w="80"/>
              <w:left w:type="dxa" w:w="100"/>
              <w:bottom w:type="dxa" w:w="80"/>
              <w:right w:type="dxa" w:w="100"/>
            </w:tcMar>
          </w:tcPr>
          <w:p>
            <w:r>
              <w:rPr>
                <w:b/>
                <w:bCs/>
                <w:color w:val="FFFFFF"/>
                <w:sz w:val="18"/>
                <w:szCs w:val="18"/>
              </w:rPr>
              <w:t xml:space="preserve">Concept</w:t>
            </w:r>
          </w:p>
        </w:tc>
        <w:tc>
          <w:tcPr>
            <w:tcW w:type="dxa" w:w="2246"/>
            <w:shd w:fill="1E2761" w:val="clear"/>
            <w:tcMar>
              <w:top w:type="dxa" w:w="80"/>
              <w:left w:type="dxa" w:w="100"/>
              <w:bottom w:type="dxa" w:w="80"/>
              <w:right w:type="dxa" w:w="100"/>
            </w:tcMar>
          </w:tcPr>
          <w:p>
            <w:r>
              <w:rPr>
                <w:b/>
                <w:bCs/>
                <w:color w:val="FFFFFF"/>
                <w:sz w:val="18"/>
                <w:szCs w:val="18"/>
              </w:rPr>
              <w:t xml:space="preserve">Why</w:t>
            </w:r>
          </w:p>
        </w:tc>
        <w:tc>
          <w:tcPr>
            <w:tcW w:type="dxa" w:w="1685"/>
            <w:shd w:fill="1E2761" w:val="clear"/>
            <w:tcMar>
              <w:top w:type="dxa" w:w="80"/>
              <w:left w:type="dxa" w:w="100"/>
              <w:bottom w:type="dxa" w:w="80"/>
              <w:right w:type="dxa" w:w="100"/>
            </w:tcMar>
          </w:tcPr>
          <w:p>
            <w:r>
              <w:rPr>
                <w:b/>
                <w:bCs/>
                <w:color w:val="FFFFFF"/>
                <w:sz w:val="18"/>
                <w:szCs w:val="18"/>
              </w:rPr>
              <w:t xml:space="preserve">What We Have Today</w:t>
            </w:r>
          </w:p>
        </w:tc>
        <w:tc>
          <w:tcPr>
            <w:tcW w:type="dxa" w:w="2246"/>
            <w:shd w:fill="1E2761" w:val="clear"/>
            <w:tcMar>
              <w:top w:type="dxa" w:w="80"/>
              <w:left w:type="dxa" w:w="100"/>
              <w:bottom w:type="dxa" w:w="80"/>
              <w:right w:type="dxa" w:w="100"/>
            </w:tcMar>
          </w:tcPr>
          <w:p>
            <w:r>
              <w:rPr>
                <w:b/>
                <w:bCs/>
                <w:color w:val="FFFFFF"/>
                <w:sz w:val="18"/>
                <w:szCs w:val="18"/>
              </w:rPr>
              <w:t xml:space="preserve">What to Change</w:t>
            </w:r>
          </w:p>
        </w:tc>
        <w:tc>
          <w:tcPr>
            <w:tcW w:type="dxa" w:w="749"/>
            <w:shd w:fill="1E2761" w:val="clear"/>
            <w:tcMar>
              <w:top w:type="dxa" w:w="80"/>
              <w:left w:type="dxa" w:w="100"/>
              <w:bottom w:type="dxa" w:w="80"/>
              <w:right w:type="dxa" w:w="100"/>
            </w:tcMar>
          </w:tcPr>
          <w:p>
            <w:r>
              <w:rPr>
                <w:b/>
                <w:bCs/>
                <w:color w:val="FFFFFF"/>
                <w:sz w:val="18"/>
                <w:szCs w:val="18"/>
              </w:rPr>
              <w:t xml:space="preserve">Priority</w:t>
            </w:r>
          </w:p>
        </w:tc>
      </w:tr>
      <w:tr>
        <w:tc>
          <w:tcPr>
            <w:tcW w:type="dxa" w:w="2434"/>
            <w:tcMar>
              <w:top w:type="dxa" w:w="70"/>
              <w:left w:type="dxa" w:w="100"/>
              <w:bottom w:type="dxa" w:w="70"/>
              <w:right w:type="dxa" w:w="100"/>
            </w:tcMar>
          </w:tcPr>
          <w:p>
            <w:r>
              <w:rPr>
                <w:b w:val="false"/>
                <w:bCs w:val="false"/>
                <w:sz w:val="18"/>
                <w:szCs w:val="18"/>
              </w:rPr>
              <w:t xml:space="preserve">1. Patient-facing Care/Follow-up Tasks</w:t>
            </w:r>
          </w:p>
        </w:tc>
        <w:tc>
          <w:tcPr>
            <w:tcW w:type="dxa" w:w="2246"/>
            <w:tcMar>
              <w:top w:type="dxa" w:w="70"/>
              <w:left w:type="dxa" w:w="100"/>
              <w:bottom w:type="dxa" w:w="70"/>
              <w:right w:type="dxa" w:w="100"/>
            </w:tcMar>
          </w:tcPr>
          <w:p>
            <w:r>
              <w:rPr>
                <w:b w:val="false"/>
                <w:bCs w:val="false"/>
                <w:sz w:val="18"/>
                <w:szCs w:val="18"/>
              </w:rPr>
              <w:t xml:space="preserve">Closes a real adherence/follow-up gap; the backend (apps.tasks) already exists and is otherwise dead weight.</w:t>
            </w:r>
          </w:p>
        </w:tc>
        <w:tc>
          <w:tcPr>
            <w:tcW w:type="dxa" w:w="1685"/>
            <w:tcMar>
              <w:top w:type="dxa" w:w="70"/>
              <w:left w:type="dxa" w:w="100"/>
              <w:bottom w:type="dxa" w:w="70"/>
              <w:right w:type="dxa" w:w="100"/>
            </w:tcMar>
          </w:tcPr>
          <w:p>
            <w:r>
              <w:rPr>
                <w:b w:val="false"/>
                <w:bCs w:val="false"/>
                <w:sz w:val="18"/>
                <w:szCs w:val="18"/>
              </w:rPr>
              <w:t xml:space="preserve">No patient-visible task/reminder concept exists at all today.</w:t>
            </w:r>
          </w:p>
        </w:tc>
        <w:tc>
          <w:tcPr>
            <w:tcW w:type="dxa" w:w="2246"/>
            <w:tcMar>
              <w:top w:type="dxa" w:w="70"/>
              <w:left w:type="dxa" w:w="100"/>
              <w:bottom w:type="dxa" w:w="70"/>
              <w:right w:type="dxa" w:w="100"/>
            </w:tcMar>
          </w:tcPr>
          <w:p>
            <w:r>
              <w:rPr>
                <w:b w:val="false"/>
                <w:bCs w:val="false"/>
                <w:sz w:val="18"/>
                <w:szCs w:val="18"/>
              </w:rPr>
              <w:t xml:space="preserve">Add a patient-scoped read/complete API on top of the existing Task/TaskAssignment models; surface a Today/Upcoming/Past list in the patient portal; let a doctor attach 1-3 structured follow-up items when closing an encounter.</w:t>
            </w:r>
          </w:p>
        </w:tc>
        <w:tc>
          <w:tcPr>
            <w:tcW w:type="dxa" w:w="749"/>
            <w:tcMar>
              <w:top w:type="dxa" w:w="70"/>
              <w:left w:type="dxa" w:w="100"/>
              <w:bottom w:type="dxa" w:w="70"/>
              <w:right w:type="dxa" w:w="100"/>
            </w:tcMar>
          </w:tcPr>
          <w:p>
            <w:r>
              <w:rPr>
                <w:b w:val="false"/>
                <w:bCs w:val="false"/>
                <w:sz w:val="18"/>
                <w:szCs w:val="18"/>
              </w:rPr>
              <w:t xml:space="preserve">P0</w:t>
            </w:r>
          </w:p>
        </w:tc>
      </w:tr>
      <w:tr>
        <w:tc>
          <w:tcPr>
            <w:tcW w:type="dxa" w:w="2434"/>
            <w:tcMar>
              <w:top w:type="dxa" w:w="70"/>
              <w:left w:type="dxa" w:w="100"/>
              <w:bottom w:type="dxa" w:w="70"/>
              <w:right w:type="dxa" w:w="100"/>
            </w:tcMar>
          </w:tcPr>
          <w:p>
            <w:r>
              <w:rPr>
                <w:b w:val="false"/>
                <w:bCs w:val="false"/>
                <w:sz w:val="18"/>
                <w:szCs w:val="18"/>
              </w:rPr>
              <w:t xml:space="preserve">2. LabRequest urgency field</w:t>
            </w:r>
          </w:p>
        </w:tc>
        <w:tc>
          <w:tcPr>
            <w:tcW w:type="dxa" w:w="2246"/>
            <w:tcMar>
              <w:top w:type="dxa" w:w="70"/>
              <w:left w:type="dxa" w:w="100"/>
              <w:bottom w:type="dxa" w:w="70"/>
              <w:right w:type="dxa" w:w="100"/>
            </w:tcMar>
          </w:tcPr>
          <w:p>
            <w:r>
              <w:rPr>
                <w:b w:val="false"/>
                <w:bCs w:val="false"/>
                <w:sz w:val="18"/>
                <w:szCs w:val="18"/>
              </w:rPr>
              <w:t xml:space="preserve">A doctor genuinely needs to flag an urgent lab order; today that information is simply lost.</w:t>
            </w:r>
          </w:p>
        </w:tc>
        <w:tc>
          <w:tcPr>
            <w:tcW w:type="dxa" w:w="1685"/>
            <w:tcMar>
              <w:top w:type="dxa" w:w="70"/>
              <w:left w:type="dxa" w:w="100"/>
              <w:bottom w:type="dxa" w:w="70"/>
              <w:right w:type="dxa" w:w="100"/>
            </w:tcMar>
          </w:tcPr>
          <w:p>
            <w:r>
              <w:rPr>
                <w:b w:val="false"/>
                <w:bCs w:val="false"/>
                <w:sz w:val="18"/>
                <w:szCs w:val="18"/>
              </w:rPr>
              <w:t xml:space="preserve">No priority/urgency concept on a lab order.</w:t>
            </w:r>
          </w:p>
        </w:tc>
        <w:tc>
          <w:tcPr>
            <w:tcW w:type="dxa" w:w="2246"/>
            <w:tcMar>
              <w:top w:type="dxa" w:w="70"/>
              <w:left w:type="dxa" w:w="100"/>
              <w:bottom w:type="dxa" w:w="70"/>
              <w:right w:type="dxa" w:w="100"/>
            </w:tcMar>
          </w:tcPr>
          <w:p>
            <w:r>
              <w:rPr>
                <w:b w:val="false"/>
                <w:bCs w:val="false"/>
                <w:sz w:val="18"/>
                <w:szCs w:val="18"/>
              </w:rPr>
              <w:t xml:space="preserve">Add a Routine/Urgent/STAT enum field to LabRequest, surfaced at order time and on the lab-tech queue for triage.</w:t>
            </w:r>
          </w:p>
        </w:tc>
        <w:tc>
          <w:tcPr>
            <w:tcW w:type="dxa" w:w="749"/>
            <w:tcMar>
              <w:top w:type="dxa" w:w="70"/>
              <w:left w:type="dxa" w:w="100"/>
              <w:bottom w:type="dxa" w:w="70"/>
              <w:right w:type="dxa" w:w="100"/>
            </w:tcMar>
          </w:tcPr>
          <w:p>
            <w:r>
              <w:rPr>
                <w:b w:val="false"/>
                <w:bCs w:val="false"/>
                <w:sz w:val="18"/>
                <w:szCs w:val="18"/>
              </w:rPr>
              <w:t xml:space="preserve">P1</w:t>
            </w:r>
          </w:p>
        </w:tc>
      </w:tr>
      <w:tr>
        <w:tc>
          <w:tcPr>
            <w:tcW w:type="dxa" w:w="2434"/>
            <w:tcMar>
              <w:top w:type="dxa" w:w="70"/>
              <w:left w:type="dxa" w:w="100"/>
              <w:bottom w:type="dxa" w:w="70"/>
              <w:right w:type="dxa" w:w="100"/>
            </w:tcMar>
          </w:tcPr>
          <w:p>
            <w:r>
              <w:rPr>
                <w:b w:val="false"/>
                <w:bCs w:val="false"/>
                <w:sz w:val="18"/>
                <w:szCs w:val="18"/>
              </w:rPr>
              <w:t xml:space="preserve">3. Unified Documents hub</w:t>
            </w:r>
          </w:p>
        </w:tc>
        <w:tc>
          <w:tcPr>
            <w:tcW w:type="dxa" w:w="2246"/>
            <w:tcMar>
              <w:top w:type="dxa" w:w="70"/>
              <w:left w:type="dxa" w:w="100"/>
              <w:bottom w:type="dxa" w:w="70"/>
              <w:right w:type="dxa" w:w="100"/>
            </w:tcMar>
          </w:tcPr>
          <w:p>
            <w:r>
              <w:rPr>
                <w:b w:val="false"/>
                <w:bCs w:val="false"/>
                <w:sz w:val="18"/>
                <w:szCs w:val="18"/>
              </w:rPr>
              <w:t xml:space="preserve">Reduces a returning patient's navigation from “which page has my file” to one tap.</w:t>
            </w:r>
          </w:p>
        </w:tc>
        <w:tc>
          <w:tcPr>
            <w:tcW w:type="dxa" w:w="1685"/>
            <w:tcMar>
              <w:top w:type="dxa" w:w="70"/>
              <w:left w:type="dxa" w:w="100"/>
              <w:bottom w:type="dxa" w:w="70"/>
              <w:right w:type="dxa" w:w="100"/>
            </w:tcMar>
          </w:tcPr>
          <w:p>
            <w:r>
              <w:rPr>
                <w:b w:val="false"/>
                <w:bCs w:val="false"/>
                <w:sz w:val="18"/>
                <w:szCs w:val="18"/>
              </w:rPr>
              <w:t xml:space="preserve">Prescriptions, bills, and vaccination records are separate pages today.</w:t>
            </w:r>
          </w:p>
        </w:tc>
        <w:tc>
          <w:tcPr>
            <w:tcW w:type="dxa" w:w="2246"/>
            <w:tcMar>
              <w:top w:type="dxa" w:w="70"/>
              <w:left w:type="dxa" w:w="100"/>
              <w:bottom w:type="dxa" w:w="70"/>
              <w:right w:type="dxa" w:w="100"/>
            </w:tcMar>
          </w:tcPr>
          <w:p>
            <w:r>
              <w:rPr>
                <w:b w:val="false"/>
                <w:bCs w:val="false"/>
                <w:sz w:val="18"/>
                <w:szCs w:val="18"/>
              </w:rPr>
              <w:t xml:space="preserve">Add a lightweight document-category concept and a single landing page showing only the categories the patient actually has content in, each drilling into the existing per-type page.</w:t>
            </w:r>
          </w:p>
        </w:tc>
        <w:tc>
          <w:tcPr>
            <w:tcW w:type="dxa" w:w="749"/>
            <w:tcMar>
              <w:top w:type="dxa" w:w="70"/>
              <w:left w:type="dxa" w:w="100"/>
              <w:bottom w:type="dxa" w:w="70"/>
              <w:right w:type="dxa" w:w="100"/>
            </w:tcMar>
          </w:tcPr>
          <w:p>
            <w:r>
              <w:rPr>
                <w:b w:val="false"/>
                <w:bCs w:val="false"/>
                <w:sz w:val="18"/>
                <w:szCs w:val="18"/>
              </w:rPr>
              <w:t xml:space="preserve">P1</w:t>
            </w:r>
          </w:p>
        </w:tc>
      </w:tr>
      <w:tr>
        <w:tc>
          <w:tcPr>
            <w:tcW w:type="dxa" w:w="2434"/>
            <w:tcMar>
              <w:top w:type="dxa" w:w="70"/>
              <w:left w:type="dxa" w:w="100"/>
              <w:bottom w:type="dxa" w:w="70"/>
              <w:right w:type="dxa" w:w="100"/>
            </w:tcMar>
          </w:tcPr>
          <w:p>
            <w:r>
              <w:rPr>
                <w:b w:val="false"/>
                <w:bCs w:val="false"/>
                <w:sz w:val="18"/>
                <w:szCs w:val="18"/>
              </w:rPr>
              <w:t xml:space="preserve">4. Add-to-calendar on booking confirmation</w:t>
            </w:r>
          </w:p>
        </w:tc>
        <w:tc>
          <w:tcPr>
            <w:tcW w:type="dxa" w:w="2246"/>
            <w:tcMar>
              <w:top w:type="dxa" w:w="70"/>
              <w:left w:type="dxa" w:w="100"/>
              <w:bottom w:type="dxa" w:w="70"/>
              <w:right w:type="dxa" w:w="100"/>
            </w:tcMar>
          </w:tcPr>
          <w:p>
            <w:r>
              <w:rPr>
                <w:b w:val="false"/>
                <w:bCs w:val="false"/>
                <w:sz w:val="18"/>
                <w:szCs w:val="18"/>
              </w:rPr>
              <w:t xml:space="preserve">A small, well-understood convenience patients already expect from consumer apps.</w:t>
            </w:r>
          </w:p>
        </w:tc>
        <w:tc>
          <w:tcPr>
            <w:tcW w:type="dxa" w:w="1685"/>
            <w:tcMar>
              <w:top w:type="dxa" w:w="70"/>
              <w:left w:type="dxa" w:w="100"/>
              <w:bottom w:type="dxa" w:w="70"/>
              <w:right w:type="dxa" w:w="100"/>
            </w:tcMar>
          </w:tcPr>
          <w:p>
            <w:r>
              <w:rPr>
                <w:b w:val="false"/>
                <w:bCs w:val="false"/>
                <w:sz w:val="18"/>
                <w:szCs w:val="18"/>
              </w:rPr>
              <w:t xml:space="preserve">No calendar integration on the web booking confirmation.</w:t>
            </w:r>
          </w:p>
        </w:tc>
        <w:tc>
          <w:tcPr>
            <w:tcW w:type="dxa" w:w="2246"/>
            <w:tcMar>
              <w:top w:type="dxa" w:w="70"/>
              <w:left w:type="dxa" w:w="100"/>
              <w:bottom w:type="dxa" w:w="70"/>
              <w:right w:type="dxa" w:w="100"/>
            </w:tcMar>
          </w:tcPr>
          <w:p>
            <w:r>
              <w:rPr>
                <w:b w:val="false"/>
                <w:bCs w:val="false"/>
                <w:sz w:val="18"/>
                <w:szCs w:val="18"/>
              </w:rPr>
              <w:t xml:space="preserve">Add an .ics download / “Add to calendar” link on the existing booking confirmation screen.</w:t>
            </w:r>
          </w:p>
        </w:tc>
        <w:tc>
          <w:tcPr>
            <w:tcW w:type="dxa" w:w="749"/>
            <w:tcMar>
              <w:top w:type="dxa" w:w="70"/>
              <w:left w:type="dxa" w:w="100"/>
              <w:bottom w:type="dxa" w:w="70"/>
              <w:right w:type="dxa" w:w="100"/>
            </w:tcMar>
          </w:tcPr>
          <w:p>
            <w:r>
              <w:rPr>
                <w:b w:val="false"/>
                <w:bCs w:val="false"/>
                <w:sz w:val="18"/>
                <w:szCs w:val="18"/>
              </w:rPr>
              <w:t xml:space="preserve">P1</w:t>
            </w:r>
          </w:p>
        </w:tc>
      </w:tr>
      <w:tr>
        <w:tc>
          <w:tcPr>
            <w:tcW w:type="dxa" w:w="2434"/>
            <w:tcMar>
              <w:top w:type="dxa" w:w="70"/>
              <w:left w:type="dxa" w:w="100"/>
              <w:bottom w:type="dxa" w:w="70"/>
              <w:right w:type="dxa" w:w="100"/>
            </w:tcMar>
          </w:tcPr>
          <w:p>
            <w:r>
              <w:rPr>
                <w:b w:val="false"/>
                <w:bCs w:val="false"/>
                <w:sz w:val="18"/>
                <w:szCs w:val="18"/>
              </w:rPr>
              <w:t xml:space="preserve">5. Lab order + prescription “follow-up chain” extension via Care Tasks</w:t>
            </w:r>
          </w:p>
        </w:tc>
        <w:tc>
          <w:tcPr>
            <w:tcW w:type="dxa" w:w="2246"/>
            <w:tcMar>
              <w:top w:type="dxa" w:w="70"/>
              <w:left w:type="dxa" w:w="100"/>
              <w:bottom w:type="dxa" w:w="70"/>
              <w:right w:type="dxa" w:w="100"/>
            </w:tcMar>
          </w:tcPr>
          <w:p>
            <w:r>
              <w:rPr>
                <w:b w:val="false"/>
                <w:bCs w:val="false"/>
                <w:sz w:val="18"/>
                <w:szCs w:val="18"/>
              </w:rPr>
              <w:t xml:space="preserve">Closes the loop the reference system only gestures at, one step further than either system today.</w:t>
            </w:r>
          </w:p>
        </w:tc>
        <w:tc>
          <w:tcPr>
            <w:tcW w:type="dxa" w:w="1685"/>
            <w:tcMar>
              <w:top w:type="dxa" w:w="70"/>
              <w:left w:type="dxa" w:w="100"/>
              <w:bottom w:type="dxa" w:w="70"/>
              <w:right w:type="dxa" w:w="100"/>
            </w:tcMar>
          </w:tcPr>
          <w:p>
            <w:r>
              <w:rPr>
                <w:b w:val="false"/>
                <w:bCs w:val="false"/>
                <w:sz w:val="18"/>
                <w:szCs w:val="18"/>
              </w:rPr>
              <w:t xml:space="preserve">Our OPD chain already stops at order creation; nothing carries forward to the patient after that.</w:t>
            </w:r>
          </w:p>
        </w:tc>
        <w:tc>
          <w:tcPr>
            <w:tcW w:type="dxa" w:w="2246"/>
            <w:tcMar>
              <w:top w:type="dxa" w:w="70"/>
              <w:left w:type="dxa" w:w="100"/>
              <w:bottom w:type="dxa" w:w="70"/>
              <w:right w:type="dxa" w:w="100"/>
            </w:tcMar>
          </w:tcPr>
          <w:p>
            <w:r>
              <w:rPr>
                <w:b w:val="false"/>
                <w:bCs w:val="false"/>
                <w:sz w:val="18"/>
                <w:szCs w:val="18"/>
              </w:rPr>
              <w:t xml:space="preserve">Once #1 exists, let a completed encounter optionally spawn a small number of tasks tied to its own follow-up instructions.</w:t>
            </w:r>
          </w:p>
        </w:tc>
        <w:tc>
          <w:tcPr>
            <w:tcW w:type="dxa" w:w="749"/>
            <w:tcMar>
              <w:top w:type="dxa" w:w="70"/>
              <w:left w:type="dxa" w:w="100"/>
              <w:bottom w:type="dxa" w:w="70"/>
              <w:right w:type="dxa" w:w="100"/>
            </w:tcMar>
          </w:tcPr>
          <w:p>
            <w:r>
              <w:rPr>
                <w:b w:val="false"/>
                <w:bCs w:val="false"/>
                <w:sz w:val="18"/>
                <w:szCs w:val="18"/>
              </w:rPr>
              <w:t xml:space="preserve">P1</w:t>
            </w:r>
          </w:p>
        </w:tc>
      </w:tr>
      <w:tr>
        <w:tc>
          <w:tcPr>
            <w:tcW w:type="dxa" w:w="2434"/>
            <w:tcMar>
              <w:top w:type="dxa" w:w="70"/>
              <w:left w:type="dxa" w:w="100"/>
              <w:bottom w:type="dxa" w:w="70"/>
              <w:right w:type="dxa" w:w="100"/>
            </w:tcMar>
          </w:tcPr>
          <w:p>
            <w:r>
              <w:rPr>
                <w:b w:val="false"/>
                <w:bCs w:val="false"/>
                <w:sz w:val="18"/>
                <w:szCs w:val="18"/>
              </w:rPr>
              <w:t xml:space="preserve">6. Fast-path visit completion for simple/follow-up visits</w:t>
            </w:r>
          </w:p>
        </w:tc>
        <w:tc>
          <w:tcPr>
            <w:tcW w:type="dxa" w:w="2246"/>
            <w:tcMar>
              <w:top w:type="dxa" w:w="70"/>
              <w:left w:type="dxa" w:w="100"/>
              <w:bottom w:type="dxa" w:w="70"/>
              <w:right w:type="dxa" w:w="100"/>
            </w:tcMar>
          </w:tcPr>
          <w:p>
            <w:r>
              <w:rPr>
                <w:b w:val="false"/>
                <w:bCs w:val="false"/>
                <w:sz w:val="18"/>
                <w:szCs w:val="18"/>
              </w:rPr>
              <w:t xml:space="preserve">The full structured encounter flow is appropriately thorough but is overkill for a quick follow-up.</w:t>
            </w:r>
          </w:p>
        </w:tc>
        <w:tc>
          <w:tcPr>
            <w:tcW w:type="dxa" w:w="1685"/>
            <w:tcMar>
              <w:top w:type="dxa" w:w="70"/>
              <w:left w:type="dxa" w:w="100"/>
              <w:bottom w:type="dxa" w:w="70"/>
              <w:right w:type="dxa" w:w="100"/>
            </w:tcMar>
          </w:tcPr>
          <w:p>
            <w:r>
              <w:rPr>
                <w:b w:val="false"/>
                <w:bCs w:val="false"/>
                <w:sz w:val="18"/>
                <w:szCs w:val="18"/>
              </w:rPr>
              <w:t xml:space="preserve">No shortcut exists today — every visit goes through the full multi-screen flow.</w:t>
            </w:r>
          </w:p>
        </w:tc>
        <w:tc>
          <w:tcPr>
            <w:tcW w:type="dxa" w:w="2246"/>
            <w:tcMar>
              <w:top w:type="dxa" w:w="70"/>
              <w:left w:type="dxa" w:w="100"/>
              <w:bottom w:type="dxa" w:w="70"/>
              <w:right w:type="dxa" w:w="100"/>
            </w:tcMar>
          </w:tcPr>
          <w:p>
            <w:r>
              <w:rPr>
                <w:b w:val="false"/>
                <w:bCs w:val="false"/>
                <w:sz w:val="18"/>
                <w:szCs w:val="18"/>
              </w:rPr>
              <w:t xml:space="preserve">Add an optional single-action “attach note/file + mark done” path from the doctor's queue for follow-up-type appointments, still writing a real (minimal) OPDEncounter row.</w:t>
            </w:r>
          </w:p>
        </w:tc>
        <w:tc>
          <w:tcPr>
            <w:tcW w:type="dxa" w:w="749"/>
            <w:tcMar>
              <w:top w:type="dxa" w:w="70"/>
              <w:left w:type="dxa" w:w="100"/>
              <w:bottom w:type="dxa" w:w="70"/>
              <w:right w:type="dxa" w:w="100"/>
            </w:tcMar>
          </w:tcPr>
          <w:p>
            <w:r>
              <w:rPr>
                <w:b w:val="false"/>
                <w:bCs w:val="false"/>
                <w:sz w:val="18"/>
                <w:szCs w:val="18"/>
              </w:rPr>
              <w:t xml:space="preserve">P2</w:t>
            </w:r>
          </w:p>
        </w:tc>
      </w:tr>
      <w:tr>
        <w:tc>
          <w:tcPr>
            <w:tcW w:type="dxa" w:w="2434"/>
            <w:tcMar>
              <w:top w:type="dxa" w:w="70"/>
              <w:left w:type="dxa" w:w="100"/>
              <w:bottom w:type="dxa" w:w="70"/>
              <w:right w:type="dxa" w:w="100"/>
            </w:tcMar>
          </w:tcPr>
          <w:p>
            <w:r>
              <w:rPr>
                <w:b w:val="false"/>
                <w:bCs w:val="false"/>
                <w:sz w:val="18"/>
                <w:szCs w:val="18"/>
              </w:rPr>
              <w:t xml:space="preserve">7. Slot-level status labels during reschedule</w:t>
            </w:r>
          </w:p>
        </w:tc>
        <w:tc>
          <w:tcPr>
            <w:tcW w:type="dxa" w:w="2246"/>
            <w:tcMar>
              <w:top w:type="dxa" w:w="70"/>
              <w:left w:type="dxa" w:w="100"/>
              <w:bottom w:type="dxa" w:w="70"/>
              <w:right w:type="dxa" w:w="100"/>
            </w:tcMar>
          </w:tcPr>
          <w:p>
            <w:r>
              <w:rPr>
                <w:b w:val="false"/>
                <w:bCs w:val="false"/>
                <w:sz w:val="18"/>
                <w:szCs w:val="18"/>
              </w:rPr>
              <w:t xml:space="preserve">Makes an in-progress reschedule less error-prone by clearly marking the slot being moved.</w:t>
            </w:r>
          </w:p>
        </w:tc>
        <w:tc>
          <w:tcPr>
            <w:tcW w:type="dxa" w:w="1685"/>
            <w:tcMar>
              <w:top w:type="dxa" w:w="70"/>
              <w:left w:type="dxa" w:w="100"/>
              <w:bottom w:type="dxa" w:w="70"/>
              <w:right w:type="dxa" w:w="100"/>
            </w:tcMar>
          </w:tcPr>
          <w:p>
            <w:r>
              <w:rPr>
                <w:b w:val="false"/>
                <w:bCs w:val="false"/>
                <w:sz w:val="18"/>
                <w:szCs w:val="18"/>
              </w:rPr>
              <w:t xml:space="preserve">Our calendar greys out unavailable days; it doesn't call out “this is the slot being rescheduled” at the time level.</w:t>
            </w:r>
          </w:p>
        </w:tc>
        <w:tc>
          <w:tcPr>
            <w:tcW w:type="dxa" w:w="2246"/>
            <w:tcMar>
              <w:top w:type="dxa" w:w="70"/>
              <w:left w:type="dxa" w:w="100"/>
              <w:bottom w:type="dxa" w:w="70"/>
              <w:right w:type="dxa" w:w="100"/>
            </w:tcMar>
          </w:tcPr>
          <w:p>
            <w:r>
              <w:rPr>
                <w:b w:val="false"/>
                <w:bCs w:val="false"/>
                <w:sz w:val="18"/>
                <w:szCs w:val="18"/>
              </w:rPr>
              <w:t xml:space="preserve">Extend the existing AvailabilityCalendar/slot picker to label the specific slot being rescheduled as “Current.”</w:t>
            </w:r>
          </w:p>
        </w:tc>
        <w:tc>
          <w:tcPr>
            <w:tcW w:type="dxa" w:w="749"/>
            <w:tcMar>
              <w:top w:type="dxa" w:w="70"/>
              <w:left w:type="dxa" w:w="100"/>
              <w:bottom w:type="dxa" w:w="70"/>
              <w:right w:type="dxa" w:w="100"/>
            </w:tcMar>
          </w:tcPr>
          <w:p>
            <w:r>
              <w:rPr>
                <w:b w:val="false"/>
                <w:bCs w:val="false"/>
                <w:sz w:val="18"/>
                <w:szCs w:val="18"/>
              </w:rPr>
              <w:t xml:space="preserve">P2</w:t>
            </w:r>
          </w:p>
        </w:tc>
      </w:tr>
      <w:tr>
        <w:tc>
          <w:tcPr>
            <w:tcW w:type="dxa" w:w="2434"/>
            <w:tcMar>
              <w:top w:type="dxa" w:w="70"/>
              <w:left w:type="dxa" w:w="100"/>
              <w:bottom w:type="dxa" w:w="70"/>
              <w:right w:type="dxa" w:w="100"/>
            </w:tcMar>
          </w:tcPr>
          <w:p>
            <w:r>
              <w:rPr>
                <w:b w:val="false"/>
                <w:bCs w:val="false"/>
                <w:sz w:val="18"/>
                <w:szCs w:val="18"/>
              </w:rPr>
              <w:t xml:space="preserve">8. Document-category short codes</w:t>
            </w:r>
          </w:p>
        </w:tc>
        <w:tc>
          <w:tcPr>
            <w:tcW w:type="dxa" w:w="2246"/>
            <w:tcMar>
              <w:top w:type="dxa" w:w="70"/>
              <w:left w:type="dxa" w:w="100"/>
              <w:bottom w:type="dxa" w:w="70"/>
              <w:right w:type="dxa" w:w="100"/>
            </w:tcMar>
          </w:tcPr>
          <w:p>
            <w:r>
              <w:rPr>
                <w:b w:val="false"/>
                <w:bCs w:val="false"/>
                <w:sz w:val="18"/>
                <w:szCs w:val="18"/>
              </w:rPr>
              <w:t xml:space="preserve">A clean, extensible taxonomy makes the Documents hub (#3) and any future document type easier to add.</w:t>
            </w:r>
          </w:p>
        </w:tc>
        <w:tc>
          <w:tcPr>
            <w:tcW w:type="dxa" w:w="1685"/>
            <w:tcMar>
              <w:top w:type="dxa" w:w="70"/>
              <w:left w:type="dxa" w:w="100"/>
              <w:bottom w:type="dxa" w:w="70"/>
              <w:right w:type="dxa" w:w="100"/>
            </w:tcMar>
          </w:tcPr>
          <w:p>
            <w:r>
              <w:rPr>
                <w:b w:val="false"/>
                <w:bCs w:val="false"/>
                <w:sz w:val="18"/>
                <w:szCs w:val="18"/>
              </w:rPr>
              <w:t xml:space="preserve">No formal category enum exists today.</w:t>
            </w:r>
          </w:p>
        </w:tc>
        <w:tc>
          <w:tcPr>
            <w:tcW w:type="dxa" w:w="2246"/>
            <w:tcMar>
              <w:top w:type="dxa" w:w="70"/>
              <w:left w:type="dxa" w:w="100"/>
              <w:bottom w:type="dxa" w:w="70"/>
              <w:right w:type="dxa" w:w="100"/>
            </w:tcMar>
          </w:tcPr>
          <w:p>
            <w:r>
              <w:rPr>
                <w:b w:val="false"/>
                <w:bCs w:val="false"/>
                <w:sz w:val="18"/>
                <w:szCs w:val="18"/>
              </w:rPr>
              <w:t xml:space="preserve">Introduce a short, versioned category enum (e.g., RX, LAB, RAD-RPT, RAD-IMG, DS, VAX) reused across the hub and any future document-producing feature.</w:t>
            </w:r>
          </w:p>
        </w:tc>
        <w:tc>
          <w:tcPr>
            <w:tcW w:type="dxa" w:w="749"/>
            <w:tcMar>
              <w:top w:type="dxa" w:w="70"/>
              <w:left w:type="dxa" w:w="100"/>
              <w:bottom w:type="dxa" w:w="70"/>
              <w:right w:type="dxa" w:w="100"/>
            </w:tcMar>
          </w:tcPr>
          <w:p>
            <w:r>
              <w:rPr>
                <w:b w:val="false"/>
                <w:bCs w:val="false"/>
                <w:sz w:val="18"/>
                <w:szCs w:val="18"/>
              </w:rPr>
              <w:t xml:space="preserve">P2</w:t>
            </w:r>
          </w:p>
        </w:tc>
      </w:tr>
      <w:tr>
        <w:tc>
          <w:tcPr>
            <w:tcW w:type="dxa" w:w="2434"/>
            <w:tcMar>
              <w:top w:type="dxa" w:w="70"/>
              <w:left w:type="dxa" w:w="100"/>
              <w:bottom w:type="dxa" w:w="70"/>
              <w:right w:type="dxa" w:w="100"/>
            </w:tcMar>
          </w:tcPr>
          <w:p>
            <w:r>
              <w:rPr>
                <w:b w:val="false"/>
                <w:bCs w:val="false"/>
                <w:sz w:val="18"/>
                <w:szCs w:val="18"/>
              </w:rPr>
              <w:t xml:space="preserve">9. Secure biometric quick re-auth (mobile-gated)</w:t>
            </w:r>
          </w:p>
        </w:tc>
        <w:tc>
          <w:tcPr>
            <w:tcW w:type="dxa" w:w="2246"/>
            <w:tcMar>
              <w:top w:type="dxa" w:w="70"/>
              <w:left w:type="dxa" w:w="100"/>
              <w:bottom w:type="dxa" w:w="70"/>
              <w:right w:type="dxa" w:w="100"/>
            </w:tcMar>
          </w:tcPr>
          <w:p>
            <w:r>
              <w:rPr>
                <w:b w:val="false"/>
                <w:bCs w:val="false"/>
                <w:sz w:val="18"/>
                <w:szCs w:val="18"/>
              </w:rPr>
              <w:t xml:space="preserve">A real, well-understood UX expectation on mobile.</w:t>
            </w:r>
          </w:p>
        </w:tc>
        <w:tc>
          <w:tcPr>
            <w:tcW w:type="dxa" w:w="1685"/>
            <w:tcMar>
              <w:top w:type="dxa" w:w="70"/>
              <w:left w:type="dxa" w:w="100"/>
              <w:bottom w:type="dxa" w:w="70"/>
              <w:right w:type="dxa" w:w="100"/>
            </w:tcMar>
          </w:tcPr>
          <w:p>
            <w:r>
              <w:rPr>
                <w:b w:val="false"/>
                <w:bCs w:val="false"/>
                <w:sz w:val="18"/>
                <w:szCs w:val="18"/>
              </w:rPr>
              <w:t xml:space="preserve">No mobile app exists yet, so no re-auth-on-device concept exists.</w:t>
            </w:r>
          </w:p>
        </w:tc>
        <w:tc>
          <w:tcPr>
            <w:tcW w:type="dxa" w:w="2246"/>
            <w:tcMar>
              <w:top w:type="dxa" w:w="70"/>
              <w:left w:type="dxa" w:w="100"/>
              <w:bottom w:type="dxa" w:w="70"/>
              <w:right w:type="dxa" w:w="100"/>
            </w:tcMar>
          </w:tcPr>
          <w:p>
            <w:r>
              <w:rPr>
                <w:b w:val="false"/>
                <w:bCs w:val="false"/>
                <w:sz w:val="18"/>
                <w:szCs w:val="18"/>
              </w:rPr>
              <w:t xml:space="preserve">Design it correctly from day one if/when a mobile app is scoped: SecureStore-backed refresh token behind a biometric gate, never a replayed plaintext credential.</w:t>
            </w:r>
          </w:p>
        </w:tc>
        <w:tc>
          <w:tcPr>
            <w:tcW w:type="dxa" w:w="749"/>
            <w:tcMar>
              <w:top w:type="dxa" w:w="70"/>
              <w:left w:type="dxa" w:w="100"/>
              <w:bottom w:type="dxa" w:w="70"/>
              <w:right w:type="dxa" w:w="100"/>
            </w:tcMar>
          </w:tcPr>
          <w:p>
            <w:r>
              <w:rPr>
                <w:b w:val="false"/>
                <w:bCs w:val="false"/>
                <w:sz w:val="18"/>
                <w:szCs w:val="18"/>
              </w:rPr>
              <w:t xml:space="preserve">P2 (gated on #10)</w:t>
            </w:r>
          </w:p>
        </w:tc>
      </w:tr>
      <w:tr>
        <w:tc>
          <w:tcPr>
            <w:tcW w:type="dxa" w:w="2434"/>
            <w:tcMar>
              <w:top w:type="dxa" w:w="70"/>
              <w:left w:type="dxa" w:w="100"/>
              <w:bottom w:type="dxa" w:w="70"/>
              <w:right w:type="dxa" w:w="100"/>
            </w:tcMar>
          </w:tcPr>
          <w:p>
            <w:r>
              <w:rPr>
                <w:b w:val="false"/>
                <w:bCs w:val="false"/>
                <w:sz w:val="18"/>
                <w:szCs w:val="18"/>
              </w:rPr>
              <w:t xml:space="preserve">10. Native mobile companion apps (doctor + patient)</w:t>
            </w:r>
          </w:p>
        </w:tc>
        <w:tc>
          <w:tcPr>
            <w:tcW w:type="dxa" w:w="2246"/>
            <w:tcMar>
              <w:top w:type="dxa" w:w="70"/>
              <w:left w:type="dxa" w:w="100"/>
              <w:bottom w:type="dxa" w:w="70"/>
              <w:right w:type="dxa" w:w="100"/>
            </w:tcMar>
          </w:tcPr>
          <w:p>
            <w:r>
              <w:rPr>
                <w:b w:val="false"/>
                <w:bCs w:val="false"/>
                <w:sz w:val="18"/>
                <w:szCs w:val="18"/>
              </w:rPr>
              <w:t xml:space="preserve">The single largest capability gap surfaced by this whole comparison — we have no mobile channel at all.</w:t>
            </w:r>
          </w:p>
        </w:tc>
        <w:tc>
          <w:tcPr>
            <w:tcW w:type="dxa" w:w="1685"/>
            <w:tcMar>
              <w:top w:type="dxa" w:w="70"/>
              <w:left w:type="dxa" w:w="100"/>
              <w:bottom w:type="dxa" w:w="70"/>
              <w:right w:type="dxa" w:w="100"/>
            </w:tcMar>
          </w:tcPr>
          <w:p>
            <w:r>
              <w:rPr>
                <w:b w:val="false"/>
                <w:bCs w:val="false"/>
                <w:sz w:val="18"/>
                <w:szCs w:val="18"/>
              </w:rPr>
              <w:t xml:space="preserve">Web SPA only, every role.</w:t>
            </w:r>
          </w:p>
        </w:tc>
        <w:tc>
          <w:tcPr>
            <w:tcW w:type="dxa" w:w="2246"/>
            <w:tcMar>
              <w:top w:type="dxa" w:w="70"/>
              <w:left w:type="dxa" w:w="100"/>
              <w:bottom w:type="dxa" w:w="70"/>
              <w:right w:type="dxa" w:w="100"/>
            </w:tcMar>
          </w:tcPr>
          <w:p>
            <w:r>
              <w:rPr>
                <w:b w:val="false"/>
                <w:bCs w:val="false"/>
                <w:sz w:val="18"/>
                <w:szCs w:val="18"/>
              </w:rPr>
              <w:t xml:space="preserve">Scope a proper mobile app built against our existing real backend and RBAC — not a rebuild of the reference apps' generic-CRM approach — starting with the two highest-value flows: doctor queue glance + fast visit completion, and patient booking + Documents hub + Care Tasks.</w:t>
            </w:r>
          </w:p>
        </w:tc>
        <w:tc>
          <w:tcPr>
            <w:tcW w:type="dxa" w:w="749"/>
            <w:tcMar>
              <w:top w:type="dxa" w:w="70"/>
              <w:left w:type="dxa" w:w="100"/>
              <w:bottom w:type="dxa" w:w="70"/>
              <w:right w:type="dxa" w:w="100"/>
            </w:tcMar>
          </w:tcPr>
          <w:p>
            <w:r>
              <w:rPr>
                <w:b w:val="false"/>
                <w:bCs w:val="false"/>
                <w:sz w:val="18"/>
                <w:szCs w:val="18"/>
              </w:rPr>
              <w:t xml:space="preserve">P3</w:t>
            </w:r>
          </w:p>
        </w:tc>
      </w:tr>
    </w:tbl>
    <w:p>
      <w:pPr>
        <w:pStyle w:val="Heading2"/>
        <w:spacing w:after="150" w:before="300"/>
      </w:pPr>
      <w:r>
        <w:t xml:space="preserve">TOP 10 THINGS WE SHOULD BORROW + SIGNIFICANTLY REDESIGN</w:t>
      </w:r>
    </w:p>
    <w:p>
      <w:pPr>
        <w:spacing w:after="160"/>
      </w:pPr>
      <w:r>
        <w:t xml:space="preserve">Note: the reference material's actual designs are, on inspection, too thin (mocked, unpersisted, or architecturally unsound) to supply ten distinct items that are simultaneously valuable AND require significant redesign rather than simply not being copied at all. The honest list is five — padding it to ten would violate this report's own instruction not to force a checklist. Each of these is a case where the underlying idea is worth having but the reference's specific approach must be substantially rebuilt, not lightly adapted.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E2761" w:val="clear"/>
            <w:tcMar>
              <w:top w:type="dxa" w:w="80"/>
              <w:left w:type="dxa" w:w="100"/>
              <w:bottom w:type="dxa" w:w="80"/>
              <w:right w:type="dxa" w:w="100"/>
            </w:tcMar>
          </w:tcPr>
          <w:p>
            <w:r>
              <w:rPr>
                <w:b/>
                <w:bCs/>
                <w:color w:val="FFFFFF"/>
                <w:sz w:val="18"/>
                <w:szCs w:val="18"/>
              </w:rPr>
              <w:t xml:space="preserve">Concept</w:t>
            </w:r>
          </w:p>
        </w:tc>
        <w:tc>
          <w:tcPr>
            <w:tcW w:type="dxa" w:w="7301"/>
            <w:shd w:fill="1E2761" w:val="clear"/>
            <w:tcMar>
              <w:top w:type="dxa" w:w="80"/>
              <w:left w:type="dxa" w:w="100"/>
              <w:bottom w:type="dxa" w:w="80"/>
              <w:right w:type="dxa" w:w="100"/>
            </w:tcMar>
          </w:tcPr>
          <w:p>
            <w:r>
              <w:rPr>
                <w:b/>
                <w:bCs/>
                <w:color w:val="FFFFFF"/>
                <w:sz w:val="18"/>
                <w:szCs w:val="18"/>
              </w:rPr>
              <w:t xml:space="preserve">What to Keep vs. Discard vs. Redesign</w:t>
            </w:r>
          </w:p>
        </w:tc>
      </w:tr>
      <w:tr>
        <w:tc>
          <w:tcPr>
            <w:tcW w:type="dxa" w:w="2059"/>
            <w:tcMar>
              <w:top w:type="dxa" w:w="70"/>
              <w:left w:type="dxa" w:w="100"/>
              <w:bottom w:type="dxa" w:w="70"/>
              <w:right w:type="dxa" w:w="100"/>
            </w:tcMar>
          </w:tcPr>
          <w:p>
            <w:r>
              <w:rPr>
                <w:b w:val="false"/>
                <w:bCs w:val="false"/>
                <w:sz w:val="18"/>
                <w:szCs w:val="18"/>
              </w:rPr>
              <w:t xml:space="preserve">Biometric/PIN re-auth</w:t>
            </w:r>
          </w:p>
        </w:tc>
        <w:tc>
          <w:tcPr>
            <w:tcW w:type="dxa" w:w="7301"/>
            <w:tcMar>
              <w:top w:type="dxa" w:w="70"/>
              <w:left w:type="dxa" w:w="100"/>
              <w:bottom w:type="dxa" w:w="70"/>
              <w:right w:type="dxa" w:w="100"/>
            </w:tcMar>
          </w:tcPr>
          <w:p>
            <w:r>
              <w:rPr>
                <w:b w:val="false"/>
                <w:bCs w:val="false"/>
                <w:sz w:val="18"/>
                <w:szCs w:val="18"/>
              </w:rPr>
              <w:t xml:space="preserve">Keep: fast re-login on a trusted device. Discard entirely: plaintext PIN storage, PIN-replayed-as-password, no token expiry. Redesign: SecureStore-backed refresh token behind a biometric/PIN local gate; the PIN never leaves the device or touches a network call.</w:t>
            </w:r>
          </w:p>
        </w:tc>
      </w:tr>
      <w:tr>
        <w:tc>
          <w:tcPr>
            <w:tcW w:type="dxa" w:w="2059"/>
            <w:tcMar>
              <w:top w:type="dxa" w:w="70"/>
              <w:left w:type="dxa" w:w="100"/>
              <w:bottom w:type="dxa" w:w="70"/>
              <w:right w:type="dxa" w:w="100"/>
            </w:tcMar>
          </w:tcPr>
          <w:p>
            <w:r>
              <w:rPr>
                <w:b w:val="false"/>
                <w:bCs w:val="false"/>
                <w:sz w:val="18"/>
                <w:szCs w:val="18"/>
              </w:rPr>
              <w:t xml:space="preserve">“My Activities” / task assignment</w:t>
            </w:r>
          </w:p>
        </w:tc>
        <w:tc>
          <w:tcPr>
            <w:tcW w:type="dxa" w:w="7301"/>
            <w:tcMar>
              <w:top w:type="dxa" w:w="70"/>
              <w:left w:type="dxa" w:w="100"/>
              <w:bottom w:type="dxa" w:w="70"/>
              <w:right w:type="dxa" w:w="100"/>
            </w:tcMar>
          </w:tcPr>
          <w:p>
            <w:r>
              <w:rPr>
                <w:b w:val="false"/>
                <w:bCs w:val="false"/>
                <w:sz w:val="18"/>
                <w:szCs w:val="18"/>
              </w:rPr>
              <w:t xml:space="preserve">Keep: assign-and-track-completion concept. Discard entirely: three near-duplicate mock forms, in-memory-only storage, a confirmed type-classification bug. Redesign: one real feature built on apps.tasks, patient-facing, server-persisted, tied to real encounters rather than a generic CRM “task.”</w:t>
            </w:r>
          </w:p>
        </w:tc>
      </w:tr>
      <w:tr>
        <w:tc>
          <w:tcPr>
            <w:tcW w:type="dxa" w:w="2059"/>
            <w:tcMar>
              <w:top w:type="dxa" w:w="70"/>
              <w:left w:type="dxa" w:w="100"/>
              <w:bottom w:type="dxa" w:w="70"/>
              <w:right w:type="dxa" w:w="100"/>
            </w:tcMar>
          </w:tcPr>
          <w:p>
            <w:r>
              <w:rPr>
                <w:b w:val="false"/>
                <w:bCs w:val="false"/>
                <w:sz w:val="18"/>
                <w:szCs w:val="18"/>
              </w:rPr>
              <w:t xml:space="preserve">Documents hub</w:t>
            </w:r>
          </w:p>
        </w:tc>
        <w:tc>
          <w:tcPr>
            <w:tcW w:type="dxa" w:w="7301"/>
            <w:tcMar>
              <w:top w:type="dxa" w:w="70"/>
              <w:left w:type="dxa" w:w="100"/>
              <w:bottom w:type="dxa" w:w="70"/>
              <w:right w:type="dxa" w:w="100"/>
            </w:tcMar>
          </w:tcPr>
          <w:p>
            <w:r>
              <w:rPr>
                <w:b w:val="false"/>
                <w:bCs w:val="false"/>
                <w:sz w:val="18"/>
                <w:szCs w:val="18"/>
              </w:rPr>
              <w:t xml:space="preserve">Keep: type-tile landing page, only-show-what-exists filtering. Discard: treating everything as an undifferentiated “document” with no structured data behind it. Redesign: keep our structured Prescription/LabReport/Invoice models as the source of truth; the hub is a navigation layer on top, not a replacement data model.</w:t>
            </w:r>
          </w:p>
        </w:tc>
      </w:tr>
      <w:tr>
        <w:tc>
          <w:tcPr>
            <w:tcW w:type="dxa" w:w="2059"/>
            <w:tcMar>
              <w:top w:type="dxa" w:w="70"/>
              <w:left w:type="dxa" w:w="100"/>
              <w:bottom w:type="dxa" w:w="70"/>
              <w:right w:type="dxa" w:w="100"/>
            </w:tcMar>
          </w:tcPr>
          <w:p>
            <w:r>
              <w:rPr>
                <w:b w:val="false"/>
                <w:bCs w:val="false"/>
                <w:sz w:val="18"/>
                <w:szCs w:val="18"/>
              </w:rPr>
              <w:t xml:space="preserve">Tenant/company selection for mobile</w:t>
            </w:r>
          </w:p>
        </w:tc>
        <w:tc>
          <w:tcPr>
            <w:tcW w:type="dxa" w:w="7301"/>
            <w:tcMar>
              <w:top w:type="dxa" w:w="70"/>
              <w:left w:type="dxa" w:w="100"/>
              <w:bottom w:type="dxa" w:w="70"/>
              <w:right w:type="dxa" w:w="100"/>
            </w:tcMar>
          </w:tcPr>
          <w:p>
            <w:r>
              <w:rPr>
                <w:b w:val="false"/>
                <w:bCs w:val="false"/>
                <w:sz w:val="18"/>
                <w:szCs w:val="18"/>
              </w:rPr>
              <w:t xml:space="preserve">Keep: a selectable list at login. Discard: an unauthenticated, client-trusted, unvalidated string used for every subsequent request. Redesign: a server-issued, signed tenant claim embedded in the auth token itself, exactly as the web app already does — the mobile app should pick a hospital once, then behave exactly like the web session does today.</w:t>
            </w:r>
          </w:p>
        </w:tc>
      </w:tr>
      <w:tr>
        <w:tc>
          <w:tcPr>
            <w:tcW w:type="dxa" w:w="2059"/>
            <w:tcMar>
              <w:top w:type="dxa" w:w="70"/>
              <w:left w:type="dxa" w:w="100"/>
              <w:bottom w:type="dxa" w:w="70"/>
              <w:right w:type="dxa" w:w="100"/>
            </w:tcMar>
          </w:tcPr>
          <w:p>
            <w:r>
              <w:rPr>
                <w:b w:val="false"/>
                <w:bCs w:val="false"/>
                <w:sz w:val="18"/>
                <w:szCs w:val="18"/>
              </w:rPr>
              <w:t xml:space="preserve">Diagnostic test ordering priority</w:t>
            </w:r>
          </w:p>
        </w:tc>
        <w:tc>
          <w:tcPr>
            <w:tcW w:type="dxa" w:w="7301"/>
            <w:tcMar>
              <w:top w:type="dxa" w:w="70"/>
              <w:left w:type="dxa" w:w="100"/>
              <w:bottom w:type="dxa" w:w="70"/>
              <w:right w:type="dxa" w:w="100"/>
            </w:tcMar>
          </w:tcPr>
          <w:p>
            <w:r>
              <w:rPr>
                <w:b w:val="false"/>
                <w:bCs w:val="false"/>
                <w:sz w:val="18"/>
                <w:szCs w:val="18"/>
              </w:rPr>
              <w:t xml:space="preserve">Keep: category → tests → priority shape. Discard: a UI field that is silently never submitted. Redesign: make urgency a first-class, validated, persisted field from day one, not an afterthought bolted onto an existing form.</w:t>
            </w:r>
          </w:p>
        </w:tc>
      </w:tr>
    </w:tbl>
    <w:p>
      <w:pPr>
        <w:pStyle w:val="Heading2"/>
        <w:spacing w:after="150" w:before="300"/>
      </w:pPr>
      <w:r>
        <w:t xml:space="preserve">TOP 10 THINGS WE SHOULD NOT BORROW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E2761" w:val="clear"/>
            <w:tcMar>
              <w:top w:type="dxa" w:w="80"/>
              <w:left w:type="dxa" w:w="100"/>
              <w:bottom w:type="dxa" w:w="80"/>
              <w:right w:type="dxa" w:w="100"/>
            </w:tcMar>
          </w:tcPr>
          <w:p>
            <w:r>
              <w:rPr>
                <w:b/>
                <w:bCs/>
                <w:color w:val="FFFFFF"/>
                <w:sz w:val="18"/>
                <w:szCs w:val="18"/>
              </w:rPr>
              <w:t xml:space="preserve">Item</w:t>
            </w:r>
          </w:p>
        </w:tc>
        <w:tc>
          <w:tcPr>
            <w:tcW w:type="dxa" w:w="6552"/>
            <w:shd w:fill="1E2761" w:val="clear"/>
            <w:tcMar>
              <w:top w:type="dxa" w:w="80"/>
              <w:left w:type="dxa" w:w="100"/>
              <w:bottom w:type="dxa" w:w="80"/>
              <w:right w:type="dxa" w:w="100"/>
            </w:tcMar>
          </w:tcPr>
          <w:p>
            <w:r>
              <w:rPr>
                <w:b/>
                <w:bCs/>
                <w:color w:val="FFFFFF"/>
                <w:sz w:val="18"/>
                <w:szCs w:val="18"/>
              </w:rPr>
              <w:t xml:space="preserve">Why</w:t>
            </w:r>
          </w:p>
        </w:tc>
      </w:tr>
      <w:tr>
        <w:tc>
          <w:tcPr>
            <w:tcW w:type="dxa" w:w="2808"/>
            <w:tcMar>
              <w:top w:type="dxa" w:w="70"/>
              <w:left w:type="dxa" w:w="100"/>
              <w:bottom w:type="dxa" w:w="70"/>
              <w:right w:type="dxa" w:w="100"/>
            </w:tcMar>
          </w:tcPr>
          <w:p>
            <w:r>
              <w:rPr>
                <w:b w:val="false"/>
                <w:bCs w:val="false"/>
                <w:sz w:val="18"/>
                <w:szCs w:val="18"/>
              </w:rPr>
              <w:t xml:space="preserve">Plaintext PIN storage + replay as a live password</w:t>
            </w:r>
          </w:p>
        </w:tc>
        <w:tc>
          <w:tcPr>
            <w:tcW w:type="dxa" w:w="6552"/>
            <w:tcMar>
              <w:top w:type="dxa" w:w="70"/>
              <w:left w:type="dxa" w:w="100"/>
              <w:bottom w:type="dxa" w:w="70"/>
              <w:right w:type="dxa" w:w="100"/>
            </w:tcMar>
          </w:tcPr>
          <w:p>
            <w:r>
              <w:rPr>
                <w:b w:val="false"/>
                <w:bCs w:val="false"/>
                <w:sz w:val="18"/>
                <w:szCs w:val="18"/>
              </w:rPr>
              <w:t xml:space="preserve">The single largest security defect identified in either report; actively dangerous to copy.</w:t>
            </w:r>
          </w:p>
        </w:tc>
      </w:tr>
      <w:tr>
        <w:tc>
          <w:tcPr>
            <w:tcW w:type="dxa" w:w="2808"/>
            <w:tcMar>
              <w:top w:type="dxa" w:w="70"/>
              <w:left w:type="dxa" w:w="100"/>
              <w:bottom w:type="dxa" w:w="70"/>
              <w:right w:type="dxa" w:w="100"/>
            </w:tcMar>
          </w:tcPr>
          <w:p>
            <w:r>
              <w:rPr>
                <w:b w:val="false"/>
                <w:bCs w:val="false"/>
                <w:sz w:val="18"/>
                <w:szCs w:val="18"/>
              </w:rPr>
              <w:t xml:space="preserve">Client-supplied, token-unverified tenant selection</w:t>
            </w:r>
          </w:p>
        </w:tc>
        <w:tc>
          <w:tcPr>
            <w:tcW w:type="dxa" w:w="6552"/>
            <w:tcMar>
              <w:top w:type="dxa" w:w="70"/>
              <w:left w:type="dxa" w:w="100"/>
              <w:bottom w:type="dxa" w:w="70"/>
              <w:right w:type="dxa" w:w="100"/>
            </w:tcMar>
          </w:tcPr>
          <w:p>
            <w:r>
              <w:rPr>
                <w:b w:val="false"/>
                <w:bCs w:val="false"/>
                <w:sz w:val="18"/>
                <w:szCs w:val="18"/>
              </w:rPr>
              <w:t xml:space="preserve">Undermines the exact data-isolation guarantee our multi-tenant architecture is built around.</w:t>
            </w:r>
          </w:p>
        </w:tc>
      </w:tr>
      <w:tr>
        <w:tc>
          <w:tcPr>
            <w:tcW w:type="dxa" w:w="2808"/>
            <w:tcMar>
              <w:top w:type="dxa" w:w="70"/>
              <w:left w:type="dxa" w:w="100"/>
              <w:bottom w:type="dxa" w:w="70"/>
              <w:right w:type="dxa" w:w="100"/>
            </w:tcMar>
          </w:tcPr>
          <w:p>
            <w:r>
              <w:rPr>
                <w:b w:val="false"/>
                <w:bCs w:val="false"/>
                <w:sz w:val="18"/>
                <w:szCs w:val="18"/>
              </w:rPr>
              <w:t xml:space="preserve">Generic CRM/ERP schema repurposed for clinical concepts</w:t>
            </w:r>
          </w:p>
        </w:tc>
        <w:tc>
          <w:tcPr>
            <w:tcW w:type="dxa" w:w="6552"/>
            <w:tcMar>
              <w:top w:type="dxa" w:w="70"/>
              <w:left w:type="dxa" w:w="100"/>
              <w:bottom w:type="dxa" w:w="70"/>
              <w:right w:type="dxa" w:w="100"/>
            </w:tcMar>
          </w:tcPr>
          <w:p>
            <w:r>
              <w:rPr>
                <w:b w:val="false"/>
                <w:bCs w:val="false"/>
                <w:sz w:val="18"/>
                <w:szCs w:val="18"/>
              </w:rPr>
              <w:t xml:space="preserve">Directly responsible for multiple confirmed bugs in the reference's own audit; our purpose-built schema is strictly better.</w:t>
            </w:r>
          </w:p>
        </w:tc>
      </w:tr>
      <w:tr>
        <w:tc>
          <w:tcPr>
            <w:tcW w:type="dxa" w:w="2808"/>
            <w:tcMar>
              <w:top w:type="dxa" w:w="70"/>
              <w:left w:type="dxa" w:w="100"/>
              <w:bottom w:type="dxa" w:w="70"/>
              <w:right w:type="dxa" w:w="100"/>
            </w:tcMar>
          </w:tcPr>
          <w:p>
            <w:r>
              <w:rPr>
                <w:b w:val="false"/>
                <w:bCs w:val="false"/>
                <w:sz w:val="18"/>
                <w:szCs w:val="18"/>
              </w:rPr>
              <w:t xml:space="preserve">Shipping fully-designed but unwired screens (In-Patient detail, Surgery detail)</w:t>
            </w:r>
          </w:p>
        </w:tc>
        <w:tc>
          <w:tcPr>
            <w:tcW w:type="dxa" w:w="6552"/>
            <w:tcMar>
              <w:top w:type="dxa" w:w="70"/>
              <w:left w:type="dxa" w:w="100"/>
              <w:bottom w:type="dxa" w:w="70"/>
              <w:right w:type="dxa" w:w="100"/>
            </w:tcMar>
          </w:tcPr>
          <w:p>
            <w:r>
              <w:rPr>
                <w:b w:val="false"/>
                <w:bCs w:val="false"/>
                <w:sz w:val="18"/>
                <w:szCs w:val="18"/>
              </w:rPr>
              <w:t xml:space="preserve">Both apps demonstrate this becoming permanent scaffolding rather than a temporary state; a discipline to avoid, not a design to copy.</w:t>
            </w:r>
          </w:p>
        </w:tc>
      </w:tr>
      <w:tr>
        <w:tc>
          <w:tcPr>
            <w:tcW w:type="dxa" w:w="2808"/>
            <w:tcMar>
              <w:top w:type="dxa" w:w="70"/>
              <w:left w:type="dxa" w:w="100"/>
              <w:bottom w:type="dxa" w:w="70"/>
              <w:right w:type="dxa" w:w="100"/>
            </w:tcMar>
          </w:tcPr>
          <w:p>
            <w:r>
              <w:rPr>
                <w:b w:val="false"/>
                <w:bCs w:val="false"/>
                <w:sz w:val="18"/>
                <w:szCs w:val="18"/>
              </w:rPr>
              <w:t xml:space="preserve">Duplicate/parallel implementations of the same flow (two login code paths)</w:t>
            </w:r>
          </w:p>
        </w:tc>
        <w:tc>
          <w:tcPr>
            <w:tcW w:type="dxa" w:w="6552"/>
            <w:tcMar>
              <w:top w:type="dxa" w:w="70"/>
              <w:left w:type="dxa" w:w="100"/>
              <w:bottom w:type="dxa" w:w="70"/>
              <w:right w:type="dxa" w:w="100"/>
            </w:tcMar>
          </w:tcPr>
          <w:p>
            <w:r>
              <w:rPr>
                <w:b w:val="false"/>
                <w:bCs w:val="false"/>
                <w:sz w:val="18"/>
                <w:szCs w:val="18"/>
              </w:rPr>
              <w:t xml:space="preserve">Confirmed to have already drifted apart in the reference apps; a maintainability trap with no offsetting benefit.</w:t>
            </w:r>
          </w:p>
        </w:tc>
      </w:tr>
      <w:tr>
        <w:tc>
          <w:tcPr>
            <w:tcW w:type="dxa" w:w="2808"/>
            <w:tcMar>
              <w:top w:type="dxa" w:w="70"/>
              <w:left w:type="dxa" w:w="100"/>
              <w:bottom w:type="dxa" w:w="70"/>
              <w:right w:type="dxa" w:w="100"/>
            </w:tcMar>
          </w:tcPr>
          <w:p>
            <w:r>
              <w:rPr>
                <w:b w:val="false"/>
                <w:bCs w:val="false"/>
                <w:sz w:val="18"/>
                <w:szCs w:val="18"/>
              </w:rPr>
              <w:t xml:space="preserve">Hardcoded fee/rating display divorced from the real record</w:t>
            </w:r>
          </w:p>
        </w:tc>
        <w:tc>
          <w:tcPr>
            <w:tcW w:type="dxa" w:w="6552"/>
            <w:tcMar>
              <w:top w:type="dxa" w:w="70"/>
              <w:left w:type="dxa" w:w="100"/>
              <w:bottom w:type="dxa" w:w="70"/>
              <w:right w:type="dxa" w:w="100"/>
            </w:tcMar>
          </w:tcPr>
          <w:p>
            <w:r>
              <w:rPr>
                <w:b w:val="false"/>
                <w:bCs w:val="false"/>
                <w:sz w:val="18"/>
                <w:szCs w:val="18"/>
              </w:rPr>
              <w:t xml:space="preserve">Actively misleading in a billing context; our fee-from-record approach is already correct.</w:t>
            </w:r>
          </w:p>
        </w:tc>
      </w:tr>
      <w:tr>
        <w:tc>
          <w:tcPr>
            <w:tcW w:type="dxa" w:w="2808"/>
            <w:tcMar>
              <w:top w:type="dxa" w:w="70"/>
              <w:left w:type="dxa" w:w="100"/>
              <w:bottom w:type="dxa" w:w="70"/>
              <w:right w:type="dxa" w:w="100"/>
            </w:tcMar>
          </w:tcPr>
          <w:p>
            <w:r>
              <w:rPr>
                <w:b w:val="false"/>
                <w:bCs w:val="false"/>
                <w:sz w:val="18"/>
                <w:szCs w:val="18"/>
              </w:rPr>
              <w:t xml:space="preserve">Logging the raw bearer token to console</w:t>
            </w:r>
          </w:p>
        </w:tc>
        <w:tc>
          <w:tcPr>
            <w:tcW w:type="dxa" w:w="6552"/>
            <w:tcMar>
              <w:top w:type="dxa" w:w="70"/>
              <w:left w:type="dxa" w:w="100"/>
              <w:bottom w:type="dxa" w:w="70"/>
              <w:right w:type="dxa" w:w="100"/>
            </w:tcMar>
          </w:tcPr>
          <w:p>
            <w:r>
              <w:rPr>
                <w:b w:val="false"/>
                <w:bCs w:val="false"/>
                <w:sz w:val="18"/>
                <w:szCs w:val="18"/>
              </w:rPr>
              <w:t xml:space="preserve">A live credential leak; no version of this belongs in shipped code.</w:t>
            </w:r>
          </w:p>
        </w:tc>
      </w:tr>
      <w:tr>
        <w:tc>
          <w:tcPr>
            <w:tcW w:type="dxa" w:w="2808"/>
            <w:tcMar>
              <w:top w:type="dxa" w:w="70"/>
              <w:left w:type="dxa" w:w="100"/>
              <w:bottom w:type="dxa" w:w="70"/>
              <w:right w:type="dxa" w:w="100"/>
            </w:tcMar>
          </w:tcPr>
          <w:p>
            <w:r>
              <w:rPr>
                <w:b w:val="false"/>
                <w:bCs w:val="false"/>
                <w:sz w:val="18"/>
                <w:szCs w:val="18"/>
              </w:rPr>
              <w:t xml:space="preserve">No RBAC / single implicit role</w:t>
            </w:r>
          </w:p>
        </w:tc>
        <w:tc>
          <w:tcPr>
            <w:tcW w:type="dxa" w:w="6552"/>
            <w:tcMar>
              <w:top w:type="dxa" w:w="70"/>
              <w:left w:type="dxa" w:w="100"/>
              <w:bottom w:type="dxa" w:w="70"/>
              <w:right w:type="dxa" w:w="100"/>
            </w:tcMar>
          </w:tcPr>
          <w:p>
            <w:r>
              <w:rPr>
                <w:b w:val="false"/>
                <w:bCs w:val="false"/>
                <w:sz w:val="18"/>
                <w:szCs w:val="18"/>
              </w:rPr>
              <w:t xml:space="preserve">A regression from where our HMS already is; nothing to gain by simplifying toward this.</w:t>
            </w:r>
          </w:p>
        </w:tc>
      </w:tr>
      <w:tr>
        <w:tc>
          <w:tcPr>
            <w:tcW w:type="dxa" w:w="2808"/>
            <w:tcMar>
              <w:top w:type="dxa" w:w="70"/>
              <w:left w:type="dxa" w:w="100"/>
              <w:bottom w:type="dxa" w:w="70"/>
              <w:right w:type="dxa" w:w="100"/>
            </w:tcMar>
          </w:tcPr>
          <w:p>
            <w:r>
              <w:rPr>
                <w:b w:val="false"/>
                <w:bCs w:val="false"/>
                <w:sz w:val="18"/>
                <w:szCs w:val="18"/>
              </w:rPr>
              <w:t xml:space="preserve">No refresh-token / token-expiry handling</w:t>
            </w:r>
          </w:p>
        </w:tc>
        <w:tc>
          <w:tcPr>
            <w:tcW w:type="dxa" w:w="6552"/>
            <w:tcMar>
              <w:top w:type="dxa" w:w="70"/>
              <w:left w:type="dxa" w:w="100"/>
              <w:bottom w:type="dxa" w:w="70"/>
              <w:right w:type="dxa" w:w="100"/>
            </w:tcMar>
          </w:tcPr>
          <w:p>
            <w:r>
              <w:rPr>
                <w:b w:val="false"/>
                <w:bCs w:val="false"/>
                <w:sz w:val="18"/>
                <w:szCs w:val="18"/>
              </w:rPr>
              <w:t xml:space="preserve">A security and correctness gap with no compensating simplicity benefit worth the risk.</w:t>
            </w:r>
          </w:p>
        </w:tc>
      </w:tr>
      <w:tr>
        <w:tc>
          <w:tcPr>
            <w:tcW w:type="dxa" w:w="2808"/>
            <w:tcMar>
              <w:top w:type="dxa" w:w="70"/>
              <w:left w:type="dxa" w:w="100"/>
              <w:bottom w:type="dxa" w:w="70"/>
              <w:right w:type="dxa" w:w="100"/>
            </w:tcMar>
          </w:tcPr>
          <w:p>
            <w:r>
              <w:rPr>
                <w:b w:val="false"/>
                <w:bCs w:val="false"/>
                <w:sz w:val="18"/>
                <w:szCs w:val="18"/>
              </w:rPr>
              <w:t xml:space="preserve">Client-side defensive re-filtering as a substitute for server-side scoping</w:t>
            </w:r>
          </w:p>
        </w:tc>
        <w:tc>
          <w:tcPr>
            <w:tcW w:type="dxa" w:w="6552"/>
            <w:tcMar>
              <w:top w:type="dxa" w:w="70"/>
              <w:left w:type="dxa" w:w="100"/>
              <w:bottom w:type="dxa" w:w="70"/>
              <w:right w:type="dxa" w:w="100"/>
            </w:tcMar>
          </w:tcPr>
          <w:p>
            <w:r>
              <w:rPr>
                <w:b w:val="false"/>
                <w:bCs w:val="false"/>
                <w:sz w:val="18"/>
                <w:szCs w:val="18"/>
              </w:rPr>
              <w:t xml:space="preserve">Masks rather than fixes an authorization concern; the correct fix is always the server query, never a client-side filter.</w:t>
            </w:r>
          </w:p>
        </w:tc>
      </w:tr>
    </w:tbl>
    <w:p>
      <w:r>
        <w:br w:type="page"/>
      </w:r>
    </w:p>
    <w:p>
      <w:pPr>
        <w:pStyle w:val="Heading1"/>
        <w:spacing w:after="200" w:before="400"/>
      </w:pPr>
      <w:r>
        <w:t xml:space="preserve">15. Architect's Final Recommendation</w:t>
      </w:r>
    </w:p>
    <w:p>
      <w:pPr>
        <w:spacing w:after="160"/>
      </w:pPr>
      <w:r>
        <w:t xml:space="preserve">If I were the product architect for this Clinical HMS, having studied both systems in depth, here is what I would actually do.</w:t>
      </w:r>
    </w:p>
    <w:p>
      <w:pPr>
        <w:pStyle w:val="Heading2"/>
        <w:spacing w:after="150" w:before="300"/>
      </w:pPr>
      <w:r>
        <w:t xml:space="preserve">1. What to add</w:t>
      </w:r>
    </w:p>
    <w:p>
      <w:pPr>
        <w:pStyle w:val="ListParagraph"/>
        <w:numPr>
          <w:ilvl w:val="0"/>
          <w:numId w:val="1"/>
        </w:numPr>
        <w:spacing w:after="80"/>
      </w:pPr>
      <w:r>
        <w:t xml:space="preserve">A real, patient-facing Care/Follow-up Tasks feature built on the existing apps.tasks backend — the single highest-leverage recommendation in this report, because the hard part (a correct, real backend) is already done and simply unused.</w:t>
      </w:r>
    </w:p>
    <w:p>
      <w:pPr>
        <w:pStyle w:val="ListParagraph"/>
        <w:numPr>
          <w:ilvl w:val="0"/>
          <w:numId w:val="1"/>
        </w:numPr>
        <w:spacing w:after="80"/>
      </w:pPr>
      <w:r>
        <w:t xml:space="preserve">A LabRequest urgency field. Small, cheap, clinically real.</w:t>
      </w:r>
    </w:p>
    <w:p>
      <w:pPr>
        <w:pStyle w:val="ListParagraph"/>
        <w:numPr>
          <w:ilvl w:val="0"/>
          <w:numId w:val="1"/>
        </w:numPr>
        <w:spacing w:after="80"/>
      </w:pPr>
      <w:r>
        <w:t xml:space="preserve">An .ics/add-to-calendar action on booking confirmation.</w:t>
      </w:r>
    </w:p>
    <w:p>
      <w:pPr>
        <w:pStyle w:val="Heading2"/>
        <w:spacing w:after="150" w:before="300"/>
      </w:pPr>
      <w:r>
        <w:t xml:space="preserve">2. What to improve</w:t>
      </w:r>
    </w:p>
    <w:p>
      <w:pPr>
        <w:pStyle w:val="ListParagraph"/>
        <w:numPr>
          <w:ilvl w:val="0"/>
          <w:numId w:val="1"/>
        </w:numPr>
        <w:spacing w:after="80"/>
      </w:pPr>
      <w:r>
        <w:t xml:space="preserve">The patient portal's document navigation — consolidate Prescriptions/Bills/Vaccination-records behind a single type-tile hub, reusing existing data with a light new category concept layered on top.</w:t>
      </w:r>
    </w:p>
    <w:p>
      <w:pPr>
        <w:pStyle w:val="ListParagraph"/>
        <w:numPr>
          <w:ilvl w:val="0"/>
          <w:numId w:val="1"/>
        </w:numPr>
        <w:spacing w:after="80"/>
      </w:pPr>
      <w:r>
        <w:t xml:space="preserve">The doctor's visit-completion flow for the specific case of a simple follow-up — add a fast path without weakening the structured record for everything else.</w:t>
      </w:r>
    </w:p>
    <w:p>
      <w:pPr>
        <w:pStyle w:val="Heading2"/>
        <w:spacing w:after="150" w:before="300"/>
      </w:pPr>
      <w:r>
        <w:t xml:space="preserve">3. What to redesign</w:t>
      </w:r>
    </w:p>
    <w:p>
      <w:pPr>
        <w:pStyle w:val="ListParagraph"/>
        <w:numPr>
          <w:ilvl w:val="0"/>
          <w:numId w:val="1"/>
        </w:numPr>
        <w:spacing w:after="80"/>
      </w:pPr>
      <w:r>
        <w:t xml:space="preserve">Nothing in our existing HMS needs to be redesigned because of this comparison — the reference material's own patterns (Section 14's redesign list) are what would need redesigning if any of them were adopted naively. Our current architecture (server-derived tenancy, purpose-built clinical schema, real RBAC) comes out of this comparison validated, not challenged.</w:t>
      </w:r>
    </w:p>
    <w:p>
      <w:pPr>
        <w:pStyle w:val="Heading2"/>
        <w:spacing w:after="150" w:before="300"/>
      </w:pPr>
      <w:r>
        <w:t xml:space="preserve">4. What to ignore</w:t>
      </w:r>
    </w:p>
    <w:p>
      <w:pPr>
        <w:pStyle w:val="ListParagraph"/>
        <w:numPr>
          <w:ilvl w:val="0"/>
          <w:numId w:val="1"/>
        </w:numPr>
        <w:spacing w:after="80"/>
      </w:pPr>
      <w:r>
        <w:t xml:space="preserve">Almost everything else in both reference apps: the mocked In-Patient/Surgery screens, the generic-CRM data model, the plaintext-PIN auth pattern, the ad carousel/quick-menu home screen, the two-domain API split, and any notion that this reference material represents a more mature clinical system. On the evidence gathered, it does not.</w:t>
      </w:r>
    </w:p>
    <w:p>
      <w:pPr>
        <w:pStyle w:val="Heading2"/>
        <w:spacing w:after="150" w:before="300"/>
      </w:pPr>
      <w:r>
        <w:t xml:space="preserve">5. What new workflows it suggests</w:t>
      </w:r>
    </w:p>
    <w:p>
      <w:pPr>
        <w:pStyle w:val="ListParagraph"/>
        <w:numPr>
          <w:ilvl w:val="0"/>
          <w:numId w:val="1"/>
        </w:numPr>
        <w:spacing w:after="80"/>
      </w:pPr>
      <w:r>
        <w:t xml:space="preserve">A closed follow-up loop: encounter → optional structured follow-up tasks → patient completes them in-portal → visible on the patient's next visit. This is the one genuinely new clinical workflow this comparison surfaces, and it did not exist in either system before this analysis — it emerges specifically from combining our idle apps.tasks backend with the reference system's (unbuilt) “My Activities” concept.</w:t>
      </w:r>
    </w:p>
    <w:p>
      <w:pPr>
        <w:pStyle w:val="ListParagraph"/>
        <w:numPr>
          <w:ilvl w:val="0"/>
          <w:numId w:val="1"/>
        </w:numPr>
        <w:spacing w:after="80"/>
      </w:pPr>
      <w:r>
        <w:t xml:space="preserve">A fast-path visit-completion workflow for low-complexity encounters, sitting alongside (not replacing) the full structured OPD flow.</w:t>
      </w:r>
    </w:p>
    <w:p>
      <w:pPr>
        <w:pStyle w:val="Heading2"/>
        <w:spacing w:after="150" w:before="300"/>
      </w:pPr>
      <w:r>
        <w:t xml:space="preserve">6. Next development priorities</w:t>
      </w:r>
    </w:p>
    <w:p>
      <w:pPr>
        <w:pStyle w:val="ListParagraph"/>
        <w:numPr>
          <w:ilvl w:val="0"/>
          <w:numId w:val="1"/>
        </w:numPr>
        <w:spacing w:after="80"/>
      </w:pPr>
      <w:r>
        <w:t xml:space="preserve">Immediate (P0/P1, this quarter): patient Care Tasks on apps.tasks, LabRequest urgency, Documents hub, add-to-calendar.</w:t>
      </w:r>
    </w:p>
    <w:p>
      <w:pPr>
        <w:pStyle w:val="ListParagraph"/>
        <w:numPr>
          <w:ilvl w:val="0"/>
          <w:numId w:val="1"/>
        </w:numPr>
        <w:spacing w:after="80"/>
      </w:pPr>
      <w:r>
        <w:t xml:space="preserve">Near-term (P2): fast-path visit completion, slot-level reschedule labels, document category taxonomy.</w:t>
      </w:r>
    </w:p>
    <w:p>
      <w:pPr>
        <w:pStyle w:val="ListParagraph"/>
        <w:numPr>
          <w:ilvl w:val="0"/>
          <w:numId w:val="1"/>
        </w:numPr>
        <w:spacing w:after="80"/>
      </w:pPr>
      <w:r>
        <w:t xml:space="preserve">Strategic, separately scoped (P3): a native mobile app for doctors and patients, built correctly against the existing backend and RBAC — the largest genuine opportunity this comparison identified, and large enough to deserve its own dedicated scoping exercise rather than being folded into ongoing web-app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mbria" w:cs="Cambria" w:eastAsia="Cambria" w:hAnsi="Cambria"/>
      <w:b/>
      <w:bCs/>
      <w:color w:val="1E2761"/>
      <w:sz w:val="32"/>
      <w:szCs w:val="32"/>
    </w:rPr>
  </w:style>
  <w:style w:type="paragraph" w:styleId="Heading2">
    <w:name w:val="Heading 2"/>
    <w:basedOn w:val="Normal"/>
    <w:next w:val="Normal"/>
    <w:qFormat/>
    <w:pPr>
      <w:spacing w:after="150" w:before="300"/>
    </w:pPr>
    <w:rPr>
      <w:rFonts w:ascii="Cambria" w:cs="Cambria" w:eastAsia="Cambria" w:hAnsi="Cambria"/>
      <w:b/>
      <w:bCs/>
      <w:color w:val="1E2761"/>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2026-09-01T06:45:49.286Z</dcterms:created>
  <dcterms:modified xsi:type="dcterms:W3CDTF">2026-09-01T06:45:49.287Z</dcterms:modified>
</cp:coreProperties>
</file>

<file path=docProps/custom.xml><?xml version="1.0" encoding="utf-8"?>
<Properties xmlns="http://schemas.openxmlformats.org/officeDocument/2006/custom-properties" xmlns:vt="http://schemas.openxmlformats.org/officeDocument/2006/docPropsVTypes"/>
</file>