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Report</w:t>
      </w:r>
    </w:p>
    <w:p>
      <w:r>
        <w:t xml:space="preserve">**รายงานสรุปผลการเก็บภาษี (ปีงบประมาณ 2563‑2569)**  </w:t>
      </w:r>
    </w:p>
    <w:p/>
    <w:p>
      <w:r>
        <w:t>| ปีงบ | รายได้ภาษี (บาท) | การเปลี่ยนแปลงจากปีก่อนหน้า |</w:t>
      </w:r>
    </w:p>
    <w:p>
      <w:r>
        <w:t>|------|-------------------|------------------------------|</w:t>
      </w:r>
    </w:p>
    <w:p>
      <w:r>
        <w:t>| 2563 | 78 483 190 000 | – |</w:t>
      </w:r>
    </w:p>
    <w:p>
      <w:r>
        <w:t>| 2564 | 84 353 270 000 | +7.5 % |</w:t>
      </w:r>
    </w:p>
    <w:p>
      <w:r>
        <w:t>| 2565 | 90 255 630 000 | +7.0 % |</w:t>
      </w:r>
    </w:p>
    <w:p>
      <w:r>
        <w:t>| 2566 | 94 698 100 000 | +4.9 % |</w:t>
      </w:r>
    </w:p>
    <w:p>
      <w:r>
        <w:t>| 2567 | 63 072 840 000 | –33.4 % |</w:t>
      </w:r>
    </w:p>
    <w:p>
      <w:r>
        <w:t>| 2568 | 52 422 130 000 | –16.9 % |</w:t>
      </w:r>
    </w:p>
    <w:p>
      <w:r>
        <w:t>| 2569 | 17 168 720 000 | –67.3 % |</w:t>
      </w:r>
    </w:p>
    <w:p/>
    <w:p>
      <w:r>
        <w:t>### สรุปแนวโน้ม</w:t>
      </w:r>
    </w:p>
    <w:p>
      <w:r>
        <w:t xml:space="preserve">1. **ปี 2563‑2566**: รายได้ภาษีเติบโตอย่างต่อเนื่อง (≈5–7 % ต่อปี) แสดงถึงความมั่นคงของฐานภาษีในช่วงนี้  </w:t>
      </w:r>
    </w:p>
    <w:p>
      <w:r>
        <w:t>2. **ปี 2567‑2569**: มีการลดลงอย่างรุนแรง (‑33 % → ‑67 %) ทำให้รายได้ภาษีลดลงเป็นเพียง 22 % ของสูงสุดในปี 2566</w:t>
      </w:r>
    </w:p>
    <w:p/>
    <w:p>
      <w:r>
        <w:t>### สาเหตุที่อาจเป็นไปได้ (ตามข้อมูลที่มี)</w:t>
      </w:r>
    </w:p>
    <w:p>
      <w:r>
        <w:t>- การเปลี่ยนแปลงนโยบายภาษีหรือกฎหมายที่ลดอัตราภาษี/ยกเว้น</w:t>
      </w:r>
    </w:p>
    <w:p>
      <w:r>
        <w:t>- ภาวะเศรษฐกิจชะลอตัวหรือการลดลงของกิจกรรมทางเศรษฐกิจที่เป็นแหล่งภาษี</w:t>
      </w:r>
    </w:p>
    <w:p>
      <w:r>
        <w:t>- การปรับปรุงระบบเก็บภาษีที่ทำให้มีการตรวจสอบและยกเลิกรายได้ที่ไม่สมบูรณ์</w:t>
      </w:r>
    </w:p>
    <w:p/>
    <w:p>
      <w:r>
        <w:t>### ข้อเสนอแนะสั้น ๆ</w:t>
      </w:r>
    </w:p>
    <w:p>
      <w:r>
        <w:t xml:space="preserve">1. **วิเคราะห์สาเหตุ** – ทำการสำรวจสาเหตุเฉพาะของการลดลงในปี 2567‑2569 เพื่อระบุปัจจัยหลัก (กฎหมาย, เศรษฐกิจ, ระบบเก็บภาษี)  </w:t>
      </w:r>
    </w:p>
    <w:p>
      <w:r>
        <w:t xml:space="preserve">2. **ปรับกลยุทธ์** – หากสาเหตุเป็นการเปลี่ยนแปลงกฎหมาย ให้พิจารณานโยบายส่งเสริมรายได้จากภาษีอื่น ๆ หรือเพิ่มอัตราภาษีในภาคส่วนที่ยังไม่ถูกจัดเก็บอย่างเต็มที่  </w:t>
      </w:r>
    </w:p>
    <w:p>
      <w:r>
        <w:t xml:space="preserve">3. **เพิ่มประสิทธิภาพ** – ปรับปรุงระบบตรวจสอบและบังคับใช้ภาษีเพื่อยกระดับการเก็บภาษีให้ครอบคลุมและลดช่องโหว่  </w:t>
      </w:r>
    </w:p>
    <w:p>
      <w:r>
        <w:t xml:space="preserve">4. **ติดตามผล** – สร้างดัชนี KPI รายเดือน/ไตรมาสเพื่อเฝ้าติดตามการเปลี่ยนแปลงของรายได้ภาษีและตอบสนองได้ทันท่วงที  </w:t>
      </w:r>
    </w:p>
    <w:p/>
    <w:p>
      <w:r>
        <w:t>&gt; **สรุป**: หลังจากปี 2566 มีการลดลงอย่างมากของรายได้ภาษี จำเป็นต้องทำการวิเคราะห์สาเหตุอย่างละเอียดและปรับกลยุทธ์เพื่อฟื้นฟูฐานภาษีให้กลับสู่แนวโน้มเติบโตในอนาค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