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602D1" w14:textId="15EF0308" w:rsidR="005C65C7" w:rsidRPr="00FA0162" w:rsidRDefault="005C65C7" w:rsidP="0076656F">
      <w:pPr>
        <w:jc w:val="right"/>
        <w:rPr>
          <w:rFonts w:ascii="Times New Roman" w:hAnsi="Times New Roman" w:cs="Times New Roman"/>
        </w:rPr>
      </w:pPr>
      <w:r w:rsidRPr="00FA0162">
        <w:rPr>
          <w:rFonts w:ascii="Times New Roman" w:hAnsi="Times New Roman" w:cs="Times New Roman"/>
        </w:rPr>
        <w:t xml:space="preserve">Warszawa, dnia </w:t>
      </w:r>
      <w:r w:rsidR="002367AD" w:rsidRPr="00FA0162">
        <w:rPr>
          <w:rFonts w:ascii="Times New Roman" w:hAnsi="Times New Roman" w:cs="Times New Roman"/>
        </w:rPr>
        <w:fldChar w:fldCharType="begin"/>
      </w:r>
      <w:r w:rsidR="002367AD" w:rsidRPr="00FA0162">
        <w:rPr>
          <w:rFonts w:ascii="Times New Roman" w:hAnsi="Times New Roman" w:cs="Times New Roman"/>
        </w:rPr>
        <w:instrText xml:space="preserve"> TIME \@ "d MMMM yyyy" </w:instrText>
      </w:r>
      <w:r w:rsidR="002367AD" w:rsidRPr="00FA0162">
        <w:rPr>
          <w:rFonts w:ascii="Times New Roman" w:hAnsi="Times New Roman" w:cs="Times New Roman"/>
        </w:rPr>
        <w:fldChar w:fldCharType="separate"/>
      </w:r>
      <w:r w:rsidR="00C77C32" w:rsidRPr="00FA0162">
        <w:rPr>
          <w:rFonts w:ascii="Times New Roman" w:hAnsi="Times New Roman" w:cs="Times New Roman"/>
          <w:noProof/>
        </w:rPr>
        <w:t>20 maja 2024</w:t>
      </w:r>
      <w:r w:rsidR="002367AD" w:rsidRPr="00FA0162">
        <w:rPr>
          <w:rFonts w:ascii="Times New Roman" w:hAnsi="Times New Roman" w:cs="Times New Roman"/>
        </w:rPr>
        <w:fldChar w:fldCharType="end"/>
      </w:r>
      <w:r w:rsidR="00044B6B" w:rsidRPr="00FA0162">
        <w:rPr>
          <w:rFonts w:ascii="Times New Roman" w:hAnsi="Times New Roman" w:cs="Times New Roman"/>
        </w:rPr>
        <w:t xml:space="preserve">r. </w:t>
      </w:r>
    </w:p>
    <w:tbl>
      <w:tblPr>
        <w:tblStyle w:val="Tabela-Siatk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3"/>
      </w:tblGrid>
      <w:tr w:rsidR="005C65C7" w:rsidRPr="00FA0162" w14:paraId="6EE5EAAB" w14:textId="77777777" w:rsidTr="005C65C7">
        <w:tc>
          <w:tcPr>
            <w:tcW w:w="3823" w:type="dxa"/>
            <w:hideMark/>
          </w:tcPr>
          <w:p w14:paraId="3FB8EABE" w14:textId="60F6E013" w:rsidR="00D20DDD" w:rsidRPr="00FA0162" w:rsidRDefault="00D20DDD" w:rsidP="00E50637">
            <w:pPr>
              <w:spacing w:after="0"/>
              <w:jc w:val="both"/>
              <w:rPr>
                <w:rFonts w:ascii="Times New Roman" w:hAnsi="Times New Roman" w:cs="Times New Roman"/>
                <w:b/>
                <w:bCs/>
              </w:rPr>
            </w:pPr>
            <w:r w:rsidRPr="00FA0162">
              <w:rPr>
                <w:rFonts w:ascii="Times New Roman" w:hAnsi="Times New Roman" w:cs="Times New Roman"/>
                <w:b/>
                <w:bCs/>
              </w:rPr>
              <w:t xml:space="preserve">Sąd </w:t>
            </w:r>
            <w:r w:rsidR="002367AD" w:rsidRPr="00FA0162">
              <w:rPr>
                <w:rFonts w:ascii="Times New Roman" w:hAnsi="Times New Roman" w:cs="Times New Roman"/>
                <w:b/>
                <w:bCs/>
                <w:highlight w:val="yellow"/>
              </w:rPr>
              <w:t>___________________</w:t>
            </w:r>
            <w:r w:rsidR="00031613" w:rsidRPr="00FA0162">
              <w:rPr>
                <w:rFonts w:ascii="Times New Roman" w:hAnsi="Times New Roman" w:cs="Times New Roman"/>
                <w:b/>
                <w:bCs/>
              </w:rPr>
              <w:t xml:space="preserve"> </w:t>
            </w:r>
          </w:p>
          <w:p w14:paraId="61B5F033" w14:textId="55C448B7" w:rsidR="004447DC" w:rsidRPr="00FA0162" w:rsidRDefault="00031613" w:rsidP="00D20DDD">
            <w:pPr>
              <w:spacing w:after="0"/>
              <w:rPr>
                <w:rFonts w:ascii="Times New Roman" w:hAnsi="Times New Roman" w:cs="Times New Roman"/>
                <w:b/>
                <w:bCs/>
              </w:rPr>
            </w:pPr>
            <w:bookmarkStart w:id="0" w:name="_Hlk124959668"/>
            <w:r w:rsidRPr="00FA0162">
              <w:rPr>
                <w:rFonts w:ascii="Times New Roman" w:hAnsi="Times New Roman" w:cs="Times New Roman"/>
                <w:b/>
                <w:bCs/>
              </w:rPr>
              <w:t>Wydzia</w:t>
            </w:r>
            <w:r w:rsidR="009A2811" w:rsidRPr="00FA0162">
              <w:rPr>
                <w:rFonts w:ascii="Times New Roman" w:hAnsi="Times New Roman" w:cs="Times New Roman"/>
                <w:b/>
                <w:bCs/>
              </w:rPr>
              <w:t xml:space="preserve">ł Cywilny </w:t>
            </w:r>
          </w:p>
          <w:bookmarkEnd w:id="0"/>
          <w:p w14:paraId="46230DE1" w14:textId="4B34E934" w:rsidR="00D20DDD" w:rsidRPr="00FA0162" w:rsidRDefault="00D20DDD" w:rsidP="00E50637">
            <w:pPr>
              <w:spacing w:after="0"/>
              <w:ind w:left="1134" w:hanging="1134"/>
              <w:rPr>
                <w:rFonts w:ascii="Times New Roman" w:hAnsi="Times New Roman" w:cs="Times New Roman"/>
                <w:i/>
                <w:iCs/>
              </w:rPr>
            </w:pPr>
            <w:r w:rsidRPr="00FA0162">
              <w:rPr>
                <w:rFonts w:ascii="Times New Roman" w:hAnsi="Times New Roman" w:cs="Times New Roman"/>
                <w:i/>
                <w:iCs/>
              </w:rPr>
              <w:t xml:space="preserve">za pośrednictwem </w:t>
            </w:r>
          </w:p>
          <w:p w14:paraId="27A8C45F" w14:textId="47EE3136" w:rsidR="000375DD" w:rsidRPr="00FA0162" w:rsidRDefault="000375DD" w:rsidP="0076656F">
            <w:pPr>
              <w:spacing w:after="0"/>
              <w:ind w:left="1134" w:hanging="1134"/>
              <w:jc w:val="both"/>
              <w:rPr>
                <w:rFonts w:ascii="Times New Roman" w:hAnsi="Times New Roman" w:cs="Times New Roman"/>
                <w:b/>
                <w:bCs/>
              </w:rPr>
            </w:pPr>
            <w:r w:rsidRPr="00FA0162">
              <w:rPr>
                <w:rFonts w:ascii="Times New Roman" w:hAnsi="Times New Roman" w:cs="Times New Roman"/>
                <w:b/>
                <w:bCs/>
              </w:rPr>
              <w:t>Sąd</w:t>
            </w:r>
            <w:r w:rsidR="00D22B81" w:rsidRPr="00FA0162">
              <w:rPr>
                <w:rFonts w:ascii="Times New Roman" w:hAnsi="Times New Roman" w:cs="Times New Roman"/>
                <w:b/>
                <w:bCs/>
              </w:rPr>
              <w:t>u</w:t>
            </w:r>
            <w:r w:rsidRPr="00FA0162">
              <w:rPr>
                <w:rFonts w:ascii="Times New Roman" w:hAnsi="Times New Roman" w:cs="Times New Roman"/>
                <w:b/>
                <w:bCs/>
              </w:rPr>
              <w:t xml:space="preserve"> </w:t>
            </w:r>
            <w:r w:rsidR="002367AD" w:rsidRPr="00FA0162">
              <w:rPr>
                <w:rFonts w:ascii="Times New Roman" w:hAnsi="Times New Roman" w:cs="Times New Roman"/>
                <w:b/>
                <w:bCs/>
                <w:highlight w:val="yellow"/>
              </w:rPr>
              <w:t>_________________</w:t>
            </w:r>
            <w:r w:rsidR="009A2811" w:rsidRPr="00FA0162">
              <w:rPr>
                <w:rFonts w:ascii="Times New Roman" w:hAnsi="Times New Roman" w:cs="Times New Roman"/>
                <w:b/>
                <w:bCs/>
              </w:rPr>
              <w:t xml:space="preserve"> </w:t>
            </w:r>
          </w:p>
          <w:p w14:paraId="3C06E0AC" w14:textId="33F7D0E4" w:rsidR="000375DD" w:rsidRPr="00FA0162" w:rsidRDefault="002367AD" w:rsidP="0076656F">
            <w:pPr>
              <w:spacing w:after="0"/>
              <w:ind w:left="1134" w:hanging="1134"/>
              <w:jc w:val="both"/>
              <w:rPr>
                <w:rFonts w:ascii="Times New Roman" w:hAnsi="Times New Roman" w:cs="Times New Roman"/>
                <w:b/>
                <w:bCs/>
              </w:rPr>
            </w:pPr>
            <w:r w:rsidRPr="00FA0162">
              <w:rPr>
                <w:rFonts w:ascii="Times New Roman" w:hAnsi="Times New Roman" w:cs="Times New Roman"/>
                <w:b/>
                <w:bCs/>
                <w:highlight w:val="yellow"/>
              </w:rPr>
              <w:t>___</w:t>
            </w:r>
            <w:r w:rsidRPr="00FA0162">
              <w:rPr>
                <w:rFonts w:ascii="Times New Roman" w:hAnsi="Times New Roman" w:cs="Times New Roman"/>
                <w:b/>
                <w:bCs/>
              </w:rPr>
              <w:t xml:space="preserve"> </w:t>
            </w:r>
            <w:r w:rsidR="007E294F" w:rsidRPr="00FA0162">
              <w:rPr>
                <w:rFonts w:ascii="Times New Roman" w:hAnsi="Times New Roman" w:cs="Times New Roman"/>
                <w:b/>
                <w:bCs/>
              </w:rPr>
              <w:t xml:space="preserve">Wydział Cywilny </w:t>
            </w:r>
          </w:p>
          <w:p w14:paraId="43E7C31A" w14:textId="38BDE44E" w:rsidR="007E294F" w:rsidRPr="00FA0162" w:rsidRDefault="007E294F" w:rsidP="0076656F">
            <w:pPr>
              <w:spacing w:after="0"/>
              <w:ind w:left="1134" w:hanging="1134"/>
              <w:jc w:val="both"/>
              <w:rPr>
                <w:rFonts w:ascii="Times New Roman" w:hAnsi="Times New Roman" w:cs="Times New Roman"/>
              </w:rPr>
            </w:pPr>
            <w:r w:rsidRPr="00FA0162">
              <w:rPr>
                <w:rFonts w:ascii="Times New Roman" w:hAnsi="Times New Roman" w:cs="Times New Roman"/>
              </w:rPr>
              <w:t xml:space="preserve">ul. </w:t>
            </w:r>
            <w:r w:rsidR="002367AD" w:rsidRPr="00FA0162">
              <w:rPr>
                <w:rFonts w:ascii="Times New Roman" w:hAnsi="Times New Roman" w:cs="Times New Roman"/>
                <w:highlight w:val="yellow"/>
              </w:rPr>
              <w:t>___________________</w:t>
            </w:r>
          </w:p>
          <w:p w14:paraId="49FCCE88" w14:textId="4DD63F5D" w:rsidR="007E294F" w:rsidRPr="00FA0162" w:rsidRDefault="002367AD" w:rsidP="0076656F">
            <w:pPr>
              <w:spacing w:after="0"/>
              <w:ind w:left="1134" w:hanging="1134"/>
              <w:jc w:val="both"/>
              <w:rPr>
                <w:rFonts w:ascii="Times New Roman" w:hAnsi="Times New Roman" w:cs="Times New Roman"/>
              </w:rPr>
            </w:pPr>
            <w:r w:rsidRPr="00FA0162">
              <w:rPr>
                <w:rFonts w:ascii="Times New Roman" w:hAnsi="Times New Roman" w:cs="Times New Roman"/>
                <w:highlight w:val="yellow"/>
              </w:rPr>
              <w:t>__-____</w:t>
            </w:r>
            <w:r w:rsidRPr="00FA0162">
              <w:rPr>
                <w:rFonts w:ascii="Times New Roman" w:hAnsi="Times New Roman" w:cs="Times New Roman"/>
              </w:rPr>
              <w:t xml:space="preserve"> </w:t>
            </w:r>
            <w:r w:rsidRPr="00FA0162">
              <w:rPr>
                <w:rFonts w:ascii="Times New Roman" w:hAnsi="Times New Roman" w:cs="Times New Roman"/>
                <w:highlight w:val="yellow"/>
              </w:rPr>
              <w:t>______________</w:t>
            </w:r>
          </w:p>
          <w:p w14:paraId="449BB7A1" w14:textId="2A6BF6CA" w:rsidR="005C65C7" w:rsidRPr="00FA0162" w:rsidRDefault="005C65C7" w:rsidP="0076656F">
            <w:pPr>
              <w:spacing w:after="0"/>
              <w:ind w:left="1134" w:hanging="1134"/>
              <w:jc w:val="both"/>
              <w:rPr>
                <w:rFonts w:ascii="Times New Roman" w:hAnsi="Times New Roman" w:cs="Times New Roman"/>
              </w:rPr>
            </w:pPr>
          </w:p>
        </w:tc>
      </w:tr>
    </w:tbl>
    <w:p w14:paraId="405A80C0" w14:textId="77777777" w:rsidR="00826646" w:rsidRPr="00FA0162" w:rsidRDefault="005C65C7" w:rsidP="00885684">
      <w:pPr>
        <w:ind w:left="4962" w:hanging="1418"/>
        <w:rPr>
          <w:rFonts w:ascii="Times New Roman" w:hAnsi="Times New Roman" w:cs="Times New Roman"/>
        </w:rPr>
      </w:pPr>
      <w:r w:rsidRPr="00FA0162">
        <w:rPr>
          <w:rFonts w:ascii="Times New Roman" w:hAnsi="Times New Roman" w:cs="Times New Roman"/>
          <w:b/>
          <w:bCs/>
        </w:rPr>
        <w:t>Powód:</w:t>
      </w:r>
      <w:r w:rsidRPr="00FA0162">
        <w:rPr>
          <w:rFonts w:ascii="Times New Roman" w:hAnsi="Times New Roman" w:cs="Times New Roman"/>
        </w:rPr>
        <w:t xml:space="preserve"> </w:t>
      </w:r>
      <w:r w:rsidRPr="00FA0162">
        <w:rPr>
          <w:rFonts w:ascii="Times New Roman" w:hAnsi="Times New Roman" w:cs="Times New Roman"/>
        </w:rPr>
        <w:tab/>
      </w:r>
      <w:r w:rsidRPr="00FA0162">
        <w:rPr>
          <w:rFonts w:ascii="Times New Roman" w:hAnsi="Times New Roman" w:cs="Times New Roman"/>
          <w:b/>
          <w:bCs/>
        </w:rPr>
        <w:t>Bank Millennium Spółka Akcyjna</w:t>
      </w:r>
      <w:r w:rsidRPr="00FA0162">
        <w:rPr>
          <w:rFonts w:ascii="Times New Roman" w:hAnsi="Times New Roman" w:cs="Times New Roman"/>
        </w:rPr>
        <w:t xml:space="preserve">, </w:t>
      </w:r>
      <w:r w:rsidR="00D20DDD" w:rsidRPr="00FA0162">
        <w:rPr>
          <w:rFonts w:ascii="Times New Roman" w:hAnsi="Times New Roman" w:cs="Times New Roman"/>
        </w:rPr>
        <w:br/>
      </w:r>
      <w:r w:rsidRPr="00FA0162">
        <w:rPr>
          <w:rFonts w:ascii="Times New Roman" w:hAnsi="Times New Roman" w:cs="Times New Roman"/>
        </w:rPr>
        <w:t xml:space="preserve">ul. Stanisława Żaryna 2A, </w:t>
      </w:r>
      <w:r w:rsidR="00D20DDD" w:rsidRPr="00FA0162">
        <w:rPr>
          <w:rFonts w:ascii="Times New Roman" w:hAnsi="Times New Roman" w:cs="Times New Roman"/>
        </w:rPr>
        <w:br/>
      </w:r>
      <w:r w:rsidRPr="00FA0162">
        <w:rPr>
          <w:rFonts w:ascii="Times New Roman" w:hAnsi="Times New Roman" w:cs="Times New Roman"/>
        </w:rPr>
        <w:t xml:space="preserve">02-953 Warszawa; </w:t>
      </w:r>
      <w:r w:rsidR="00D712C4" w:rsidRPr="00FA0162">
        <w:rPr>
          <w:rFonts w:ascii="Times New Roman" w:hAnsi="Times New Roman" w:cs="Times New Roman"/>
        </w:rPr>
        <w:br/>
      </w:r>
      <w:r w:rsidR="00D712C4" w:rsidRPr="00FA0162">
        <w:rPr>
          <w:rFonts w:ascii="Times New Roman" w:hAnsi="Times New Roman" w:cs="Times New Roman"/>
          <w:u w:val="single"/>
        </w:rPr>
        <w:t>KRS: 0000010186</w:t>
      </w:r>
      <w:r w:rsidR="00D712C4" w:rsidRPr="00FA0162">
        <w:rPr>
          <w:rFonts w:ascii="Times New Roman" w:hAnsi="Times New Roman" w:cs="Times New Roman"/>
        </w:rPr>
        <w:t xml:space="preserve">, </w:t>
      </w:r>
    </w:p>
    <w:p w14:paraId="16178AB8" w14:textId="2BC0F1C7" w:rsidR="005C65C7" w:rsidRPr="00FA0162" w:rsidRDefault="005C65C7" w:rsidP="005218C1">
      <w:pPr>
        <w:ind w:left="4962" w:hanging="6"/>
        <w:rPr>
          <w:rFonts w:ascii="Times New Roman" w:hAnsi="Times New Roman" w:cs="Times New Roman"/>
        </w:rPr>
      </w:pPr>
      <w:r w:rsidRPr="00FA0162">
        <w:rPr>
          <w:rFonts w:ascii="Times New Roman" w:hAnsi="Times New Roman" w:cs="Times New Roman"/>
        </w:rPr>
        <w:t>reprezentowany przez</w:t>
      </w:r>
      <w:r w:rsidR="005218C1" w:rsidRPr="00FA0162">
        <w:rPr>
          <w:rFonts w:ascii="Times New Roman" w:hAnsi="Times New Roman" w:cs="Times New Roman"/>
        </w:rPr>
        <w:t>:</w:t>
      </w:r>
      <w:r w:rsidR="00AC2885" w:rsidRPr="00FA0162">
        <w:rPr>
          <w:rFonts w:ascii="Times New Roman" w:hAnsi="Times New Roman" w:cs="Times New Roman"/>
        </w:rPr>
        <w:br/>
      </w:r>
      <w:r w:rsidR="000C6F66" w:rsidRPr="00FA0162">
        <w:rPr>
          <w:rFonts w:ascii="Times New Roman" w:hAnsi="Times New Roman" w:cs="Times New Roman"/>
          <w:b/>
          <w:bCs/>
        </w:rPr>
        <w:t>adw. Przemysław</w:t>
      </w:r>
      <w:r w:rsidR="00826646" w:rsidRPr="00FA0162">
        <w:rPr>
          <w:rFonts w:ascii="Times New Roman" w:hAnsi="Times New Roman" w:cs="Times New Roman"/>
          <w:b/>
          <w:bCs/>
        </w:rPr>
        <w:t>a</w:t>
      </w:r>
      <w:r w:rsidR="000C6F66" w:rsidRPr="00FA0162">
        <w:rPr>
          <w:rFonts w:ascii="Times New Roman" w:hAnsi="Times New Roman" w:cs="Times New Roman"/>
          <w:b/>
          <w:bCs/>
        </w:rPr>
        <w:t xml:space="preserve"> Wierzbicki</w:t>
      </w:r>
      <w:r w:rsidR="00826646" w:rsidRPr="00FA0162">
        <w:rPr>
          <w:rFonts w:ascii="Times New Roman" w:hAnsi="Times New Roman" w:cs="Times New Roman"/>
          <w:b/>
          <w:bCs/>
        </w:rPr>
        <w:t>ego</w:t>
      </w:r>
      <w:r w:rsidR="00885684" w:rsidRPr="00FA0162">
        <w:rPr>
          <w:rFonts w:ascii="Times New Roman" w:hAnsi="Times New Roman" w:cs="Times New Roman"/>
          <w:b/>
          <w:bCs/>
        </w:rPr>
        <w:t xml:space="preserve"> </w:t>
      </w:r>
      <w:r w:rsidR="000C6F66" w:rsidRPr="00FA0162">
        <w:rPr>
          <w:rFonts w:ascii="Times New Roman" w:hAnsi="Times New Roman" w:cs="Times New Roman"/>
          <w:b/>
          <w:bCs/>
        </w:rPr>
        <w:br/>
      </w:r>
      <w:r w:rsidR="00AC2885" w:rsidRPr="00FA0162">
        <w:rPr>
          <w:rFonts w:ascii="Times New Roman" w:hAnsi="Times New Roman" w:cs="Times New Roman"/>
          <w:b/>
          <w:bCs/>
        </w:rPr>
        <w:t>KKLW Wierzbicki i Wspólnicy Sp.k.</w:t>
      </w:r>
      <w:r w:rsidR="00AC2885" w:rsidRPr="00FA0162">
        <w:rPr>
          <w:rFonts w:ascii="Times New Roman" w:hAnsi="Times New Roman" w:cs="Times New Roman"/>
        </w:rPr>
        <w:t xml:space="preserve"> </w:t>
      </w:r>
      <w:r w:rsidR="00AC2885" w:rsidRPr="00FA0162">
        <w:rPr>
          <w:rFonts w:ascii="Times New Roman" w:hAnsi="Times New Roman" w:cs="Times New Roman"/>
        </w:rPr>
        <w:br/>
        <w:t xml:space="preserve">ul. Twarda 2, 00-105 Warszawa </w:t>
      </w:r>
    </w:p>
    <w:tbl>
      <w:tblPr>
        <w:tblStyle w:val="Tabela-Siatka"/>
        <w:tblW w:w="0" w:type="auto"/>
        <w:tblInd w:w="35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3936"/>
      </w:tblGrid>
      <w:tr w:rsidR="005C65C7" w:rsidRPr="00FA0162" w14:paraId="43DF6B15" w14:textId="77777777" w:rsidTr="000E7816">
        <w:trPr>
          <w:trHeight w:val="2655"/>
        </w:trPr>
        <w:tc>
          <w:tcPr>
            <w:tcW w:w="1480" w:type="dxa"/>
            <w:tcMar>
              <w:top w:w="0" w:type="dxa"/>
              <w:left w:w="0" w:type="dxa"/>
              <w:bottom w:w="0" w:type="dxa"/>
              <w:right w:w="108" w:type="dxa"/>
            </w:tcMar>
            <w:hideMark/>
          </w:tcPr>
          <w:p w14:paraId="20316A7F" w14:textId="77777777" w:rsidR="005C65C7" w:rsidRPr="00FA0162" w:rsidRDefault="005C65C7" w:rsidP="0076656F">
            <w:pPr>
              <w:spacing w:after="0"/>
              <w:rPr>
                <w:rFonts w:ascii="Times New Roman" w:hAnsi="Times New Roman" w:cs="Times New Roman"/>
                <w:u w:val="single"/>
              </w:rPr>
            </w:pPr>
            <w:r w:rsidRPr="00FA0162">
              <w:rPr>
                <w:rFonts w:ascii="Times New Roman" w:hAnsi="Times New Roman" w:cs="Times New Roman"/>
                <w:b/>
                <w:bCs/>
              </w:rPr>
              <w:t>Pozwany:</w:t>
            </w:r>
          </w:p>
        </w:tc>
        <w:tc>
          <w:tcPr>
            <w:tcW w:w="3618" w:type="dxa"/>
          </w:tcPr>
          <w:p w14:paraId="37106A93" w14:textId="0C24BFA7" w:rsidR="000E7816" w:rsidRPr="00FA0162" w:rsidRDefault="005218C1" w:rsidP="005218C1">
            <w:pPr>
              <w:spacing w:after="0"/>
              <w:rPr>
                <w:rFonts w:ascii="Times New Roman" w:hAnsi="Times New Roman" w:cs="Times New Roman"/>
                <w:b/>
                <w:bCs/>
                <w:highlight w:val="yellow"/>
              </w:rPr>
            </w:pPr>
            <w:r w:rsidRPr="00FA0162">
              <w:rPr>
                <w:rFonts w:ascii="Times New Roman" w:hAnsi="Times New Roman" w:cs="Times New Roman"/>
                <w:b/>
                <w:bCs/>
                <w:highlight w:val="yellow"/>
              </w:rPr>
              <w:t>________________________</w:t>
            </w:r>
          </w:p>
          <w:p w14:paraId="3AECB560" w14:textId="55911363" w:rsidR="005218C1" w:rsidRPr="00FA0162" w:rsidRDefault="005218C1" w:rsidP="0076656F">
            <w:pPr>
              <w:spacing w:after="0"/>
              <w:ind w:left="1410" w:hanging="1410"/>
              <w:rPr>
                <w:rFonts w:ascii="Times New Roman" w:hAnsi="Times New Roman" w:cs="Times New Roman"/>
                <w:b/>
                <w:bCs/>
              </w:rPr>
            </w:pPr>
            <w:r w:rsidRPr="00FA0162">
              <w:rPr>
                <w:rFonts w:ascii="Times New Roman" w:hAnsi="Times New Roman" w:cs="Times New Roman"/>
                <w:b/>
                <w:bCs/>
                <w:highlight w:val="yellow"/>
              </w:rPr>
              <w:t>________________________</w:t>
            </w:r>
          </w:p>
          <w:p w14:paraId="3011712D" w14:textId="1C85E703" w:rsidR="005C65C7" w:rsidRPr="00FA0162" w:rsidRDefault="00D20DDD" w:rsidP="00D20DDD">
            <w:pPr>
              <w:spacing w:after="0"/>
              <w:ind w:left="1410" w:hanging="1410"/>
              <w:rPr>
                <w:rFonts w:ascii="Times New Roman" w:hAnsi="Times New Roman" w:cs="Times New Roman"/>
              </w:rPr>
            </w:pPr>
            <w:r w:rsidRPr="00FA0162">
              <w:rPr>
                <w:rFonts w:ascii="Times New Roman" w:hAnsi="Times New Roman" w:cs="Times New Roman"/>
              </w:rPr>
              <w:t>(adres w aktach)</w:t>
            </w:r>
          </w:p>
          <w:p w14:paraId="7388330B" w14:textId="1FB81453" w:rsidR="00D20DDD" w:rsidRPr="00FA0162" w:rsidRDefault="00D20DDD" w:rsidP="00D20DDD">
            <w:pPr>
              <w:spacing w:after="0"/>
              <w:ind w:left="1410" w:hanging="1410"/>
              <w:rPr>
                <w:rFonts w:ascii="Times New Roman" w:hAnsi="Times New Roman" w:cs="Times New Roman"/>
              </w:rPr>
            </w:pPr>
            <w:r w:rsidRPr="00FA0162">
              <w:rPr>
                <w:rFonts w:ascii="Times New Roman" w:hAnsi="Times New Roman" w:cs="Times New Roman"/>
              </w:rPr>
              <w:t>reprezentowan</w:t>
            </w:r>
            <w:r w:rsidR="000E7816" w:rsidRPr="00FA0162">
              <w:rPr>
                <w:rFonts w:ascii="Times New Roman" w:hAnsi="Times New Roman" w:cs="Times New Roman"/>
              </w:rPr>
              <w:t>i</w:t>
            </w:r>
            <w:r w:rsidRPr="00FA0162">
              <w:rPr>
                <w:rFonts w:ascii="Times New Roman" w:hAnsi="Times New Roman" w:cs="Times New Roman"/>
              </w:rPr>
              <w:t xml:space="preserve"> przez:</w:t>
            </w:r>
          </w:p>
          <w:p w14:paraId="1D0D7B2A" w14:textId="1A1E06B2" w:rsidR="00D20DDD" w:rsidRPr="00FA0162" w:rsidRDefault="00D20DDD" w:rsidP="005218C1">
            <w:pPr>
              <w:spacing w:after="0"/>
              <w:ind w:left="1317" w:right="-1394" w:hanging="1317"/>
              <w:rPr>
                <w:rFonts w:ascii="Times New Roman" w:hAnsi="Times New Roman" w:cs="Times New Roman"/>
                <w:b/>
                <w:bCs/>
              </w:rPr>
            </w:pPr>
            <w:r w:rsidRPr="00FA0162">
              <w:rPr>
                <w:rFonts w:ascii="Times New Roman" w:hAnsi="Times New Roman" w:cs="Times New Roman"/>
                <w:b/>
                <w:bCs/>
              </w:rPr>
              <w:t>adw</w:t>
            </w:r>
            <w:r w:rsidR="000E7816" w:rsidRPr="00FA0162">
              <w:rPr>
                <w:rFonts w:ascii="Times New Roman" w:hAnsi="Times New Roman" w:cs="Times New Roman"/>
                <w:b/>
                <w:bCs/>
              </w:rPr>
              <w:t>.</w:t>
            </w:r>
            <w:r w:rsidR="005218C1" w:rsidRPr="00FA0162">
              <w:rPr>
                <w:rFonts w:ascii="Times New Roman" w:hAnsi="Times New Roman" w:cs="Times New Roman"/>
                <w:b/>
                <w:bCs/>
              </w:rPr>
              <w:t xml:space="preserve">/ r.pr. </w:t>
            </w:r>
            <w:r w:rsidR="005218C1" w:rsidRPr="00FA0162">
              <w:rPr>
                <w:rFonts w:ascii="Times New Roman" w:hAnsi="Times New Roman" w:cs="Times New Roman"/>
                <w:b/>
                <w:bCs/>
                <w:highlight w:val="yellow"/>
              </w:rPr>
              <w:t>_____________</w:t>
            </w:r>
            <w:r w:rsidR="0006626C" w:rsidRPr="00FA0162">
              <w:rPr>
                <w:rFonts w:ascii="Times New Roman" w:hAnsi="Times New Roman" w:cs="Times New Roman"/>
                <w:b/>
                <w:bCs/>
                <w:highlight w:val="yellow"/>
              </w:rPr>
              <w:t>_</w:t>
            </w:r>
          </w:p>
          <w:p w14:paraId="5529352C" w14:textId="0CF3A05A" w:rsidR="00BA7C83" w:rsidRPr="00FA0162" w:rsidRDefault="00BA7C83" w:rsidP="00BA7C83">
            <w:pPr>
              <w:spacing w:after="0"/>
              <w:ind w:left="1410" w:hanging="1410"/>
              <w:rPr>
                <w:rFonts w:ascii="Times New Roman" w:hAnsi="Times New Roman" w:cs="Times New Roman"/>
              </w:rPr>
            </w:pPr>
            <w:r w:rsidRPr="00FA0162">
              <w:rPr>
                <w:rFonts w:ascii="Times New Roman" w:hAnsi="Times New Roman" w:cs="Times New Roman"/>
              </w:rPr>
              <w:t xml:space="preserve">ul. </w:t>
            </w:r>
            <w:r w:rsidR="005218C1" w:rsidRPr="00FA0162">
              <w:rPr>
                <w:rFonts w:ascii="Times New Roman" w:hAnsi="Times New Roman" w:cs="Times New Roman"/>
                <w:highlight w:val="yellow"/>
              </w:rPr>
              <w:t>____________________</w:t>
            </w:r>
            <w:r w:rsidR="0006626C" w:rsidRPr="00FA0162">
              <w:rPr>
                <w:rFonts w:ascii="Times New Roman" w:hAnsi="Times New Roman" w:cs="Times New Roman"/>
                <w:highlight w:val="yellow"/>
              </w:rPr>
              <w:t>_</w:t>
            </w:r>
          </w:p>
          <w:p w14:paraId="03CBFE17" w14:textId="4F85000B" w:rsidR="00BA7C83" w:rsidRPr="00FA0162" w:rsidRDefault="005218C1" w:rsidP="00BA7C83">
            <w:pPr>
              <w:spacing w:after="0"/>
              <w:ind w:left="1410" w:hanging="1410"/>
              <w:rPr>
                <w:rFonts w:ascii="Times New Roman" w:hAnsi="Times New Roman" w:cs="Times New Roman"/>
                <w:u w:val="single"/>
              </w:rPr>
            </w:pPr>
            <w:r w:rsidRPr="00FA0162">
              <w:rPr>
                <w:rFonts w:ascii="Times New Roman" w:hAnsi="Times New Roman" w:cs="Times New Roman"/>
                <w:highlight w:val="yellow"/>
              </w:rPr>
              <w:t>__-___ _________________</w:t>
            </w:r>
          </w:p>
        </w:tc>
      </w:tr>
    </w:tbl>
    <w:p w14:paraId="10B9F81E" w14:textId="0ADF4E8D" w:rsidR="00D20DDD" w:rsidRPr="00FA0162" w:rsidRDefault="00D20DDD" w:rsidP="00D20DDD">
      <w:pPr>
        <w:spacing w:after="0" w:line="259" w:lineRule="auto"/>
        <w:rPr>
          <w:rFonts w:ascii="Times New Roman" w:eastAsia="Calibri" w:hAnsi="Times New Roman" w:cs="Times New Roman"/>
          <w:b/>
          <w:bCs/>
        </w:rPr>
      </w:pPr>
      <w:r w:rsidRPr="00FA0162">
        <w:rPr>
          <w:rFonts w:ascii="Times New Roman" w:eastAsia="Calibri" w:hAnsi="Times New Roman" w:cs="Times New Roman"/>
          <w:b/>
          <w:bCs/>
        </w:rPr>
        <w:t xml:space="preserve">Sygn. akt </w:t>
      </w:r>
      <w:r w:rsidR="0006626C" w:rsidRPr="00FA0162">
        <w:rPr>
          <w:rFonts w:ascii="Times New Roman" w:eastAsia="Calibri" w:hAnsi="Times New Roman" w:cs="Times New Roman"/>
          <w:b/>
          <w:bCs/>
          <w:highlight w:val="yellow"/>
        </w:rPr>
        <w:t>____________</w:t>
      </w:r>
    </w:p>
    <w:p w14:paraId="235D7275" w14:textId="6D9C3841" w:rsidR="00D20DDD" w:rsidRPr="00FA0162" w:rsidRDefault="00D20DDD" w:rsidP="00D20DDD">
      <w:pPr>
        <w:spacing w:after="0" w:line="259" w:lineRule="auto"/>
        <w:jc w:val="both"/>
        <w:rPr>
          <w:rFonts w:ascii="Times New Roman" w:eastAsia="Calibri" w:hAnsi="Times New Roman" w:cs="Times New Roman"/>
          <w:b/>
          <w:bCs/>
        </w:rPr>
      </w:pPr>
      <w:r w:rsidRPr="00FA0162">
        <w:rPr>
          <w:rFonts w:ascii="Times New Roman" w:eastAsia="Calibri" w:hAnsi="Times New Roman" w:cs="Times New Roman"/>
          <w:b/>
          <w:bCs/>
        </w:rPr>
        <w:t xml:space="preserve">Wartość przedmiotu zaskarżenia: </w:t>
      </w:r>
      <w:r w:rsidR="0006626C" w:rsidRPr="00FA0162">
        <w:rPr>
          <w:rFonts w:ascii="Times New Roman" w:eastAsia="Calibri" w:hAnsi="Times New Roman" w:cs="Times New Roman"/>
          <w:b/>
          <w:bCs/>
          <w:highlight w:val="yellow"/>
        </w:rPr>
        <w:t>______</w:t>
      </w:r>
      <w:r w:rsidR="00E652AC" w:rsidRPr="00FA0162">
        <w:rPr>
          <w:rFonts w:ascii="Times New Roman" w:eastAsia="Calibri" w:hAnsi="Times New Roman" w:cs="Times New Roman"/>
          <w:b/>
          <w:bCs/>
        </w:rPr>
        <w:t xml:space="preserve"> zł </w:t>
      </w:r>
      <w:r w:rsidR="00E652AC" w:rsidRPr="00FA0162">
        <w:rPr>
          <w:rFonts w:ascii="Times New Roman" w:eastAsia="Calibri" w:hAnsi="Times New Roman" w:cs="Times New Roman"/>
        </w:rPr>
        <w:t>(</w:t>
      </w:r>
      <w:r w:rsidR="0006626C" w:rsidRPr="00FA0162">
        <w:rPr>
          <w:rFonts w:ascii="Times New Roman" w:eastAsia="Calibri" w:hAnsi="Times New Roman" w:cs="Times New Roman"/>
        </w:rPr>
        <w:t xml:space="preserve">słownie: </w:t>
      </w:r>
      <w:r w:rsidR="0006626C" w:rsidRPr="00FA0162">
        <w:rPr>
          <w:rFonts w:ascii="Times New Roman" w:eastAsia="Calibri" w:hAnsi="Times New Roman" w:cs="Times New Roman"/>
          <w:highlight w:val="yellow"/>
          <w:u w:val="single"/>
        </w:rPr>
        <w:t>_________</w:t>
      </w:r>
      <w:r w:rsidR="00E652AC" w:rsidRPr="00FA0162">
        <w:rPr>
          <w:rFonts w:ascii="Times New Roman" w:eastAsia="Calibri" w:hAnsi="Times New Roman" w:cs="Times New Roman"/>
        </w:rPr>
        <w:t xml:space="preserve"> 00/100) </w:t>
      </w:r>
    </w:p>
    <w:p w14:paraId="1BAB4C5F" w14:textId="2865E678" w:rsidR="00D20DDD" w:rsidRPr="00FA0162" w:rsidRDefault="00D20DDD" w:rsidP="00D20DDD">
      <w:pPr>
        <w:spacing w:after="0" w:line="259" w:lineRule="auto"/>
        <w:jc w:val="both"/>
        <w:rPr>
          <w:rFonts w:ascii="Times New Roman" w:eastAsia="Times New Roman" w:hAnsi="Times New Roman" w:cs="Times New Roman"/>
          <w:b/>
          <w:bCs/>
        </w:rPr>
      </w:pPr>
      <w:r w:rsidRPr="00FA0162">
        <w:rPr>
          <w:rFonts w:ascii="Times New Roman" w:eastAsia="Times New Roman" w:hAnsi="Times New Roman" w:cs="Times New Roman"/>
          <w:b/>
          <w:bCs/>
        </w:rPr>
        <w:t xml:space="preserve">Opłata od apelacji: </w:t>
      </w:r>
      <w:r w:rsidR="0006626C" w:rsidRPr="00FA0162">
        <w:rPr>
          <w:rFonts w:ascii="Times New Roman" w:eastAsia="Times New Roman" w:hAnsi="Times New Roman" w:cs="Times New Roman"/>
          <w:b/>
          <w:bCs/>
          <w:highlight w:val="yellow"/>
        </w:rPr>
        <w:t>_________</w:t>
      </w:r>
      <w:r w:rsidR="0006626C" w:rsidRPr="00FA0162">
        <w:rPr>
          <w:rFonts w:ascii="Times New Roman" w:eastAsia="Times New Roman" w:hAnsi="Times New Roman" w:cs="Times New Roman"/>
          <w:b/>
          <w:bCs/>
        </w:rPr>
        <w:t xml:space="preserve"> zł </w:t>
      </w:r>
      <w:r w:rsidR="005D1C98"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i/>
          <w:iCs/>
        </w:rPr>
        <w:t>(</w:t>
      </w:r>
      <w:r w:rsidR="00F263B8" w:rsidRPr="00FA0162">
        <w:rPr>
          <w:rFonts w:ascii="Times New Roman" w:eastAsia="Times New Roman" w:hAnsi="Times New Roman" w:cs="Times New Roman"/>
          <w:i/>
          <w:iCs/>
        </w:rPr>
        <w:t xml:space="preserve">opłata została pomniejszona o kwotę 100 zł uiszczoną tytułem opłaty od wniosku o doręczenie wyroku wraz z uzasadnieniem stosownie do art. 25b ust. 2 u.k.s.c) </w:t>
      </w:r>
    </w:p>
    <w:p w14:paraId="037B1080" w14:textId="2334AE3B" w:rsidR="00DB1ABC" w:rsidRPr="00FA0162" w:rsidRDefault="00DB1ABC" w:rsidP="00D20DDD">
      <w:pPr>
        <w:spacing w:after="0" w:line="259" w:lineRule="auto"/>
        <w:rPr>
          <w:rFonts w:ascii="Times New Roman" w:eastAsia="Calibri" w:hAnsi="Times New Roman" w:cs="Times New Roman"/>
          <w:b/>
        </w:rPr>
      </w:pPr>
    </w:p>
    <w:p w14:paraId="4C687098" w14:textId="77777777" w:rsidR="00DB1ABC" w:rsidRPr="00FA0162" w:rsidRDefault="00DB1ABC" w:rsidP="00D20DDD">
      <w:pPr>
        <w:spacing w:after="0" w:line="259" w:lineRule="auto"/>
        <w:rPr>
          <w:rFonts w:ascii="Times New Roman" w:eastAsia="Calibri" w:hAnsi="Times New Roman" w:cs="Times New Roman"/>
          <w:b/>
        </w:rPr>
      </w:pPr>
    </w:p>
    <w:p w14:paraId="59242E2A" w14:textId="77777777" w:rsidR="00D20DDD" w:rsidRPr="00FA0162" w:rsidRDefault="00D20DDD" w:rsidP="00D20DDD">
      <w:pPr>
        <w:spacing w:after="0" w:line="259" w:lineRule="auto"/>
        <w:jc w:val="center"/>
        <w:rPr>
          <w:rFonts w:ascii="Times New Roman" w:eastAsia="Times New Roman" w:hAnsi="Times New Roman" w:cs="Times New Roman"/>
          <w:b/>
          <w:bCs/>
        </w:rPr>
      </w:pPr>
      <w:r w:rsidRPr="00FA0162">
        <w:rPr>
          <w:rFonts w:ascii="Times New Roman" w:eastAsia="Times New Roman" w:hAnsi="Times New Roman" w:cs="Times New Roman"/>
          <w:b/>
          <w:bCs/>
        </w:rPr>
        <w:t>APELACJA POWODA</w:t>
      </w:r>
    </w:p>
    <w:p w14:paraId="5C0BF505" w14:textId="6D0C892C" w:rsidR="00D20DDD" w:rsidRPr="00FA0162" w:rsidRDefault="00D20DDD" w:rsidP="00D20DDD">
      <w:pPr>
        <w:spacing w:after="0" w:line="259" w:lineRule="auto"/>
        <w:jc w:val="center"/>
        <w:rPr>
          <w:rFonts w:ascii="Times New Roman" w:eastAsia="Times New Roman" w:hAnsi="Times New Roman" w:cs="Times New Roman"/>
          <w:b/>
        </w:rPr>
      </w:pPr>
      <w:r w:rsidRPr="00FA0162">
        <w:rPr>
          <w:rFonts w:ascii="Times New Roman" w:eastAsia="Times New Roman" w:hAnsi="Times New Roman" w:cs="Times New Roman"/>
          <w:b/>
        </w:rPr>
        <w:t xml:space="preserve">od wyroku Sądu </w:t>
      </w:r>
      <w:bookmarkStart w:id="1" w:name="_Hlk124958897"/>
      <w:r w:rsidR="0006626C" w:rsidRPr="00FA0162">
        <w:rPr>
          <w:rFonts w:ascii="Times New Roman" w:eastAsia="Times New Roman" w:hAnsi="Times New Roman" w:cs="Times New Roman"/>
          <w:b/>
          <w:highlight w:val="yellow"/>
        </w:rPr>
        <w:t>____________________________</w:t>
      </w:r>
      <w:r w:rsidR="00F263B8" w:rsidRPr="00FA0162">
        <w:rPr>
          <w:rFonts w:ascii="Times New Roman" w:eastAsia="Times New Roman" w:hAnsi="Times New Roman" w:cs="Times New Roman"/>
          <w:b/>
        </w:rPr>
        <w:t xml:space="preserve"> </w:t>
      </w:r>
    </w:p>
    <w:p w14:paraId="51C3B302" w14:textId="4F293AF2" w:rsidR="00D20DDD" w:rsidRPr="00FA0162" w:rsidRDefault="0006626C" w:rsidP="00D20DDD">
      <w:pPr>
        <w:spacing w:after="0" w:line="259" w:lineRule="auto"/>
        <w:jc w:val="center"/>
        <w:rPr>
          <w:rFonts w:ascii="Times New Roman" w:eastAsia="Times New Roman" w:hAnsi="Times New Roman" w:cs="Times New Roman"/>
          <w:b/>
        </w:rPr>
      </w:pPr>
      <w:r w:rsidRPr="00FA0162">
        <w:rPr>
          <w:rFonts w:ascii="Times New Roman" w:eastAsia="Times New Roman" w:hAnsi="Times New Roman" w:cs="Times New Roman"/>
          <w:b/>
          <w:highlight w:val="yellow"/>
        </w:rPr>
        <w:t>____</w:t>
      </w:r>
      <w:r w:rsidRPr="00FA0162">
        <w:rPr>
          <w:rFonts w:ascii="Times New Roman" w:eastAsia="Times New Roman" w:hAnsi="Times New Roman" w:cs="Times New Roman"/>
          <w:b/>
        </w:rPr>
        <w:t xml:space="preserve"> </w:t>
      </w:r>
      <w:r w:rsidR="00F263B8" w:rsidRPr="00FA0162">
        <w:rPr>
          <w:rFonts w:ascii="Times New Roman" w:eastAsia="Times New Roman" w:hAnsi="Times New Roman" w:cs="Times New Roman"/>
          <w:b/>
        </w:rPr>
        <w:t xml:space="preserve">Wydział Cywilny </w:t>
      </w:r>
      <w:r w:rsidR="00D20DDD" w:rsidRPr="00FA0162">
        <w:rPr>
          <w:rFonts w:ascii="Times New Roman" w:eastAsia="Times New Roman" w:hAnsi="Times New Roman" w:cs="Times New Roman"/>
          <w:b/>
        </w:rPr>
        <w:t xml:space="preserve">z dnia </w:t>
      </w:r>
      <w:r w:rsidRPr="00FA0162">
        <w:rPr>
          <w:rFonts w:ascii="Times New Roman" w:eastAsia="Times New Roman" w:hAnsi="Times New Roman" w:cs="Times New Roman"/>
          <w:b/>
          <w:highlight w:val="yellow"/>
        </w:rPr>
        <w:t>_____________</w:t>
      </w:r>
      <w:r w:rsidR="00F263B8" w:rsidRPr="00FA0162">
        <w:rPr>
          <w:rFonts w:ascii="Times New Roman" w:eastAsia="Times New Roman" w:hAnsi="Times New Roman" w:cs="Times New Roman"/>
          <w:b/>
        </w:rPr>
        <w:t xml:space="preserve"> r.</w:t>
      </w:r>
      <w:r w:rsidR="003D54F8" w:rsidRPr="00FA0162">
        <w:rPr>
          <w:rFonts w:ascii="Times New Roman" w:eastAsia="Times New Roman" w:hAnsi="Times New Roman" w:cs="Times New Roman"/>
          <w:b/>
        </w:rPr>
        <w:t xml:space="preserve">, sygn. </w:t>
      </w:r>
      <w:r w:rsidRPr="00FA0162">
        <w:rPr>
          <w:rFonts w:ascii="Times New Roman" w:eastAsia="Times New Roman" w:hAnsi="Times New Roman" w:cs="Times New Roman"/>
          <w:b/>
          <w:highlight w:val="yellow"/>
        </w:rPr>
        <w:t>____________</w:t>
      </w:r>
    </w:p>
    <w:p w14:paraId="5BB726AC" w14:textId="77777777" w:rsidR="00D20DDD" w:rsidRPr="00FA0162" w:rsidRDefault="00D20DDD" w:rsidP="00D20DDD">
      <w:pPr>
        <w:spacing w:after="0" w:line="259" w:lineRule="auto"/>
        <w:jc w:val="both"/>
        <w:rPr>
          <w:rFonts w:ascii="Times New Roman" w:eastAsia="Times New Roman" w:hAnsi="Times New Roman" w:cs="Times New Roman"/>
        </w:rPr>
      </w:pPr>
      <w:bookmarkStart w:id="2" w:name="_Hlk75277149"/>
      <w:bookmarkEnd w:id="1"/>
    </w:p>
    <w:p w14:paraId="1C537140" w14:textId="39FBAF3E" w:rsidR="00D20DDD" w:rsidRPr="00FA0162" w:rsidRDefault="00D20DDD" w:rsidP="00E50637">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rPr>
        <w:t>Działając w imieniu pozwanego – Banku Millennium Spółki Akcyjnej w Warszawie, zarejestrowanej w rejestrze przedsiębiorców prowadzonym przez Sąd Rejonowy dla m. st. Warszawy w Warszawie, XIII Wydział Gospodarczy KRS pod numerem 0000010186 (dalej jako „</w:t>
      </w:r>
      <w:r w:rsidRPr="00FA0162">
        <w:rPr>
          <w:rFonts w:ascii="Times New Roman" w:eastAsia="Times New Roman" w:hAnsi="Times New Roman" w:cs="Times New Roman"/>
          <w:b/>
        </w:rPr>
        <w:t>Bank</w:t>
      </w:r>
      <w:r w:rsidRPr="00FA0162">
        <w:rPr>
          <w:rFonts w:ascii="Times New Roman" w:eastAsia="Times New Roman" w:hAnsi="Times New Roman" w:cs="Times New Roman"/>
        </w:rPr>
        <w:t>” „</w:t>
      </w:r>
      <w:r w:rsidRPr="00FA0162">
        <w:rPr>
          <w:rFonts w:ascii="Times New Roman" w:eastAsia="Times New Roman" w:hAnsi="Times New Roman" w:cs="Times New Roman"/>
          <w:b/>
        </w:rPr>
        <w:t>Millennium</w:t>
      </w:r>
      <w:r w:rsidRPr="00FA0162">
        <w:rPr>
          <w:rFonts w:ascii="Times New Roman" w:eastAsia="Times New Roman" w:hAnsi="Times New Roman" w:cs="Times New Roman"/>
        </w:rPr>
        <w:t>” lub „</w:t>
      </w:r>
      <w:r w:rsidR="003F3452" w:rsidRPr="00FA0162">
        <w:rPr>
          <w:rFonts w:ascii="Times New Roman" w:eastAsia="Times New Roman" w:hAnsi="Times New Roman" w:cs="Times New Roman"/>
          <w:b/>
        </w:rPr>
        <w:t>Powód</w:t>
      </w:r>
      <w:r w:rsidRPr="00FA0162">
        <w:rPr>
          <w:rFonts w:ascii="Times New Roman" w:eastAsia="Times New Roman" w:hAnsi="Times New Roman" w:cs="Times New Roman"/>
        </w:rPr>
        <w:t>”), pełnomocnictw</w:t>
      </w:r>
      <w:r w:rsidR="00885684" w:rsidRPr="00FA0162">
        <w:rPr>
          <w:rFonts w:ascii="Times New Roman" w:eastAsia="Times New Roman" w:hAnsi="Times New Roman" w:cs="Times New Roman"/>
        </w:rPr>
        <w:t>a</w:t>
      </w:r>
      <w:r w:rsidRPr="00FA0162">
        <w:rPr>
          <w:rFonts w:ascii="Times New Roman" w:eastAsia="Times New Roman" w:hAnsi="Times New Roman" w:cs="Times New Roman"/>
        </w:rPr>
        <w:t xml:space="preserve"> w aktach sprawy, na podstawie art. 367 § 1 k.p.c. oraz art. 368 § 1 k.p.c</w:t>
      </w:r>
      <w:r w:rsidRPr="00FA0162">
        <w:rPr>
          <w:rFonts w:ascii="Times New Roman" w:eastAsia="Times New Roman" w:hAnsi="Times New Roman" w:cs="Times New Roman"/>
          <w:u w:val="single"/>
        </w:rPr>
        <w:t xml:space="preserve">. </w:t>
      </w:r>
      <w:r w:rsidRPr="00FA0162">
        <w:rPr>
          <w:rFonts w:ascii="Times New Roman" w:eastAsia="Times New Roman" w:hAnsi="Times New Roman" w:cs="Times New Roman"/>
          <w:b/>
          <w:bCs/>
          <w:u w:val="single"/>
        </w:rPr>
        <w:t xml:space="preserve">zaskarżam </w:t>
      </w:r>
      <w:r w:rsidRPr="00FA0162">
        <w:rPr>
          <w:rFonts w:ascii="Times New Roman" w:eastAsia="Times New Roman" w:hAnsi="Times New Roman" w:cs="Times New Roman"/>
          <w:b/>
          <w:bCs/>
          <w:highlight w:val="yellow"/>
          <w:u w:val="single"/>
        </w:rPr>
        <w:t xml:space="preserve">w </w:t>
      </w:r>
      <w:r w:rsidR="005A5287" w:rsidRPr="00FA0162">
        <w:rPr>
          <w:rFonts w:ascii="Times New Roman" w:eastAsia="Times New Roman" w:hAnsi="Times New Roman" w:cs="Times New Roman"/>
          <w:b/>
          <w:bCs/>
          <w:highlight w:val="yellow"/>
          <w:u w:val="single"/>
        </w:rPr>
        <w:t>części tj. w zakresie pkt.________/w całości</w:t>
      </w:r>
      <w:r w:rsidR="005A5287" w:rsidRPr="00FA0162">
        <w:rPr>
          <w:rFonts w:ascii="Times New Roman" w:eastAsia="Times New Roman" w:hAnsi="Times New Roman" w:cs="Times New Roman"/>
          <w:b/>
          <w:bCs/>
          <w:u w:val="single"/>
        </w:rPr>
        <w:t xml:space="preserve"> </w:t>
      </w:r>
      <w:r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rPr>
        <w:t xml:space="preserve">wyrok Sądu </w:t>
      </w:r>
      <w:r w:rsidR="00E8016C" w:rsidRPr="00FA0162">
        <w:rPr>
          <w:rFonts w:ascii="Times New Roman" w:eastAsia="Times New Roman" w:hAnsi="Times New Roman" w:cs="Times New Roman"/>
          <w:highlight w:val="yellow"/>
        </w:rPr>
        <w:t>_________________</w:t>
      </w:r>
      <w:r w:rsidR="00E8016C" w:rsidRPr="00FA0162">
        <w:rPr>
          <w:rFonts w:ascii="Times New Roman" w:eastAsia="Times New Roman" w:hAnsi="Times New Roman" w:cs="Times New Roman"/>
        </w:rPr>
        <w:t xml:space="preserve"> , </w:t>
      </w:r>
      <w:r w:rsidR="00E8016C" w:rsidRPr="00FA0162">
        <w:rPr>
          <w:rFonts w:ascii="Times New Roman" w:eastAsia="Times New Roman" w:hAnsi="Times New Roman" w:cs="Times New Roman"/>
          <w:highlight w:val="yellow"/>
        </w:rPr>
        <w:t>____</w:t>
      </w:r>
      <w:r w:rsidR="003D54F8" w:rsidRPr="00FA0162">
        <w:rPr>
          <w:rFonts w:ascii="Times New Roman" w:eastAsia="Times New Roman" w:hAnsi="Times New Roman" w:cs="Times New Roman"/>
        </w:rPr>
        <w:t xml:space="preserve"> Wydział Cywilny</w:t>
      </w:r>
      <w:r w:rsidR="00D07BD1" w:rsidRPr="00FA0162">
        <w:rPr>
          <w:rFonts w:ascii="Times New Roman" w:eastAsia="Times New Roman" w:hAnsi="Times New Roman" w:cs="Times New Roman"/>
        </w:rPr>
        <w:t xml:space="preserve"> z dnia </w:t>
      </w:r>
      <w:r w:rsidR="00E8016C" w:rsidRPr="00FA0162">
        <w:rPr>
          <w:rFonts w:ascii="Times New Roman" w:eastAsia="Times New Roman" w:hAnsi="Times New Roman" w:cs="Times New Roman"/>
          <w:highlight w:val="yellow"/>
        </w:rPr>
        <w:t>_______________</w:t>
      </w:r>
      <w:r w:rsidR="00E8016C" w:rsidRPr="00FA0162">
        <w:rPr>
          <w:rFonts w:ascii="Times New Roman" w:eastAsia="Times New Roman" w:hAnsi="Times New Roman" w:cs="Times New Roman"/>
        </w:rPr>
        <w:t xml:space="preserve"> r. </w:t>
      </w:r>
      <w:r w:rsidR="00D07BD1" w:rsidRPr="00FA0162">
        <w:rPr>
          <w:rFonts w:ascii="Times New Roman" w:eastAsia="Times New Roman" w:hAnsi="Times New Roman" w:cs="Times New Roman"/>
        </w:rPr>
        <w:t xml:space="preserve"> </w:t>
      </w:r>
      <w:r w:rsidRPr="00FA0162">
        <w:rPr>
          <w:rFonts w:ascii="Times New Roman" w:eastAsia="Times New Roman" w:hAnsi="Times New Roman" w:cs="Times New Roman"/>
        </w:rPr>
        <w:t>wydany w sprawie o sygn. akt</w:t>
      </w:r>
      <w:r w:rsidR="00D07BD1" w:rsidRPr="00FA0162">
        <w:rPr>
          <w:rFonts w:ascii="Times New Roman" w:eastAsia="Times New Roman" w:hAnsi="Times New Roman" w:cs="Times New Roman"/>
        </w:rPr>
        <w:t xml:space="preserve">. </w:t>
      </w:r>
      <w:r w:rsidR="00E8016C" w:rsidRPr="00FA0162">
        <w:rPr>
          <w:rFonts w:ascii="Times New Roman" w:eastAsia="Times New Roman" w:hAnsi="Times New Roman" w:cs="Times New Roman"/>
          <w:highlight w:val="yellow"/>
        </w:rPr>
        <w:t>_________</w:t>
      </w:r>
      <w:r w:rsidRPr="00FA0162">
        <w:rPr>
          <w:rFonts w:ascii="Times New Roman" w:eastAsia="Times New Roman" w:hAnsi="Times New Roman" w:cs="Times New Roman"/>
          <w:highlight w:val="yellow"/>
        </w:rPr>
        <w:t>,</w:t>
      </w:r>
      <w:r w:rsidRPr="00FA0162">
        <w:rPr>
          <w:rFonts w:ascii="Times New Roman" w:eastAsia="Times New Roman" w:hAnsi="Times New Roman" w:cs="Times New Roman"/>
        </w:rPr>
        <w:t xml:space="preserve"> a wyrokowi temu zarzucam: </w:t>
      </w:r>
    </w:p>
    <w:p w14:paraId="7D71F8FB" w14:textId="77777777" w:rsidR="001916C3" w:rsidRPr="00FA0162" w:rsidRDefault="001916C3" w:rsidP="0044475E">
      <w:pPr>
        <w:spacing w:after="0" w:line="259" w:lineRule="auto"/>
        <w:contextualSpacing/>
        <w:jc w:val="both"/>
        <w:rPr>
          <w:rFonts w:ascii="Times New Roman" w:eastAsia="Times New Roman" w:hAnsi="Times New Roman" w:cs="Times New Roman"/>
          <w:b/>
        </w:rPr>
      </w:pPr>
    </w:p>
    <w:p w14:paraId="5E482D68" w14:textId="0E0E52DF" w:rsidR="005C7118" w:rsidRPr="00FA0162" w:rsidRDefault="005C7118" w:rsidP="0044475E">
      <w:pPr>
        <w:spacing w:after="0" w:line="259" w:lineRule="auto"/>
        <w:contextualSpacing/>
        <w:jc w:val="both"/>
        <w:rPr>
          <w:rFonts w:ascii="Times New Roman" w:eastAsia="Times New Roman" w:hAnsi="Times New Roman" w:cs="Times New Roman"/>
          <w:b/>
        </w:rPr>
      </w:pPr>
      <w:r w:rsidRPr="00FA0162">
        <w:rPr>
          <w:rFonts w:ascii="Times New Roman" w:eastAsia="Times New Roman" w:hAnsi="Times New Roman" w:cs="Times New Roman"/>
          <w:b/>
          <w:highlight w:val="cyan"/>
        </w:rPr>
        <w:lastRenderedPageBreak/>
        <w:t>[PRZYKŁADOWE ZARZUTY JAKIE POJAWIAŁY SIĘ W APELACJACH]</w:t>
      </w:r>
      <w:r w:rsidRPr="00FA0162">
        <w:rPr>
          <w:rFonts w:ascii="Times New Roman" w:eastAsia="Times New Roman" w:hAnsi="Times New Roman" w:cs="Times New Roman"/>
          <w:b/>
        </w:rPr>
        <w:t xml:space="preserve"> </w:t>
      </w:r>
    </w:p>
    <w:p w14:paraId="20A36C7A" w14:textId="77777777" w:rsidR="005C7118" w:rsidRPr="00FA0162" w:rsidRDefault="005C7118" w:rsidP="0044475E">
      <w:pPr>
        <w:spacing w:after="0" w:line="259" w:lineRule="auto"/>
        <w:contextualSpacing/>
        <w:jc w:val="both"/>
        <w:rPr>
          <w:rFonts w:ascii="Times New Roman" w:eastAsia="Times New Roman" w:hAnsi="Times New Roman" w:cs="Times New Roman"/>
          <w:b/>
        </w:rPr>
      </w:pPr>
    </w:p>
    <w:p w14:paraId="677094C7" w14:textId="08DB32C1"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
        </w:rPr>
      </w:pPr>
      <w:r w:rsidRPr="00FA0162">
        <w:rPr>
          <w:rFonts w:ascii="Times New Roman" w:eastAsia="Times New Roman" w:hAnsi="Times New Roman" w:cs="Times New Roman"/>
          <w:b/>
        </w:rPr>
        <w:t>na podstawie art. 368 § 1 pkt 2 k.p.c. zaskarżonemu wyrokowi zarzucam obrazę przepisów postępowania, która miała wpływ na wynik sprawy tj.</w:t>
      </w:r>
    </w:p>
    <w:p w14:paraId="65087321" w14:textId="77777777" w:rsidR="00D20DDD" w:rsidRPr="00FA0162" w:rsidRDefault="00D20DDD" w:rsidP="00D20DDD">
      <w:pPr>
        <w:spacing w:after="0" w:line="259" w:lineRule="auto"/>
        <w:ind w:left="720"/>
        <w:contextualSpacing/>
        <w:jc w:val="both"/>
        <w:rPr>
          <w:rFonts w:ascii="Times New Roman" w:eastAsia="Times New Roman" w:hAnsi="Times New Roman" w:cs="Times New Roman"/>
          <w:b/>
        </w:rPr>
      </w:pPr>
    </w:p>
    <w:p w14:paraId="3097A2E1" w14:textId="77777777" w:rsidR="00C4790F" w:rsidRPr="00FA0162" w:rsidRDefault="00D20DDD" w:rsidP="00C4790F">
      <w:pPr>
        <w:numPr>
          <w:ilvl w:val="4"/>
          <w:numId w:val="21"/>
        </w:numPr>
        <w:spacing w:after="0" w:line="259" w:lineRule="auto"/>
        <w:ind w:left="1134" w:hanging="425"/>
        <w:contextualSpacing/>
        <w:jc w:val="both"/>
        <w:rPr>
          <w:rFonts w:ascii="Times New Roman" w:eastAsia="Times New Roman" w:hAnsi="Times New Roman" w:cs="Times New Roman"/>
          <w:bCs/>
        </w:rPr>
      </w:pPr>
      <w:bookmarkStart w:id="3" w:name="_Hlk125486557"/>
      <w:r w:rsidRPr="00FA0162">
        <w:rPr>
          <w:rFonts w:ascii="Times New Roman" w:eastAsia="Times New Roman" w:hAnsi="Times New Roman" w:cs="Times New Roman"/>
          <w:b/>
        </w:rPr>
        <w:t>nierozpoznanie istoty sporu</w:t>
      </w:r>
      <w:r w:rsidRPr="00FA0162">
        <w:rPr>
          <w:rFonts w:ascii="Times New Roman" w:eastAsia="Times New Roman" w:hAnsi="Times New Roman" w:cs="Times New Roman"/>
          <w:bCs/>
        </w:rPr>
        <w:t xml:space="preserve"> i oddalenie powództwa bez zbadania w całości</w:t>
      </w:r>
      <w:r w:rsidR="00344352"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podstawy żądania, a w konsekwencji </w:t>
      </w:r>
      <w:r w:rsidR="002205DD" w:rsidRPr="00FA0162">
        <w:rPr>
          <w:rFonts w:ascii="Times New Roman" w:eastAsia="Times New Roman" w:hAnsi="Times New Roman" w:cs="Times New Roman"/>
          <w:bCs/>
        </w:rPr>
        <w:t xml:space="preserve">ustalenie, że roszczenie powoda jest niezasadne; </w:t>
      </w:r>
    </w:p>
    <w:p w14:paraId="7AE90574" w14:textId="77777777" w:rsidR="00AD5BFF" w:rsidRPr="00FA0162" w:rsidRDefault="00C4790F" w:rsidP="00AD5BFF">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nierozpoznanie istoty sporu i przedwczesne oddalenie powództwa</w:t>
      </w:r>
      <w:r w:rsidRPr="00FA0162">
        <w:rPr>
          <w:rFonts w:ascii="Times New Roman" w:eastAsia="Times New Roman" w:hAnsi="Times New Roman" w:cs="Times New Roman"/>
          <w:bCs/>
        </w:rPr>
        <w:t xml:space="preserve"> bez zbadania materialnej podstawy żądania oraz merytorycznych zarzutów strony i zgłoszonych dowodów, a w konsekwencji nieustalenie czy roszczenie powoda jest zasadne czy też nie;</w:t>
      </w:r>
    </w:p>
    <w:p w14:paraId="5CC8B819" w14:textId="22F740E3" w:rsidR="00C4790F" w:rsidRPr="00FA0162" w:rsidRDefault="00AD5BFF" w:rsidP="0038592E">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191[1] § 2, 3 i 4 k.p.c. w zw. z art. art. 316 § 1 k.p.c.</w:t>
      </w:r>
      <w:r w:rsidRPr="00FA0162">
        <w:rPr>
          <w:rFonts w:ascii="Times New Roman" w:eastAsia="Times New Roman" w:hAnsi="Times New Roman" w:cs="Times New Roman"/>
          <w:bCs/>
        </w:rPr>
        <w:t xml:space="preserve"> poprzez ich zastosowanie i oddalenie powództwa, w sytuacji gdy powództwo w niniejszej sprawie nie było bezzasadne jako przedwczesne, nie doręczając pozwu osobom wskazanym jako pozwanym ani nie rozpoznając wniosków złożonych wraz z pozwem, w podczas gdy rozstrzygnięcie sprawy wymagało przeprowadzenia postępowania dowodowego na okoliczność zasadności roszczeń Powoda, a nawet w przypadku uznania roszczenia za niewymagalne nie stało by to na przeszkodzie zasądzeniu roszczenia w przyszłości, po uzyskaniu przymiotu wymagalności stosownie do dyspozycji przepisu art. 316 § 1 k.p.c., zaś w świetle rozbieżności występujących w orzecznictwie sądowym tylko rozpoznanie niniejszej sprawy i zawieszenie postępowania, zgodnie z wnioskiem złożonym w pozwie, mogło zapewnić Powodowi pełną ochronę jego interesów, co w konsekwencji doprowadziło do oddalenia powództwa przez Sąd jako przedwczesnego;  </w:t>
      </w:r>
    </w:p>
    <w:p w14:paraId="02983201" w14:textId="3613C1F4" w:rsidR="00D20DDD" w:rsidRPr="00FA0162" w:rsidRDefault="00D94667" w:rsidP="00DF64FD">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 xml:space="preserve">naruszenie art. </w:t>
      </w:r>
      <w:r w:rsidR="00F0016A" w:rsidRPr="00FA0162">
        <w:rPr>
          <w:rFonts w:ascii="Times New Roman" w:eastAsia="Times New Roman" w:hAnsi="Times New Roman" w:cs="Times New Roman"/>
          <w:b/>
        </w:rPr>
        <w:t xml:space="preserve">187 </w:t>
      </w:r>
      <w:r w:rsidR="00E0756E" w:rsidRPr="00FA0162">
        <w:rPr>
          <w:rFonts w:ascii="Times New Roman" w:eastAsia="Times New Roman" w:hAnsi="Times New Roman" w:cs="Times New Roman"/>
          <w:b/>
        </w:rPr>
        <w:t xml:space="preserve">§ 1 pkt 2) </w:t>
      </w:r>
      <w:r w:rsidR="00636481" w:rsidRPr="00FA0162">
        <w:rPr>
          <w:rFonts w:ascii="Times New Roman" w:eastAsia="Times New Roman" w:hAnsi="Times New Roman" w:cs="Times New Roman"/>
          <w:b/>
        </w:rPr>
        <w:t xml:space="preserve"> </w:t>
      </w:r>
      <w:r w:rsidRPr="00FA0162">
        <w:rPr>
          <w:rFonts w:ascii="Times New Roman" w:eastAsia="Times New Roman" w:hAnsi="Times New Roman" w:cs="Times New Roman"/>
          <w:b/>
        </w:rPr>
        <w:t>k.p.c.</w:t>
      </w:r>
      <w:r w:rsidR="00E62D92" w:rsidRPr="00FA0162">
        <w:rPr>
          <w:rFonts w:ascii="Times New Roman" w:eastAsia="Times New Roman" w:hAnsi="Times New Roman" w:cs="Times New Roman"/>
          <w:b/>
        </w:rPr>
        <w:t xml:space="preserve"> </w:t>
      </w:r>
      <w:r w:rsidR="00D0195C" w:rsidRPr="00FA0162">
        <w:rPr>
          <w:rFonts w:ascii="Times New Roman" w:eastAsia="Times New Roman" w:hAnsi="Times New Roman" w:cs="Times New Roman"/>
          <w:b/>
        </w:rPr>
        <w:t>w zw. z art. 316 k.p.c.</w:t>
      </w:r>
      <w:r w:rsidR="00390624" w:rsidRPr="00FA0162">
        <w:rPr>
          <w:rFonts w:ascii="Times New Roman" w:eastAsia="Times New Roman" w:hAnsi="Times New Roman" w:cs="Times New Roman"/>
          <w:b/>
        </w:rPr>
        <w:t xml:space="preserve"> </w:t>
      </w:r>
      <w:r w:rsidR="00CA03A4" w:rsidRPr="00FA0162">
        <w:rPr>
          <w:rFonts w:ascii="Times New Roman" w:eastAsia="Times New Roman" w:hAnsi="Times New Roman" w:cs="Times New Roman"/>
          <w:bCs/>
        </w:rPr>
        <w:t>poprzez jego błędną wykładnie</w:t>
      </w:r>
      <w:r w:rsidR="00D0195C" w:rsidRPr="00FA0162">
        <w:rPr>
          <w:rFonts w:ascii="Times New Roman" w:eastAsia="Times New Roman" w:hAnsi="Times New Roman" w:cs="Times New Roman"/>
          <w:bCs/>
        </w:rPr>
        <w:t xml:space="preserve"> p</w:t>
      </w:r>
      <w:r w:rsidR="000A64E8" w:rsidRPr="00FA0162">
        <w:rPr>
          <w:rFonts w:ascii="Times New Roman" w:eastAsia="Times New Roman" w:hAnsi="Times New Roman" w:cs="Times New Roman"/>
          <w:bCs/>
        </w:rPr>
        <w:t xml:space="preserve">olegającą na przyjęciu, że </w:t>
      </w:r>
      <w:r w:rsidR="00F60720" w:rsidRPr="00FA0162">
        <w:rPr>
          <w:rFonts w:ascii="Times New Roman" w:eastAsia="Times New Roman" w:hAnsi="Times New Roman" w:cs="Times New Roman"/>
          <w:bCs/>
        </w:rPr>
        <w:t>brak było podstaw do wywiedzenia przez Powoda powództwa o zapłatę ze względu na nieważności umowy pożyczki, bowiem umowa nadal obowiązuje</w:t>
      </w:r>
      <w:r w:rsidR="00E26324" w:rsidRPr="00FA0162">
        <w:rPr>
          <w:rFonts w:ascii="Times New Roman" w:eastAsia="Times New Roman" w:hAnsi="Times New Roman" w:cs="Times New Roman"/>
          <w:bCs/>
        </w:rPr>
        <w:t>, kiedy to Sąd stwierdził powyższe poprzez błędną interpretację wyroków w sprawie z powództwa Kredytobiorc</w:t>
      </w:r>
      <w:r w:rsidR="00E0756E" w:rsidRPr="00FA0162">
        <w:rPr>
          <w:rFonts w:ascii="Times New Roman" w:eastAsia="Times New Roman" w:hAnsi="Times New Roman" w:cs="Times New Roman"/>
          <w:bCs/>
        </w:rPr>
        <w:t>ów</w:t>
      </w:r>
      <w:r w:rsidR="00E26324" w:rsidRPr="00FA0162">
        <w:rPr>
          <w:rFonts w:ascii="Times New Roman" w:eastAsia="Times New Roman" w:hAnsi="Times New Roman" w:cs="Times New Roman"/>
          <w:bCs/>
        </w:rPr>
        <w:t>,</w:t>
      </w:r>
      <w:r w:rsidR="00E0756E" w:rsidRPr="00FA0162">
        <w:rPr>
          <w:rFonts w:ascii="Times New Roman" w:eastAsia="Times New Roman" w:hAnsi="Times New Roman" w:cs="Times New Roman"/>
          <w:bCs/>
        </w:rPr>
        <w:t xml:space="preserve"> </w:t>
      </w:r>
      <w:r w:rsidR="00E26324" w:rsidRPr="00FA0162">
        <w:rPr>
          <w:rFonts w:ascii="Times New Roman" w:eastAsia="Times New Roman" w:hAnsi="Times New Roman" w:cs="Times New Roman"/>
          <w:bCs/>
        </w:rPr>
        <w:t>kiedy to</w:t>
      </w:r>
      <w:r w:rsidR="00E0756E" w:rsidRPr="00FA0162">
        <w:rPr>
          <w:rFonts w:ascii="Times New Roman" w:eastAsia="Times New Roman" w:hAnsi="Times New Roman" w:cs="Times New Roman"/>
          <w:bCs/>
        </w:rPr>
        <w:t xml:space="preserve"> prawomocnym wyrokiem w sprawie z powództwa Kredytobiorców orzeczono, iż </w:t>
      </w:r>
      <w:r w:rsidR="00E26324" w:rsidRPr="00FA0162">
        <w:rPr>
          <w:rFonts w:ascii="Times New Roman" w:eastAsia="Times New Roman" w:hAnsi="Times New Roman" w:cs="Times New Roman"/>
          <w:bCs/>
        </w:rPr>
        <w:t>umowa kredytu jest nieważna</w:t>
      </w:r>
      <w:r w:rsidR="00D653D2" w:rsidRPr="00FA0162">
        <w:rPr>
          <w:rFonts w:ascii="Times New Roman" w:eastAsia="Times New Roman" w:hAnsi="Times New Roman" w:cs="Times New Roman"/>
          <w:bCs/>
        </w:rPr>
        <w:t xml:space="preserve">, a </w:t>
      </w:r>
      <w:r w:rsidR="002F66BA" w:rsidRPr="00FA0162">
        <w:rPr>
          <w:rFonts w:ascii="Times New Roman" w:eastAsia="Times New Roman" w:hAnsi="Times New Roman" w:cs="Times New Roman"/>
          <w:bCs/>
        </w:rPr>
        <w:t xml:space="preserve">ponadto </w:t>
      </w:r>
      <w:r w:rsidR="00AF5821" w:rsidRPr="00FA0162">
        <w:rPr>
          <w:rFonts w:ascii="Times New Roman" w:eastAsia="Times New Roman" w:hAnsi="Times New Roman" w:cs="Times New Roman"/>
          <w:bCs/>
        </w:rPr>
        <w:t>rolą</w:t>
      </w:r>
      <w:r w:rsidR="00B00D8C" w:rsidRPr="00FA0162">
        <w:rPr>
          <w:rFonts w:ascii="Times New Roman" w:eastAsia="Times New Roman" w:hAnsi="Times New Roman" w:cs="Times New Roman"/>
          <w:bCs/>
        </w:rPr>
        <w:t xml:space="preserve"> Sądu Okręgowego w </w:t>
      </w:r>
      <w:r w:rsidR="005628FD" w:rsidRPr="00FA0162">
        <w:rPr>
          <w:rFonts w:ascii="Times New Roman" w:eastAsia="Times New Roman" w:hAnsi="Times New Roman" w:cs="Times New Roman"/>
          <w:bCs/>
        </w:rPr>
        <w:t xml:space="preserve">Katowicach </w:t>
      </w:r>
      <w:r w:rsidR="00AF5821" w:rsidRPr="00FA0162">
        <w:rPr>
          <w:rFonts w:ascii="Times New Roman" w:eastAsia="Times New Roman" w:hAnsi="Times New Roman" w:cs="Times New Roman"/>
          <w:bCs/>
        </w:rPr>
        <w:t xml:space="preserve">była </w:t>
      </w:r>
      <w:r w:rsidR="00003DB8" w:rsidRPr="00FA0162">
        <w:rPr>
          <w:rFonts w:ascii="Times New Roman" w:eastAsia="Times New Roman" w:hAnsi="Times New Roman" w:cs="Times New Roman"/>
          <w:bCs/>
        </w:rPr>
        <w:t xml:space="preserve">samodzielna </w:t>
      </w:r>
      <w:r w:rsidR="00B00D8C" w:rsidRPr="00FA0162">
        <w:rPr>
          <w:rFonts w:ascii="Times New Roman" w:eastAsia="Times New Roman" w:hAnsi="Times New Roman" w:cs="Times New Roman"/>
          <w:bCs/>
        </w:rPr>
        <w:t>ocena</w:t>
      </w:r>
      <w:r w:rsidR="00921909" w:rsidRPr="00FA0162">
        <w:rPr>
          <w:rFonts w:ascii="Times New Roman" w:eastAsia="Times New Roman" w:hAnsi="Times New Roman" w:cs="Times New Roman"/>
          <w:bCs/>
        </w:rPr>
        <w:t xml:space="preserve"> </w:t>
      </w:r>
      <w:r w:rsidR="00AF5821" w:rsidRPr="00FA0162">
        <w:rPr>
          <w:rFonts w:ascii="Times New Roman" w:eastAsia="Times New Roman" w:hAnsi="Times New Roman" w:cs="Times New Roman"/>
          <w:bCs/>
        </w:rPr>
        <w:t>czy istnieje</w:t>
      </w:r>
      <w:r w:rsidR="00921909" w:rsidRPr="00FA0162">
        <w:rPr>
          <w:rFonts w:ascii="Times New Roman" w:eastAsia="Times New Roman" w:hAnsi="Times New Roman" w:cs="Times New Roman"/>
          <w:bCs/>
        </w:rPr>
        <w:t xml:space="preserve"> podstaw</w:t>
      </w:r>
      <w:r w:rsidR="007F7B02" w:rsidRPr="00FA0162">
        <w:rPr>
          <w:rFonts w:ascii="Times New Roman" w:eastAsia="Times New Roman" w:hAnsi="Times New Roman" w:cs="Times New Roman"/>
          <w:bCs/>
        </w:rPr>
        <w:t>a</w:t>
      </w:r>
      <w:r w:rsidR="00921909" w:rsidRPr="00FA0162">
        <w:rPr>
          <w:rFonts w:ascii="Times New Roman" w:eastAsia="Times New Roman" w:hAnsi="Times New Roman" w:cs="Times New Roman"/>
          <w:bCs/>
        </w:rPr>
        <w:t xml:space="preserve"> prawn</w:t>
      </w:r>
      <w:r w:rsidR="007F7B02" w:rsidRPr="00FA0162">
        <w:rPr>
          <w:rFonts w:ascii="Times New Roman" w:eastAsia="Times New Roman" w:hAnsi="Times New Roman" w:cs="Times New Roman"/>
          <w:bCs/>
        </w:rPr>
        <w:t>a</w:t>
      </w:r>
      <w:r w:rsidR="00921909" w:rsidRPr="00FA0162">
        <w:rPr>
          <w:rFonts w:ascii="Times New Roman" w:eastAsia="Times New Roman" w:hAnsi="Times New Roman" w:cs="Times New Roman"/>
          <w:bCs/>
        </w:rPr>
        <w:t xml:space="preserve"> tego roszczenia</w:t>
      </w:r>
      <w:r w:rsidR="00A11E73" w:rsidRPr="00FA0162">
        <w:rPr>
          <w:rFonts w:ascii="Times New Roman" w:eastAsia="Times New Roman" w:hAnsi="Times New Roman" w:cs="Times New Roman"/>
          <w:bCs/>
        </w:rPr>
        <w:t xml:space="preserve">; </w:t>
      </w:r>
      <w:bookmarkStart w:id="4" w:name="_Hlk86848632"/>
      <w:bookmarkEnd w:id="3"/>
    </w:p>
    <w:p w14:paraId="21BEA302" w14:textId="1A3FE804" w:rsidR="00E97CE1" w:rsidRPr="00FA0162" w:rsidRDefault="00E97CE1" w:rsidP="00E97CE1">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naruszenie art. 187 § 1 k.p.c. w zw. z art. 316 k.p.c. i 321 k.p.c.</w:t>
      </w:r>
      <w:r w:rsidRPr="00FA0162">
        <w:rPr>
          <w:rFonts w:ascii="Times New Roman" w:eastAsia="Times New Roman" w:hAnsi="Times New Roman" w:cs="Times New Roman"/>
          <w:bCs/>
        </w:rPr>
        <w:t xml:space="preserve"> poprzez jego błędną wykładnie polegającą na przyjęciu, że przedmiotem postępowania było roszczenie wynikające z uznania zawartych w umowie kredytu klauzul za niedozwolone (abuzywne), podczas gdy przedmiotem postępowania było roszczenie o zwrot świadczenia spełnionego w wykonaniu umowy kredytu, zaś rolą Sądu Okręgowego w Warszawie była ocena czy istnieje podstawa prawna tego roszczenia, a w szczególności ocena, czy </w:t>
      </w:r>
      <w:bookmarkStart w:id="5" w:name="_Hlk125534033"/>
      <w:r w:rsidRPr="00FA0162">
        <w:rPr>
          <w:rFonts w:ascii="Times New Roman" w:eastAsia="Times New Roman" w:hAnsi="Times New Roman" w:cs="Times New Roman"/>
          <w:bCs/>
        </w:rPr>
        <w:t xml:space="preserve">roszczenie to uzasadnia odpadnięcie podstawy prawnej świadczenia w związku z abuzywnością postanowień umowy kredytu, czy też uzasadnia je bezwzględna nieważność umowy kredytu w związku z tym, że jej treść lub cel sprzeciwiała się właściwości (naturze) stosunku, ustawie lub zasadom współżycia społecznego, czy też roszczenie to jest zasadne na innej podstawie prawnej </w:t>
      </w:r>
      <w:bookmarkEnd w:id="5"/>
      <w:r w:rsidRPr="00FA0162">
        <w:rPr>
          <w:rFonts w:ascii="Times New Roman" w:eastAsia="Times New Roman" w:hAnsi="Times New Roman" w:cs="Times New Roman"/>
          <w:bCs/>
        </w:rPr>
        <w:t xml:space="preserve">- zgodnie z powszechnie przyjętą zasadą procesu cywilnego </w:t>
      </w:r>
      <w:bookmarkStart w:id="6" w:name="_Hlk125490009"/>
      <w:r w:rsidRPr="00FA0162">
        <w:rPr>
          <w:rFonts w:ascii="Times New Roman" w:eastAsia="Times New Roman" w:hAnsi="Times New Roman" w:cs="Times New Roman"/>
          <w:bCs/>
        </w:rPr>
        <w:t>„</w:t>
      </w:r>
      <w:r w:rsidRPr="00FA0162">
        <w:rPr>
          <w:rFonts w:ascii="Times New Roman" w:eastAsia="Times New Roman" w:hAnsi="Times New Roman" w:cs="Times New Roman"/>
          <w:bCs/>
          <w:i/>
          <w:iCs/>
        </w:rPr>
        <w:t>powód określa podstawę faktyczną, sąd podstawę prawną</w:t>
      </w:r>
      <w:r w:rsidRPr="00FA0162">
        <w:rPr>
          <w:rFonts w:ascii="Times New Roman" w:eastAsia="Times New Roman" w:hAnsi="Times New Roman" w:cs="Times New Roman"/>
          <w:bCs/>
        </w:rPr>
        <w:t>”</w:t>
      </w:r>
      <w:bookmarkEnd w:id="6"/>
      <w:r w:rsidRPr="00FA0162">
        <w:rPr>
          <w:rFonts w:ascii="Times New Roman" w:eastAsia="Times New Roman" w:hAnsi="Times New Roman" w:cs="Times New Roman"/>
          <w:bCs/>
        </w:rPr>
        <w:t>,</w:t>
      </w:r>
    </w:p>
    <w:bookmarkEnd w:id="4"/>
    <w:p w14:paraId="519BD53E" w14:textId="5E065332" w:rsidR="009417D9" w:rsidRPr="00FA0162" w:rsidRDefault="00D20DDD" w:rsidP="009069C2">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w:t>
      </w:r>
      <w:r w:rsidRPr="00FA0162">
        <w:rPr>
          <w:rFonts w:ascii="Times New Roman" w:eastAsia="Calibri" w:hAnsi="Times New Roman" w:cs="Times New Roman"/>
          <w:lang w:eastAsia="ar-SA"/>
        </w:rPr>
        <w:t xml:space="preserve"> </w:t>
      </w:r>
      <w:r w:rsidRPr="00FA0162">
        <w:rPr>
          <w:rFonts w:ascii="Times New Roman" w:eastAsia="Calibri" w:hAnsi="Times New Roman" w:cs="Times New Roman"/>
          <w:b/>
          <w:bCs/>
          <w:lang w:eastAsia="ar-SA"/>
        </w:rPr>
        <w:t>45 Konstytucji RP</w:t>
      </w:r>
      <w:r w:rsidRPr="00FA0162">
        <w:rPr>
          <w:rFonts w:ascii="Times New Roman" w:eastAsia="Calibri" w:hAnsi="Times New Roman" w:cs="Times New Roman"/>
          <w:lang w:eastAsia="ar-SA"/>
        </w:rPr>
        <w:t xml:space="preserve"> poprzez ograniczenie Bankowi prawa do sprawiedliwego rozpoznania sprawy i wydanie wyroku pomimo, iż </w:t>
      </w:r>
      <w:r w:rsidR="00564C99" w:rsidRPr="00FA0162">
        <w:rPr>
          <w:rFonts w:ascii="Times New Roman" w:eastAsia="Calibri" w:hAnsi="Times New Roman" w:cs="Times New Roman"/>
          <w:lang w:eastAsia="ar-SA"/>
        </w:rPr>
        <w:t xml:space="preserve">Sąd Okręgowy w </w:t>
      </w:r>
      <w:r w:rsidR="00A11E73" w:rsidRPr="00FA0162">
        <w:rPr>
          <w:rFonts w:ascii="Times New Roman" w:eastAsia="Calibri" w:hAnsi="Times New Roman" w:cs="Times New Roman"/>
          <w:lang w:eastAsia="ar-SA"/>
        </w:rPr>
        <w:t>Katowicach</w:t>
      </w:r>
      <w:r w:rsidR="00564C99" w:rsidRPr="00FA0162">
        <w:rPr>
          <w:rFonts w:ascii="Times New Roman" w:eastAsia="Calibri" w:hAnsi="Times New Roman" w:cs="Times New Roman"/>
          <w:lang w:eastAsia="ar-SA"/>
        </w:rPr>
        <w:t xml:space="preserve"> </w:t>
      </w:r>
      <w:r w:rsidRPr="00FA0162">
        <w:rPr>
          <w:rFonts w:ascii="Times New Roman" w:eastAsia="Calibri" w:hAnsi="Times New Roman" w:cs="Times New Roman"/>
          <w:lang w:eastAsia="ar-SA"/>
        </w:rPr>
        <w:t xml:space="preserve"> </w:t>
      </w:r>
      <w:r w:rsidR="00597A3E" w:rsidRPr="00FA0162">
        <w:rPr>
          <w:rFonts w:ascii="Times New Roman" w:eastAsia="Calibri" w:hAnsi="Times New Roman" w:cs="Times New Roman"/>
          <w:lang w:eastAsia="ar-SA"/>
        </w:rPr>
        <w:t xml:space="preserve">z jednej strony </w:t>
      </w:r>
      <w:r w:rsidR="004F05A2" w:rsidRPr="00FA0162">
        <w:rPr>
          <w:rFonts w:ascii="Times New Roman" w:eastAsia="Calibri" w:hAnsi="Times New Roman" w:cs="Times New Roman"/>
          <w:lang w:eastAsia="ar-SA"/>
        </w:rPr>
        <w:t xml:space="preserve">ani </w:t>
      </w:r>
      <w:r w:rsidR="00865EC3" w:rsidRPr="00FA0162">
        <w:rPr>
          <w:rFonts w:ascii="Times New Roman" w:eastAsia="Calibri" w:hAnsi="Times New Roman" w:cs="Times New Roman"/>
          <w:lang w:eastAsia="ar-SA"/>
        </w:rPr>
        <w:t>sam</w:t>
      </w:r>
      <w:r w:rsidR="00360E5B" w:rsidRPr="00FA0162">
        <w:rPr>
          <w:rFonts w:ascii="Times New Roman" w:eastAsia="Calibri" w:hAnsi="Times New Roman" w:cs="Times New Roman"/>
          <w:lang w:eastAsia="ar-SA"/>
        </w:rPr>
        <w:t xml:space="preserve"> </w:t>
      </w:r>
      <w:r w:rsidR="004C2DD3" w:rsidRPr="00FA0162">
        <w:rPr>
          <w:rFonts w:ascii="Times New Roman" w:eastAsia="Calibri" w:hAnsi="Times New Roman" w:cs="Times New Roman"/>
          <w:lang w:eastAsia="ar-SA"/>
        </w:rPr>
        <w:t xml:space="preserve">nie zbadał </w:t>
      </w:r>
      <w:r w:rsidR="00991217" w:rsidRPr="00FA0162">
        <w:rPr>
          <w:rFonts w:ascii="Times New Roman" w:eastAsia="Calibri" w:hAnsi="Times New Roman" w:cs="Times New Roman"/>
          <w:lang w:eastAsia="ar-SA"/>
        </w:rPr>
        <w:t xml:space="preserve">czy </w:t>
      </w:r>
      <w:r w:rsidR="00360E5B" w:rsidRPr="00FA0162">
        <w:rPr>
          <w:rFonts w:ascii="Times New Roman" w:eastAsia="Calibri" w:hAnsi="Times New Roman" w:cs="Times New Roman"/>
          <w:lang w:eastAsia="ar-SA"/>
        </w:rPr>
        <w:t>żądani</w:t>
      </w:r>
      <w:r w:rsidR="00F77874" w:rsidRPr="00FA0162">
        <w:rPr>
          <w:rFonts w:ascii="Times New Roman" w:eastAsia="Calibri" w:hAnsi="Times New Roman" w:cs="Times New Roman"/>
          <w:lang w:eastAsia="ar-SA"/>
        </w:rPr>
        <w:t>a</w:t>
      </w:r>
      <w:r w:rsidR="00B541EC" w:rsidRPr="00FA0162">
        <w:rPr>
          <w:rFonts w:ascii="Times New Roman" w:eastAsia="Calibri" w:hAnsi="Times New Roman" w:cs="Times New Roman"/>
          <w:lang w:eastAsia="ar-SA"/>
        </w:rPr>
        <w:t xml:space="preserve"> pozwu</w:t>
      </w:r>
      <w:r w:rsidR="00F77874" w:rsidRPr="00FA0162">
        <w:rPr>
          <w:rFonts w:ascii="Times New Roman" w:eastAsia="Calibri" w:hAnsi="Times New Roman" w:cs="Times New Roman"/>
          <w:lang w:eastAsia="ar-SA"/>
        </w:rPr>
        <w:t xml:space="preserve"> </w:t>
      </w:r>
      <w:r w:rsidR="009B766A" w:rsidRPr="00FA0162">
        <w:rPr>
          <w:rFonts w:ascii="Times New Roman" w:eastAsia="Calibri" w:hAnsi="Times New Roman" w:cs="Times New Roman"/>
          <w:lang w:eastAsia="ar-SA"/>
        </w:rPr>
        <w:t xml:space="preserve">mają podstawę prawną, w szczególności czy </w:t>
      </w:r>
      <w:r w:rsidR="005C692F" w:rsidRPr="00FA0162">
        <w:rPr>
          <w:rFonts w:ascii="Times New Roman" w:eastAsia="Calibri" w:hAnsi="Times New Roman" w:cs="Times New Roman"/>
          <w:lang w:eastAsia="ar-SA"/>
        </w:rPr>
        <w:t>uzasadnione są</w:t>
      </w:r>
      <w:r w:rsidR="00BE262B" w:rsidRPr="00FA0162">
        <w:rPr>
          <w:rFonts w:ascii="Times New Roman" w:eastAsia="Calibri" w:hAnsi="Times New Roman" w:cs="Times New Roman"/>
          <w:lang w:eastAsia="ar-SA"/>
        </w:rPr>
        <w:t xml:space="preserve"> </w:t>
      </w:r>
      <w:r w:rsidR="00BB0E24" w:rsidRPr="00FA0162">
        <w:rPr>
          <w:rFonts w:ascii="Times New Roman" w:eastAsia="Calibri" w:hAnsi="Times New Roman" w:cs="Times New Roman"/>
          <w:lang w:eastAsia="ar-SA"/>
        </w:rPr>
        <w:t>nieważnoś</w:t>
      </w:r>
      <w:r w:rsidR="004F05A2" w:rsidRPr="00FA0162">
        <w:rPr>
          <w:rFonts w:ascii="Times New Roman" w:eastAsia="Calibri" w:hAnsi="Times New Roman" w:cs="Times New Roman"/>
          <w:lang w:eastAsia="ar-SA"/>
        </w:rPr>
        <w:t>cią</w:t>
      </w:r>
      <w:r w:rsidR="00BB0E24" w:rsidRPr="00FA0162">
        <w:rPr>
          <w:rFonts w:ascii="Times New Roman" w:eastAsia="Calibri" w:hAnsi="Times New Roman" w:cs="Times New Roman"/>
          <w:lang w:eastAsia="ar-SA"/>
        </w:rPr>
        <w:t xml:space="preserve"> umowy kredytu, </w:t>
      </w:r>
      <w:r w:rsidR="004F05A2" w:rsidRPr="00FA0162">
        <w:rPr>
          <w:rFonts w:ascii="Times New Roman" w:eastAsia="Calibri" w:hAnsi="Times New Roman" w:cs="Times New Roman"/>
          <w:lang w:eastAsia="ar-SA"/>
        </w:rPr>
        <w:t xml:space="preserve">względnie </w:t>
      </w:r>
      <w:r w:rsidR="00BB0E24" w:rsidRPr="00FA0162">
        <w:rPr>
          <w:rFonts w:ascii="Times New Roman" w:eastAsia="Calibri" w:hAnsi="Times New Roman" w:cs="Times New Roman"/>
          <w:lang w:eastAsia="ar-SA"/>
        </w:rPr>
        <w:t>czy też roszczenie to jest zasadne na innej podstawie prawnej</w:t>
      </w:r>
      <w:r w:rsidR="00BE262B" w:rsidRPr="00FA0162">
        <w:rPr>
          <w:rFonts w:ascii="Times New Roman" w:eastAsia="Times New Roman" w:hAnsi="Times New Roman" w:cs="Times New Roman"/>
          <w:bCs/>
        </w:rPr>
        <w:t xml:space="preserve">; </w:t>
      </w:r>
    </w:p>
    <w:p w14:paraId="5AC97DC0" w14:textId="077B4497" w:rsidR="002D4F6E" w:rsidRPr="00FA0162" w:rsidRDefault="002D4F6E" w:rsidP="00C77C32">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w:t>
      </w:r>
      <w:r w:rsidRPr="00FA0162">
        <w:rPr>
          <w:rFonts w:ascii="Times New Roman" w:eastAsia="Calibri" w:hAnsi="Times New Roman" w:cs="Times New Roman"/>
          <w:lang w:eastAsia="ar-SA"/>
        </w:rPr>
        <w:t xml:space="preserve"> </w:t>
      </w:r>
      <w:r w:rsidRPr="00FA0162">
        <w:rPr>
          <w:rFonts w:ascii="Times New Roman" w:eastAsia="Calibri" w:hAnsi="Times New Roman" w:cs="Times New Roman"/>
          <w:b/>
          <w:bCs/>
          <w:lang w:eastAsia="ar-SA"/>
        </w:rPr>
        <w:t>45 Konstytucji RP</w:t>
      </w:r>
      <w:r w:rsidRPr="00FA0162">
        <w:rPr>
          <w:rFonts w:ascii="Times New Roman" w:eastAsia="Calibri" w:hAnsi="Times New Roman" w:cs="Times New Roman"/>
          <w:lang w:eastAsia="ar-SA"/>
        </w:rPr>
        <w:t xml:space="preserve"> poprzez ograniczenie Bankowi prawa do sprawiedliwego rozpoznania sprawy i wydanie wyroku pomimo, iż Sąd Okręgowy w Warszawie  z jednej strony ani sam nie zbadał czy żądania pozwu mają podstawę prawną, w szczególności czy </w:t>
      </w:r>
      <w:r w:rsidRPr="00FA0162">
        <w:rPr>
          <w:rFonts w:ascii="Times New Roman" w:eastAsia="Calibri" w:hAnsi="Times New Roman" w:cs="Times New Roman"/>
          <w:lang w:eastAsia="ar-SA"/>
        </w:rPr>
        <w:lastRenderedPageBreak/>
        <w:t>uzasadnione są bezwzględną nieważnością umowy kredytu w związku z tym, że jej treść lub cel sprzeciwiała się właściwości (naturze) stosunku, ustawie lub zasadom współżycia społecznego, względnie czy też roszczenie to jest zasadne na innej podstawie prawnej</w:t>
      </w:r>
      <w:r w:rsidRPr="00FA0162">
        <w:rPr>
          <w:rFonts w:ascii="Times New Roman" w:eastAsia="Times New Roman" w:hAnsi="Times New Roman" w:cs="Times New Roman"/>
          <w:bCs/>
        </w:rPr>
        <w:t xml:space="preserve">, </w:t>
      </w:r>
      <w:r w:rsidRPr="00FA0162">
        <w:rPr>
          <w:rFonts w:ascii="Times New Roman" w:eastAsia="Calibri" w:hAnsi="Times New Roman" w:cs="Times New Roman"/>
          <w:lang w:eastAsia="ar-SA"/>
        </w:rPr>
        <w:t xml:space="preserve">a z drugiej strony także nie zawiesił postępowania do czasu prawomocnego zakończenia postępowania toczącego się </w:t>
      </w:r>
      <w:bookmarkStart w:id="7" w:name="_Hlk124851792"/>
      <w:r w:rsidRPr="00FA0162">
        <w:rPr>
          <w:rFonts w:ascii="Times New Roman" w:eastAsia="Times New Roman" w:hAnsi="Times New Roman" w:cs="Times New Roman"/>
          <w:bCs/>
        </w:rPr>
        <w:t xml:space="preserve">przed Sądem </w:t>
      </w:r>
      <w:r w:rsidRPr="00FA0162">
        <w:rPr>
          <w:rFonts w:ascii="Times New Roman" w:eastAsia="Times New Roman" w:hAnsi="Times New Roman" w:cs="Times New Roman"/>
          <w:bCs/>
          <w:highlight w:val="yellow"/>
        </w:rPr>
        <w:t>_________________________</w:t>
      </w:r>
      <w:r w:rsidRPr="00FA0162">
        <w:rPr>
          <w:rFonts w:ascii="Times New Roman" w:eastAsia="Times New Roman" w:hAnsi="Times New Roman" w:cs="Times New Roman"/>
          <w:b/>
          <w:bCs/>
        </w:rPr>
        <w:t xml:space="preserve"> </w:t>
      </w:r>
      <w:bookmarkEnd w:id="7"/>
      <w:r w:rsidRPr="00FA0162">
        <w:rPr>
          <w:rFonts w:ascii="Times New Roman" w:eastAsia="Calibri" w:hAnsi="Times New Roman" w:cs="Times New Roman"/>
          <w:bCs/>
          <w:lang w:eastAsia="ar-SA"/>
        </w:rPr>
        <w:t xml:space="preserve">w sprawie </w:t>
      </w:r>
      <w:r w:rsidRPr="00FA0162">
        <w:rPr>
          <w:rFonts w:ascii="Times New Roman" w:eastAsia="Calibri" w:hAnsi="Times New Roman" w:cs="Times New Roman"/>
          <w:lang w:eastAsia="ar-SA"/>
        </w:rPr>
        <w:t>z powództwa kredytobiorcy przeciwko Bankowi, w którym taka podstawa prawna był badana w czasie wyrokowania,</w:t>
      </w:r>
    </w:p>
    <w:p w14:paraId="75A610A1" w14:textId="77777777" w:rsidR="007B1E80" w:rsidRPr="00FA0162" w:rsidRDefault="00B155E2" w:rsidP="007B1E80">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bCs/>
        </w:rPr>
        <w:t xml:space="preserve">art. 233 § 1 k.p.c. w zw. z art. 227 k.p.c. </w:t>
      </w:r>
      <w:r w:rsidRPr="00FA0162">
        <w:rPr>
          <w:rFonts w:ascii="Times New Roman" w:eastAsia="Times New Roman" w:hAnsi="Times New Roman" w:cs="Times New Roman"/>
          <w:bCs/>
        </w:rPr>
        <w:t xml:space="preserve">poprzez naruszenie zasady wszechstronnej, logicznej oceny dowodów, co wyrażało się w stwierdzeniu, że </w:t>
      </w:r>
      <w:r w:rsidRPr="00FA0162">
        <w:rPr>
          <w:rFonts w:ascii="Times New Roman" w:eastAsia="Times New Roman" w:hAnsi="Times New Roman" w:cs="Times New Roman"/>
          <w:bCs/>
          <w:i/>
          <w:iCs/>
        </w:rPr>
        <w:t>„</w:t>
      </w:r>
      <w:r w:rsidR="00E2142B" w:rsidRPr="00FA0162">
        <w:rPr>
          <w:rFonts w:ascii="Times New Roman" w:eastAsia="Times New Roman" w:hAnsi="Times New Roman" w:cs="Times New Roman"/>
          <w:bCs/>
          <w:i/>
          <w:iCs/>
          <w:highlight w:val="yellow"/>
        </w:rPr>
        <w:t>Sąd Rejonowy stwierdził, że umowa jest ważna, ale powinna być wykonywania bez abuzywnej indeksacji.</w:t>
      </w:r>
      <w:r w:rsidR="00FC1605" w:rsidRPr="00FA0162">
        <w:rPr>
          <w:rFonts w:ascii="Times New Roman" w:eastAsia="Times New Roman" w:hAnsi="Times New Roman" w:cs="Times New Roman"/>
          <w:bCs/>
          <w:i/>
          <w:iCs/>
          <w:highlight w:val="yellow"/>
        </w:rPr>
        <w:t xml:space="preserve"> Stanowisko to podtrzymał Sąd Okręgowy w Warszawie XXVII w sprawie o sygn. akt XXVII Ca 1557/20 w wyroku z dnia 16 lutego 2023 roku.</w:t>
      </w:r>
      <w:r w:rsidR="00FC1605" w:rsidRPr="00FA0162">
        <w:rPr>
          <w:rFonts w:ascii="Times New Roman" w:eastAsia="Times New Roman" w:hAnsi="Times New Roman" w:cs="Times New Roman"/>
          <w:bCs/>
          <w:i/>
          <w:iCs/>
        </w:rPr>
        <w:t>”</w:t>
      </w:r>
      <w:r w:rsidR="00FC1605"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pomimo że z </w:t>
      </w:r>
      <w:r w:rsidR="000A50AA" w:rsidRPr="00FA0162">
        <w:rPr>
          <w:rFonts w:ascii="Times New Roman" w:eastAsia="Times New Roman" w:hAnsi="Times New Roman" w:cs="Times New Roman"/>
          <w:bCs/>
        </w:rPr>
        <w:t>prawidłowa analiza w.w.</w:t>
      </w:r>
      <w:r w:rsidR="00542D2F" w:rsidRPr="00FA0162">
        <w:rPr>
          <w:rFonts w:ascii="Times New Roman" w:eastAsia="Times New Roman" w:hAnsi="Times New Roman" w:cs="Times New Roman"/>
          <w:bCs/>
        </w:rPr>
        <w:t xml:space="preserve"> wyroków wskazałaby, że w sprawie z powództwa Kredytobiorców zarówno Sąd I instancji jak i II instancji orzekł o nieważności </w:t>
      </w:r>
      <w:r w:rsidR="0070709D" w:rsidRPr="00FA0162">
        <w:rPr>
          <w:rFonts w:ascii="Times New Roman" w:eastAsia="Times New Roman" w:hAnsi="Times New Roman" w:cs="Times New Roman"/>
          <w:bCs/>
        </w:rPr>
        <w:t xml:space="preserve">łączącej strony </w:t>
      </w:r>
      <w:r w:rsidR="00542D2F" w:rsidRPr="00FA0162">
        <w:rPr>
          <w:rFonts w:ascii="Times New Roman" w:eastAsia="Times New Roman" w:hAnsi="Times New Roman" w:cs="Times New Roman"/>
          <w:bCs/>
        </w:rPr>
        <w:t>umowy kredytu</w:t>
      </w:r>
      <w:r w:rsidR="00AC325F" w:rsidRPr="00FA0162">
        <w:rPr>
          <w:rFonts w:ascii="Times New Roman" w:eastAsia="Times New Roman" w:hAnsi="Times New Roman" w:cs="Times New Roman"/>
          <w:bCs/>
        </w:rPr>
        <w:t xml:space="preserve">; </w:t>
      </w:r>
    </w:p>
    <w:p w14:paraId="47642165" w14:textId="5A65276B" w:rsidR="007B1E80" w:rsidRPr="00FA0162" w:rsidRDefault="007B1E80" w:rsidP="007B1E80">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327</w:t>
      </w:r>
      <w:r w:rsidRPr="00FA0162">
        <w:rPr>
          <w:rFonts w:ascii="Times New Roman" w:eastAsia="Times New Roman" w:hAnsi="Times New Roman" w:cs="Times New Roman"/>
          <w:b/>
          <w:vertAlign w:val="superscript"/>
        </w:rPr>
        <w:t>1</w:t>
      </w:r>
      <w:r w:rsidRPr="00FA0162">
        <w:rPr>
          <w:rFonts w:ascii="Times New Roman" w:eastAsia="Times New Roman" w:hAnsi="Times New Roman" w:cs="Times New Roman"/>
          <w:b/>
        </w:rPr>
        <w:t xml:space="preserve"> § 1 pkt 1 k.p.c.</w:t>
      </w:r>
      <w:r w:rsidRPr="00FA0162">
        <w:rPr>
          <w:rFonts w:ascii="Times New Roman" w:eastAsia="Times New Roman" w:hAnsi="Times New Roman" w:cs="Times New Roman"/>
          <w:bCs/>
        </w:rPr>
        <w:t xml:space="preserve"> poprzez rozpoznanie zgłoszonych w sprawie roszczeń bez zapoznania się (w świetle treści wyroku) z określoną w pozwie podstawą faktyczną żądania oraz przedstawionym na jej poparcie materiałem dowodowym, co w konsekwencji doprowadziło Sąd Okręgowy do błędnej konkluzji o ogólnikowym sformułowaniu roszczenia i oddalenia powództwa w całości; tymczasem rzetelne zapoznanie się ze stanowiskiem powoda doprowadziłoby do dostrzeżenia przez Sąd Okręgowy dokładnego uzasadnienia tego, w jaki sposób doszło do wyliczenia przez stronę powodową dochodzonego roszczenia;   </w:t>
      </w:r>
    </w:p>
    <w:p w14:paraId="758FE1E6" w14:textId="77777777" w:rsidR="00015C4F" w:rsidRPr="00FA0162" w:rsidRDefault="000652E4" w:rsidP="00015C4F">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art. 327</w:t>
      </w:r>
      <w:r w:rsidRPr="00FA0162">
        <w:rPr>
          <w:rFonts w:ascii="Times New Roman" w:eastAsia="Times New Roman" w:hAnsi="Times New Roman" w:cs="Times New Roman"/>
          <w:b/>
          <w:vertAlign w:val="superscript"/>
        </w:rPr>
        <w:t>1</w:t>
      </w:r>
      <w:r w:rsidRPr="00FA0162">
        <w:rPr>
          <w:rFonts w:ascii="Times New Roman" w:eastAsia="Times New Roman" w:hAnsi="Times New Roman" w:cs="Times New Roman"/>
          <w:b/>
        </w:rPr>
        <w:t xml:space="preserve"> § 1 pkt 1 k.p.c. </w:t>
      </w:r>
      <w:r w:rsidRPr="00FA0162">
        <w:rPr>
          <w:rFonts w:ascii="Times New Roman" w:eastAsia="Times New Roman" w:hAnsi="Times New Roman" w:cs="Times New Roman"/>
          <w:bCs/>
        </w:rPr>
        <w:t xml:space="preserve">poprzez brak rzetelnego zbadania materialnoprawnej podstawy zgłoszonego roszczenia (art. 405 k.c. w zw. z art. 410 k.c.), albowiem w tym zakresie Sąd Okręgowy wskazał jedynie, że roszczenie powoda nie znajduje oparcia w przepisach o bezpodstawnym wzbogaceniu, które to sformułowanie w żadnym stopniu nie pozwala odtworzyć procesu wykładni omawianych przepisów przez Sąd Okręgowy, uniemożliwiając kontrolę instancyjną wyroku; </w:t>
      </w:r>
      <w:r w:rsidRPr="00FA0162">
        <w:rPr>
          <w:rFonts w:ascii="Times New Roman" w:eastAsia="Times New Roman" w:hAnsi="Times New Roman" w:cs="Times New Roman"/>
          <w:b/>
        </w:rPr>
        <w:t xml:space="preserve"> </w:t>
      </w:r>
    </w:p>
    <w:p w14:paraId="0604318A" w14:textId="77777777" w:rsidR="00BF5D26" w:rsidRPr="00FA0162" w:rsidRDefault="00015C4F"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art. 235</w:t>
      </w:r>
      <w:r w:rsidRPr="00FA0162">
        <w:rPr>
          <w:rFonts w:ascii="Times New Roman" w:eastAsia="Calibri" w:hAnsi="Times New Roman" w:cs="Times New Roman"/>
          <w:b/>
          <w:bCs/>
          <w:vertAlign w:val="superscript"/>
          <w:lang w:eastAsia="ar-SA"/>
        </w:rPr>
        <w:t>2</w:t>
      </w:r>
      <w:r w:rsidRPr="00FA0162">
        <w:rPr>
          <w:rFonts w:ascii="Times New Roman" w:eastAsia="Calibri" w:hAnsi="Times New Roman" w:cs="Times New Roman"/>
          <w:b/>
          <w:bCs/>
          <w:lang w:eastAsia="ar-SA"/>
        </w:rPr>
        <w:t xml:space="preserve"> § 1 pkt 2 k.p.c. w zw. z art. 227 k.p.c. w zw. z art. 278 § 1 k.p.c. </w:t>
      </w:r>
      <w:r w:rsidRPr="00FA0162">
        <w:rPr>
          <w:rFonts w:ascii="Times New Roman" w:eastAsia="Calibri" w:hAnsi="Times New Roman" w:cs="Times New Roman"/>
          <w:lang w:eastAsia="ar-SA"/>
        </w:rPr>
        <w:t xml:space="preserve">poprzez pominięcie wniosku </w:t>
      </w:r>
      <w:r w:rsidRPr="00FA0162">
        <w:rPr>
          <w:rFonts w:ascii="Times New Roman" w:eastAsia="Times New Roman" w:hAnsi="Times New Roman" w:cs="Times New Roman"/>
          <w:bCs/>
        </w:rPr>
        <w:t>dowodowego o</w:t>
      </w:r>
      <w:r w:rsidRPr="00FA0162">
        <w:rPr>
          <w:rFonts w:ascii="Times New Roman" w:eastAsia="Calibri" w:hAnsi="Times New Roman" w:cs="Times New Roman"/>
          <w:lang w:eastAsia="ar-SA"/>
        </w:rPr>
        <w:t xml:space="preserve"> przeprowadzenie dowodu z opinii  biegłego  sądowego, czym Sąd I Instancji uniemożliwił wykazanie stronie powodowej wysokości dochodzonego roszczenia, co było uzasadnione w sytuacji, w której Sąd Okręgowy pominął bądź nie umiał wyprowadzić samodzielnie prawidłowych wniosków w oparciu o kalkulację przedstawioną przez powoda, co uzasadniało wsparcie Sądu przy ocenie przedstawionego stanu faktycznego oraz materiału dowodowego wiedzą specjalistyczną posiadaną przez biegłego sądowego;  </w:t>
      </w:r>
    </w:p>
    <w:p w14:paraId="007FD1AD" w14:textId="77777777" w:rsidR="00BF5D26" w:rsidRPr="00FA0162" w:rsidRDefault="00BF5D26"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233 § 1 k.p.c. w zw. z art. 227 k.p.c. </w:t>
      </w:r>
      <w:r w:rsidRPr="00FA0162">
        <w:rPr>
          <w:rFonts w:ascii="Times New Roman" w:eastAsia="Calibri" w:hAnsi="Times New Roman" w:cs="Times New Roman"/>
          <w:lang w:eastAsia="ar-SA"/>
        </w:rPr>
        <w:t xml:space="preserve">poprzez naruszenie zasady wszechstronnej oceny materiału dowodowego, albowiem Sąd Okręgowy zaniechał jakiejkolwiek (bądź prawidłowej) oceny materiału w postaci dyspozycji wypłaty środków (pkt 4 lit. d </w:t>
      </w:r>
      <w:r w:rsidRPr="00FA0162">
        <w:rPr>
          <w:rFonts w:ascii="Times New Roman" w:eastAsia="Calibri" w:hAnsi="Times New Roman" w:cs="Times New Roman"/>
          <w:i/>
          <w:iCs/>
          <w:lang w:eastAsia="ar-SA"/>
        </w:rPr>
        <w:t xml:space="preserve">petitum </w:t>
      </w:r>
      <w:r w:rsidRPr="00FA0162">
        <w:rPr>
          <w:rFonts w:ascii="Times New Roman" w:eastAsia="Calibri" w:hAnsi="Times New Roman" w:cs="Times New Roman"/>
          <w:lang w:eastAsia="ar-SA"/>
        </w:rPr>
        <w:t xml:space="preserve">pozwu) oraz zaświadczenia o udzieleniu kredytu (pkt 4 lit. f </w:t>
      </w:r>
      <w:r w:rsidRPr="00FA0162">
        <w:rPr>
          <w:rFonts w:ascii="Times New Roman" w:eastAsia="Calibri" w:hAnsi="Times New Roman" w:cs="Times New Roman"/>
          <w:i/>
          <w:iCs/>
          <w:lang w:eastAsia="ar-SA"/>
        </w:rPr>
        <w:t>petitum</w:t>
      </w:r>
      <w:r w:rsidRPr="00FA0162">
        <w:rPr>
          <w:rFonts w:ascii="Times New Roman" w:eastAsia="Calibri" w:hAnsi="Times New Roman" w:cs="Times New Roman"/>
          <w:lang w:eastAsia="ar-SA"/>
        </w:rPr>
        <w:t xml:space="preserve"> pozwu) </w:t>
      </w:r>
      <w:r w:rsidRPr="00FA0162">
        <w:rPr>
          <w:rFonts w:ascii="Times New Roman" w:eastAsia="Calibri" w:hAnsi="Times New Roman" w:cs="Times New Roman"/>
          <w:b/>
          <w:bCs/>
          <w:lang w:eastAsia="ar-SA"/>
        </w:rPr>
        <w:t xml:space="preserve">w konsekwencji </w:t>
      </w:r>
      <w:r w:rsidRPr="00FA0162">
        <w:rPr>
          <w:rFonts w:ascii="Times New Roman" w:eastAsia="Calibri" w:hAnsi="Times New Roman" w:cs="Times New Roman"/>
          <w:lang w:eastAsia="ar-SA"/>
        </w:rPr>
        <w:t xml:space="preserve">Sąd Okręgowy doszedł do błędnej konkluzji, że </w:t>
      </w:r>
      <w:r w:rsidRPr="00FA0162">
        <w:rPr>
          <w:rFonts w:ascii="Times New Roman" w:eastAsia="Calibri" w:hAnsi="Times New Roman" w:cs="Times New Roman"/>
          <w:i/>
          <w:iCs/>
          <w:lang w:eastAsia="ar-SA"/>
        </w:rPr>
        <w:t>z treści pozwu nie można wywnioskować jaka była dokładna data uruchomienia kredytu , a tym bardziej wysokość kwot i terminy rozliczeń po wyroku Sądu Okręgowego w Warszawie</w:t>
      </w:r>
      <w:r w:rsidRPr="00FA0162">
        <w:rPr>
          <w:rFonts w:ascii="Times New Roman" w:eastAsia="Calibri" w:hAnsi="Times New Roman" w:cs="Times New Roman"/>
          <w:lang w:eastAsia="ar-SA"/>
        </w:rPr>
        <w:t>, tymczasem wysokość i data poszczególnych wypłaconych transz wynika wprost z dokumentów przedstawionych przez pozwanego, a problematyka rozliczenia po wyroku Sądu Okręgowego w Warszawie nie ma żadnego znaczenia dla rozstrzygnięcia w niniejszym postępowaniu;</w:t>
      </w:r>
    </w:p>
    <w:p w14:paraId="1AB27933" w14:textId="3F537A18" w:rsidR="00BF5D26" w:rsidRPr="00FA0162" w:rsidRDefault="00BF5D26" w:rsidP="00BF5D26">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233 § 1 k.p.c. w zw. z art. 227 k.p.c. </w:t>
      </w:r>
      <w:r w:rsidRPr="00FA0162">
        <w:rPr>
          <w:rFonts w:ascii="Times New Roman" w:eastAsia="Calibri" w:hAnsi="Times New Roman" w:cs="Times New Roman"/>
          <w:lang w:eastAsia="ar-SA"/>
        </w:rPr>
        <w:t xml:space="preserve">poprzez naruszenie zasady wszechstronnej bądź logicznej oceny dowodów, co wyrażało się w ustaleniu, że </w:t>
      </w:r>
      <w:r w:rsidRPr="00FA0162">
        <w:rPr>
          <w:rFonts w:ascii="Times New Roman" w:eastAsia="Calibri" w:hAnsi="Times New Roman" w:cs="Times New Roman"/>
          <w:i/>
          <w:iCs/>
          <w:lang w:eastAsia="ar-SA"/>
        </w:rPr>
        <w:t xml:space="preserve">powód nie wykazał, jaka marża obowiązywała w danym okresie obowiązywania umowy, </w:t>
      </w:r>
      <w:r w:rsidRPr="00FA0162">
        <w:rPr>
          <w:rFonts w:ascii="Times New Roman" w:eastAsia="Calibri" w:hAnsi="Times New Roman" w:cs="Times New Roman"/>
          <w:lang w:eastAsia="ar-SA"/>
        </w:rPr>
        <w:t xml:space="preserve">podczas gdy strona powodowa przedstawiła dokument – kalkulację roszczeń wraz z zestawieniem sposobem kalkulacji </w:t>
      </w:r>
      <w:r w:rsidRPr="00FA0162">
        <w:rPr>
          <w:rFonts w:ascii="Times New Roman" w:eastAsia="Calibri" w:hAnsi="Times New Roman" w:cs="Times New Roman"/>
          <w:lang w:eastAsia="ar-SA"/>
        </w:rPr>
        <w:lastRenderedPageBreak/>
        <w:t xml:space="preserve">(pkt 4 lit. k i l </w:t>
      </w:r>
      <w:r w:rsidRPr="00FA0162">
        <w:rPr>
          <w:rFonts w:ascii="Times New Roman" w:eastAsia="Calibri" w:hAnsi="Times New Roman" w:cs="Times New Roman"/>
          <w:i/>
          <w:iCs/>
          <w:lang w:eastAsia="ar-SA"/>
        </w:rPr>
        <w:t xml:space="preserve">petitum </w:t>
      </w:r>
      <w:r w:rsidRPr="00FA0162">
        <w:rPr>
          <w:rFonts w:ascii="Times New Roman" w:eastAsia="Calibri" w:hAnsi="Times New Roman" w:cs="Times New Roman"/>
          <w:lang w:eastAsia="ar-SA"/>
        </w:rPr>
        <w:t>pozwu), z której wprost wynika wysokość przyjętej na potrzeby wyliczenia kredytu marży oraz źródło wspomnianych danych; w konsekwencji Sąd Okręgowy błędnie uznał roszczenie zgłoszone w pozwie za niewykazane, pomimo posiadania miarodajnego materiału do jego merytorycznej oceny;</w:t>
      </w:r>
      <w:r w:rsidRPr="00FA0162">
        <w:rPr>
          <w:rFonts w:ascii="Times New Roman" w:eastAsia="Times New Roman" w:hAnsi="Times New Roman" w:cs="Times New Roman"/>
          <w:bCs/>
        </w:rPr>
        <w:t xml:space="preserve"> </w:t>
      </w:r>
    </w:p>
    <w:p w14:paraId="66FBA09B" w14:textId="77777777" w:rsidR="00076D43" w:rsidRPr="00FA0162" w:rsidRDefault="00076D43" w:rsidP="00076D43">
      <w:pPr>
        <w:numPr>
          <w:ilvl w:val="4"/>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177 § 1 pkt 1) k.p.c.</w:t>
      </w:r>
      <w:r w:rsidRPr="00FA0162">
        <w:rPr>
          <w:rFonts w:ascii="Times New Roman" w:eastAsia="Times New Roman" w:hAnsi="Times New Roman" w:cs="Times New Roman"/>
          <w:b/>
          <w:bCs/>
        </w:rPr>
        <w:t xml:space="preserve"> </w:t>
      </w:r>
      <w:r w:rsidRPr="00FA0162">
        <w:rPr>
          <w:rFonts w:ascii="Times New Roman" w:eastAsia="Times New Roman" w:hAnsi="Times New Roman" w:cs="Times New Roman"/>
          <w:bCs/>
        </w:rPr>
        <w:t>poprzez jego niezastosowanie i zaniechanie wydania postanowienia o zawieszeniu postępowania do czasu:</w:t>
      </w:r>
    </w:p>
    <w:p w14:paraId="5E4D569D" w14:textId="77777777" w:rsidR="00076D43" w:rsidRPr="00FA0162" w:rsidRDefault="00076D43" w:rsidP="00076D43">
      <w:pPr>
        <w:spacing w:after="0" w:line="290" w:lineRule="atLeast"/>
        <w:ind w:left="720"/>
        <w:contextualSpacing/>
        <w:rPr>
          <w:rFonts w:ascii="Times New Roman" w:eastAsia="Times New Roman" w:hAnsi="Times New Roman" w:cs="Times New Roman"/>
          <w:bCs/>
        </w:rPr>
      </w:pPr>
    </w:p>
    <w:p w14:paraId="5800ABFC" w14:textId="507B9002" w:rsidR="00076D43" w:rsidRPr="00FA0162" w:rsidRDefault="00076D43" w:rsidP="00076D43">
      <w:pPr>
        <w:numPr>
          <w:ilvl w:val="5"/>
          <w:numId w:val="21"/>
        </w:numPr>
        <w:spacing w:after="0" w:line="259" w:lineRule="auto"/>
        <w:ind w:left="1701" w:hanging="567"/>
        <w:contextualSpacing/>
        <w:jc w:val="both"/>
        <w:rPr>
          <w:rFonts w:ascii="Times New Roman" w:eastAsia="Times New Roman" w:hAnsi="Times New Roman" w:cs="Times New Roman"/>
          <w:b/>
          <w:bCs/>
        </w:rPr>
      </w:pPr>
      <w:r w:rsidRPr="00FA0162">
        <w:rPr>
          <w:rFonts w:ascii="Times New Roman" w:eastAsia="Times New Roman" w:hAnsi="Times New Roman" w:cs="Times New Roman"/>
          <w:bCs/>
        </w:rPr>
        <w:t xml:space="preserve">prawomocnego zakończenia postępowania toczącego się </w:t>
      </w:r>
      <w:bookmarkStart w:id="8" w:name="_Hlk124962445"/>
      <w:r w:rsidRPr="00FA0162">
        <w:rPr>
          <w:rFonts w:ascii="Times New Roman" w:eastAsia="Times New Roman" w:hAnsi="Times New Roman" w:cs="Times New Roman"/>
          <w:bCs/>
        </w:rPr>
        <w:t xml:space="preserve">przed Sądem </w:t>
      </w:r>
      <w:bookmarkStart w:id="9" w:name="_Hlk124959829"/>
      <w:r w:rsidRPr="00FA0162">
        <w:rPr>
          <w:rFonts w:ascii="Times New Roman" w:eastAsia="Times New Roman" w:hAnsi="Times New Roman" w:cs="Times New Roman"/>
          <w:bCs/>
          <w:highlight w:val="yellow"/>
        </w:rPr>
        <w:t>_____________________</w:t>
      </w:r>
      <w:r w:rsidRPr="00FA0162">
        <w:rPr>
          <w:rFonts w:ascii="Times New Roman" w:eastAsia="Times New Roman" w:hAnsi="Times New Roman" w:cs="Times New Roman"/>
          <w:b/>
          <w:bCs/>
        </w:rPr>
        <w:t xml:space="preserve"> </w:t>
      </w:r>
      <w:bookmarkEnd w:id="8"/>
      <w:bookmarkEnd w:id="9"/>
      <w:r w:rsidRPr="00FA0162">
        <w:rPr>
          <w:rFonts w:ascii="Times New Roman" w:eastAsia="Times New Roman" w:hAnsi="Times New Roman" w:cs="Times New Roman"/>
          <w:bCs/>
        </w:rPr>
        <w:t>z powództwa</w:t>
      </w:r>
      <w:r w:rsidRPr="00FA0162">
        <w:rPr>
          <w:rFonts w:ascii="Times New Roman" w:eastAsia="Times New Roman" w:hAnsi="Times New Roman" w:cs="Times New Roman"/>
        </w:rPr>
        <w:t xml:space="preserve"> </w:t>
      </w:r>
      <w:r w:rsidRPr="00FA0162">
        <w:rPr>
          <w:rFonts w:ascii="Times New Roman" w:eastAsia="Times New Roman" w:hAnsi="Times New Roman" w:cs="Times New Roman"/>
          <w:highlight w:val="yellow"/>
        </w:rPr>
        <w:t>________,</w:t>
      </w:r>
      <w:r w:rsidRPr="00FA0162">
        <w:rPr>
          <w:rFonts w:ascii="Times New Roman" w:eastAsia="Times New Roman" w:hAnsi="Times New Roman" w:cs="Times New Roman"/>
        </w:rPr>
        <w:t xml:space="preserve"> podczas gdy </w:t>
      </w:r>
      <w:r w:rsidRPr="00FA0162">
        <w:rPr>
          <w:rFonts w:ascii="Times New Roman" w:eastAsia="Times New Roman" w:hAnsi="Times New Roman" w:cs="Times New Roman"/>
          <w:bCs/>
        </w:rPr>
        <w:t xml:space="preserve">wynik przedmiotowego postępowania miał kluczowe znaczenie dla rozstrzygnięcia wydanego w niniejszej sprawie, a </w:t>
      </w:r>
      <w:r w:rsidRPr="00FA0162">
        <w:rPr>
          <w:rFonts w:ascii="Times New Roman" w:eastAsia="Times New Roman" w:hAnsi="Times New Roman" w:cs="Times New Roman"/>
          <w:bCs/>
          <w:highlight w:val="yellow"/>
        </w:rPr>
        <w:t xml:space="preserve">niezawieszenie postępowania </w:t>
      </w:r>
      <w:r w:rsidRPr="00FA0162">
        <w:rPr>
          <w:rFonts w:ascii="Times New Roman" w:eastAsia="Times New Roman" w:hAnsi="Times New Roman" w:cs="Times New Roman"/>
          <w:highlight w:val="yellow"/>
        </w:rPr>
        <w:t>doprowadziło do rozstrzygnięcia Sądu Okręgowego w Warszawie</w:t>
      </w:r>
      <w:r w:rsidRPr="00FA0162">
        <w:rPr>
          <w:rFonts w:ascii="Times New Roman" w:eastAsia="Times New Roman" w:hAnsi="Times New Roman" w:cs="Times New Roman"/>
        </w:rPr>
        <w:t xml:space="preserve"> o tym, że łącząca strona umowa nie może zostać oceniona jako nieważna podczas gdy zagadnienie to jest przedmiotem rozpoznania w innym, wcześniej wszczętym postępowaniu, </w:t>
      </w:r>
    </w:p>
    <w:p w14:paraId="396B4902" w14:textId="77777777" w:rsidR="002C06B7" w:rsidRPr="00FA0162" w:rsidRDefault="002C06B7" w:rsidP="002C06B7">
      <w:pPr>
        <w:spacing w:after="0" w:line="259" w:lineRule="auto"/>
        <w:ind w:left="1701"/>
        <w:contextualSpacing/>
        <w:jc w:val="both"/>
        <w:rPr>
          <w:rFonts w:ascii="Times New Roman" w:eastAsia="Times New Roman" w:hAnsi="Times New Roman" w:cs="Times New Roman"/>
          <w:b/>
          <w:bCs/>
        </w:rPr>
      </w:pPr>
    </w:p>
    <w:p w14:paraId="3EE01A2D" w14:textId="58F816DC" w:rsidR="002C06B7" w:rsidRPr="00FA0162" w:rsidRDefault="002C06B7" w:rsidP="002C06B7">
      <w:pPr>
        <w:numPr>
          <w:ilvl w:val="4"/>
          <w:numId w:val="21"/>
        </w:numPr>
        <w:spacing w:after="0"/>
        <w:ind w:left="1134" w:hanging="425"/>
        <w:contextualSpacing/>
        <w:jc w:val="both"/>
        <w:rPr>
          <w:rFonts w:ascii="Times New Roman" w:eastAsia="Times New Roman" w:hAnsi="Times New Roman" w:cs="Times New Roman"/>
          <w:bCs/>
        </w:rPr>
      </w:pPr>
      <w:r w:rsidRPr="00FA0162">
        <w:rPr>
          <w:rFonts w:ascii="Times New Roman" w:eastAsia="Calibri" w:hAnsi="Times New Roman" w:cs="Times New Roman"/>
          <w:b/>
          <w:bCs/>
          <w:lang w:eastAsia="ar-SA"/>
        </w:rPr>
        <w:t xml:space="preserve">art. 227 k.p.c. w zw. z art. 278 k.p.c. </w:t>
      </w:r>
      <w:r w:rsidRPr="00FA0162">
        <w:rPr>
          <w:rFonts w:ascii="Times New Roman" w:eastAsia="Calibri" w:hAnsi="Times New Roman" w:cs="Times New Roman"/>
          <w:lang w:eastAsia="ar-SA"/>
        </w:rPr>
        <w:t xml:space="preserve">poprzez pominięcie wniosku </w:t>
      </w:r>
      <w:r w:rsidRPr="00FA0162">
        <w:rPr>
          <w:rFonts w:ascii="Times New Roman" w:eastAsia="Times New Roman" w:hAnsi="Times New Roman" w:cs="Times New Roman"/>
          <w:bCs/>
        </w:rPr>
        <w:t>dowodowego o</w:t>
      </w:r>
      <w:r w:rsidRPr="00FA0162">
        <w:rPr>
          <w:rFonts w:ascii="Times New Roman" w:eastAsia="Calibri" w:hAnsi="Times New Roman" w:cs="Times New Roman"/>
          <w:lang w:eastAsia="ar-SA"/>
        </w:rPr>
        <w:t xml:space="preserve"> przeprowadzenie dowodu z opinii  biegłego  sądowego, czym Sąd I Instancji pozbawił Powoda możliwości wszechstronnego ustalenia okoliczności sprawy przy uwzględnieniu posiadanych przez biegłego sądowego wiadomości specjalnych, w sytuacji gdy poczynienie takich ustaleń było istotne dla rozstrzygnięcia sprawy i wymagało od Sądu I Instancji specjalistycznej wiedzy, a wniosek został prawidłowo sformułowany. </w:t>
      </w:r>
    </w:p>
    <w:p w14:paraId="114B95B6" w14:textId="77777777" w:rsidR="00015C4F" w:rsidRPr="00FA0162" w:rsidRDefault="00015C4F" w:rsidP="002C47A9">
      <w:pPr>
        <w:spacing w:after="0" w:line="259" w:lineRule="auto"/>
        <w:contextualSpacing/>
        <w:jc w:val="both"/>
        <w:rPr>
          <w:rFonts w:ascii="Times New Roman" w:eastAsia="Times New Roman" w:hAnsi="Times New Roman" w:cs="Times New Roman"/>
          <w:bCs/>
        </w:rPr>
      </w:pPr>
    </w:p>
    <w:p w14:paraId="331DC1A7" w14:textId="77777777" w:rsidR="00D20DDD" w:rsidRPr="00FA0162" w:rsidRDefault="00D20DDD" w:rsidP="00D20DDD">
      <w:pPr>
        <w:spacing w:after="0" w:line="259" w:lineRule="auto"/>
        <w:jc w:val="both"/>
        <w:rPr>
          <w:rFonts w:ascii="Times New Roman" w:eastAsia="Times New Roman" w:hAnsi="Times New Roman" w:cs="Times New Roman"/>
          <w:bCs/>
        </w:rPr>
      </w:pPr>
    </w:p>
    <w:p w14:paraId="179AF4AB" w14:textId="77777777"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bCs/>
        </w:rPr>
        <w:t xml:space="preserve">na podstawie art. 368 </w:t>
      </w:r>
      <w:bookmarkStart w:id="10" w:name="_Hlk124415660"/>
      <w:r w:rsidRPr="00FA0162">
        <w:rPr>
          <w:rFonts w:ascii="Times New Roman" w:eastAsia="Times New Roman" w:hAnsi="Times New Roman" w:cs="Times New Roman"/>
          <w:b/>
          <w:bCs/>
        </w:rPr>
        <w:t xml:space="preserve">§ 1 pkt 2 k.p.c. </w:t>
      </w:r>
      <w:bookmarkEnd w:id="10"/>
      <w:r w:rsidRPr="00FA0162">
        <w:rPr>
          <w:rFonts w:ascii="Times New Roman" w:eastAsia="Times New Roman" w:hAnsi="Times New Roman" w:cs="Times New Roman"/>
          <w:b/>
          <w:bCs/>
        </w:rPr>
        <w:t>zaskarżonemu wyrokowi zarzucam obrazę przepisów prawa materialnego, tj.</w:t>
      </w:r>
      <w:r w:rsidRPr="00FA0162">
        <w:rPr>
          <w:rFonts w:ascii="Times New Roman" w:eastAsia="Times New Roman" w:hAnsi="Times New Roman" w:cs="Times New Roman"/>
        </w:rPr>
        <w:t xml:space="preserve"> </w:t>
      </w:r>
      <w:r w:rsidRPr="00FA0162">
        <w:rPr>
          <w:rFonts w:ascii="Times New Roman" w:eastAsia="Times New Roman" w:hAnsi="Times New Roman" w:cs="Times New Roman"/>
          <w:b/>
          <w:bCs/>
        </w:rPr>
        <w:t>naruszenie</w:t>
      </w:r>
    </w:p>
    <w:p w14:paraId="4D72FE12" w14:textId="77777777" w:rsidR="00D13BBC" w:rsidRPr="00FA0162" w:rsidRDefault="00D13BBC" w:rsidP="00D13BBC">
      <w:pPr>
        <w:spacing w:after="0" w:line="264" w:lineRule="auto"/>
        <w:contextualSpacing/>
        <w:jc w:val="both"/>
        <w:rPr>
          <w:rFonts w:ascii="Times New Roman" w:eastAsia="Times New Roman" w:hAnsi="Times New Roman" w:cs="Times New Roman"/>
        </w:rPr>
      </w:pPr>
    </w:p>
    <w:p w14:paraId="1278D16A" w14:textId="4AF237FE" w:rsidR="00D35F85" w:rsidRPr="00FA0162" w:rsidRDefault="00D35F85" w:rsidP="006760C5">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art. 405 k.c. w zw. z art. 410 k.c.</w:t>
      </w:r>
      <w:r w:rsidRPr="00FA0162">
        <w:rPr>
          <w:rFonts w:ascii="Times New Roman" w:eastAsia="Times New Roman" w:hAnsi="Times New Roman" w:cs="Times New Roman"/>
        </w:rPr>
        <w:t xml:space="preserve"> w zw. z art. 6 ust. 1 Dyrektywy 93/13 w zw. z art. 288 Traktatu o funkcjonowaniu UE poprzez ich błędną wykładnię, co wyrażało się w przyjęciu, że cele Dyrektywy 93/13 stoją na przeszkodzie zastosowaniu przepisów o bezpodstawnym wzbogaceniu w odniesieniu do roszczeń strony powodowej; tymczasem Dyrektywa jako akt prawa pośredniego wyznacza jedynie państwom członkowskim konkretne cele do zrealizowania, którym w omawianej sytuacji jest skuteczny system ochrony konsumenta przed klauzulami niedozwolonymi; nie jest tym samym możliwe odstąpienie od stosowania przepisów prawa krajowego w oparciu o zapisy Dyrektywy, a jedynym narzędziem, które mógł zastosować Sąd Okręgowy była realizacja wykładni w nurcie zgodnym z treścią Dyrektywy, co nie może wykluczyć zasądzenia na rzecz powoda kwoty objętej pozwem, albowiem w takiej sytuacji wciąż aktualne byłoby osiągnięcie celów stawianych przez Dyrektywę;</w:t>
      </w:r>
    </w:p>
    <w:p w14:paraId="3EB57F7A" w14:textId="77777777" w:rsidR="006760C5" w:rsidRPr="00FA0162" w:rsidRDefault="006760C5" w:rsidP="006760C5">
      <w:pPr>
        <w:pStyle w:val="Akapitzlist"/>
        <w:ind w:left="501"/>
        <w:jc w:val="both"/>
        <w:rPr>
          <w:rFonts w:ascii="Times New Roman" w:eastAsia="Times New Roman" w:hAnsi="Times New Roman" w:cs="Times New Roman"/>
        </w:rPr>
      </w:pPr>
    </w:p>
    <w:p w14:paraId="1EA7C90E" w14:textId="77777777" w:rsidR="00957120" w:rsidRPr="00FA0162" w:rsidRDefault="0097775B" w:rsidP="00957120">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art. 405 k.c. w zw. z art. 410 k.c</w:t>
      </w:r>
      <w:r w:rsidRPr="00FA0162">
        <w:rPr>
          <w:rFonts w:ascii="Times New Roman" w:eastAsia="Times New Roman" w:hAnsi="Times New Roman" w:cs="Times New Roman"/>
        </w:rPr>
        <w:t xml:space="preserve">. poprzez ich błędną wykładnię, co wyrażało się w przyjęciu, że roszczenie powoda nie ma uzasadnienia w tych przepisach </w:t>
      </w:r>
      <w:r w:rsidR="004971D2" w:rsidRPr="00FA0162">
        <w:rPr>
          <w:rFonts w:ascii="Times New Roman" w:eastAsia="Times New Roman" w:hAnsi="Times New Roman" w:cs="Times New Roman"/>
        </w:rPr>
        <w:t xml:space="preserve">wskutek błędnego uznania, że umowa pozostała w mocy </w:t>
      </w:r>
      <w:r w:rsidRPr="00FA0162">
        <w:rPr>
          <w:rFonts w:ascii="Times New Roman" w:eastAsia="Times New Roman" w:hAnsi="Times New Roman" w:cs="Times New Roman"/>
        </w:rPr>
        <w:t>podczas gdy w przypadku stwierdzenia nieważności umowy kredytowej</w:t>
      </w:r>
      <w:r w:rsidR="004971D2" w:rsidRPr="00FA0162">
        <w:rPr>
          <w:rFonts w:ascii="Times New Roman" w:eastAsia="Times New Roman" w:hAnsi="Times New Roman" w:cs="Times New Roman"/>
        </w:rPr>
        <w:t xml:space="preserve"> co miało miejsce w niniejszej sprawie</w:t>
      </w:r>
      <w:r w:rsidRPr="00FA0162">
        <w:rPr>
          <w:rFonts w:ascii="Times New Roman" w:eastAsia="Times New Roman" w:hAnsi="Times New Roman" w:cs="Times New Roman"/>
        </w:rPr>
        <w:t>,</w:t>
      </w:r>
      <w:r w:rsidR="004971D2" w:rsidRPr="00FA0162">
        <w:rPr>
          <w:rFonts w:ascii="Times New Roman" w:eastAsia="Times New Roman" w:hAnsi="Times New Roman" w:cs="Times New Roman"/>
        </w:rPr>
        <w:t xml:space="preserve"> </w:t>
      </w:r>
      <w:r w:rsidRPr="00FA0162">
        <w:rPr>
          <w:rFonts w:ascii="Times New Roman" w:eastAsia="Times New Roman" w:hAnsi="Times New Roman" w:cs="Times New Roman"/>
        </w:rPr>
        <w:t>należy uznać, że przez Bank wykonywana była ( od chwili przekazania kredytobiorcy kapitału) usługa o charakterze ciągłym i przy takim założeniu niewątpliwie po stronie nabywcy usługi(kredytobiorcy) zachodzi wzbogacenie w postaci</w:t>
      </w:r>
      <w:r w:rsidR="00CB0C1E" w:rsidRPr="00FA0162">
        <w:rPr>
          <w:rFonts w:ascii="Times New Roman" w:eastAsia="Times New Roman" w:hAnsi="Times New Roman" w:cs="Times New Roman"/>
        </w:rPr>
        <w:t xml:space="preserve"> wypłaconej mu kwoty kapitału </w:t>
      </w:r>
      <w:r w:rsidRPr="00FA0162">
        <w:rPr>
          <w:rFonts w:ascii="Times New Roman" w:eastAsia="Times New Roman" w:hAnsi="Times New Roman" w:cs="Times New Roman"/>
        </w:rPr>
        <w:t>- skoro naczelną zasadą reżimu bezpodstawnego wzbogacenia jest przywrócenie zaburzonej równowagi majątkowej pomiędzy wzbogaconym i zubożonym;</w:t>
      </w:r>
    </w:p>
    <w:p w14:paraId="5238A2E9" w14:textId="77777777" w:rsidR="00262F53" w:rsidRPr="00FA0162" w:rsidRDefault="00262F53" w:rsidP="00262F53">
      <w:pPr>
        <w:pStyle w:val="Akapitzlist"/>
        <w:rPr>
          <w:rFonts w:ascii="Times New Roman" w:eastAsia="Times New Roman" w:hAnsi="Times New Roman" w:cs="Times New Roman"/>
        </w:rPr>
      </w:pPr>
    </w:p>
    <w:p w14:paraId="0E57DB8A" w14:textId="77777777" w:rsidR="001B15E7" w:rsidRPr="00FA0162" w:rsidRDefault="00E46FEA" w:rsidP="001B15E7">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lastRenderedPageBreak/>
        <w:t>naruszenie art. 118 k.c. w zw. z art. 120 k.c. i art. 455 k.c.</w:t>
      </w:r>
      <w:r w:rsidRPr="00FA0162">
        <w:rPr>
          <w:rFonts w:ascii="Times New Roman" w:eastAsia="Times New Roman" w:hAnsi="Times New Roman" w:cs="Times New Roman"/>
        </w:rPr>
        <w:t xml:space="preserve"> poprzez ich niewłaściwe zastosowanie polegające na stwierdzeniu, że roszczenia Powoda o zwrot spełnionych świadczeń uległy przedawnieniu w związku z upływem trzyletniego terminu przedawnienia, którego bieg rozpoczął się w dniu spełnienia świadczenia, podczas gdy bieg tego terminu przedawnienia rozpoczął się najwcześniej w dniu następującym po dniu, w którym upłynął termin zapłaty wskazany w wezwaniu do zwrotu świadczenia </w:t>
      </w:r>
      <w:r w:rsidRPr="00804A03">
        <w:rPr>
          <w:rFonts w:ascii="Times New Roman" w:eastAsia="Times New Roman" w:hAnsi="Times New Roman" w:cs="Times New Roman"/>
          <w:highlight w:val="yellow"/>
        </w:rPr>
        <w:t>z dnia 21.12.2021r. lub w</w:t>
      </w:r>
      <w:r w:rsidRPr="00FA0162">
        <w:rPr>
          <w:rFonts w:ascii="Times New Roman" w:eastAsia="Times New Roman" w:hAnsi="Times New Roman" w:cs="Times New Roman"/>
        </w:rPr>
        <w:t xml:space="preserve"> dniu doręczenia pozwu, </w:t>
      </w:r>
    </w:p>
    <w:p w14:paraId="5B8DE2BF" w14:textId="77777777" w:rsidR="001B15E7" w:rsidRPr="00FA0162" w:rsidRDefault="001B15E7" w:rsidP="001B15E7">
      <w:pPr>
        <w:pStyle w:val="Akapitzlist"/>
        <w:rPr>
          <w:rFonts w:ascii="Times New Roman" w:eastAsia="Times New Roman" w:hAnsi="Times New Roman" w:cs="Times New Roman"/>
          <w:b/>
          <w:bCs/>
        </w:rPr>
      </w:pPr>
    </w:p>
    <w:p w14:paraId="7DA5D6BB" w14:textId="5C21ABAE" w:rsidR="00957120" w:rsidRPr="00FA0162" w:rsidRDefault="001B15E7" w:rsidP="008950C7">
      <w:pPr>
        <w:pStyle w:val="Akapitzlist"/>
        <w:numPr>
          <w:ilvl w:val="4"/>
          <w:numId w:val="21"/>
        </w:numPr>
        <w:jc w:val="both"/>
        <w:rPr>
          <w:rFonts w:ascii="Times New Roman" w:eastAsia="Times New Roman" w:hAnsi="Times New Roman" w:cs="Times New Roman"/>
        </w:rPr>
      </w:pPr>
      <w:r w:rsidRPr="00FA0162">
        <w:rPr>
          <w:rFonts w:ascii="Times New Roman" w:eastAsia="Times New Roman" w:hAnsi="Times New Roman" w:cs="Times New Roman"/>
          <w:b/>
          <w:bCs/>
        </w:rPr>
        <w:t>naruszenie art. 5 k.c.</w:t>
      </w:r>
      <w:r w:rsidRPr="00FA0162">
        <w:rPr>
          <w:rFonts w:ascii="Times New Roman" w:eastAsia="Times New Roman" w:hAnsi="Times New Roman" w:cs="Times New Roman"/>
        </w:rPr>
        <w:t xml:space="preserve"> poprzez jego niezastosowanie i uwzględnienie przez Sąd Okręgowy zarzutu przedawnienia, podczas gdy czynienie użytku z tego zarzutu przez Pozwaną było sprzeczne ze społeczno-gospodarczym przeznaczeniem tego prawa oraz z zasadami współżycia społecznego i nie powinno korzystać z ochrony prawnej,</w:t>
      </w:r>
    </w:p>
    <w:p w14:paraId="0785EC94" w14:textId="5B1881DF" w:rsidR="00FB5A1E" w:rsidRPr="00FA0162" w:rsidRDefault="00FB5A1E" w:rsidP="008C2693">
      <w:pPr>
        <w:pStyle w:val="Akapitzlist"/>
        <w:spacing w:after="0" w:line="264" w:lineRule="auto"/>
        <w:ind w:left="501"/>
        <w:jc w:val="both"/>
        <w:rPr>
          <w:rFonts w:ascii="Times New Roman" w:eastAsia="Times New Roman" w:hAnsi="Times New Roman" w:cs="Times New Roman"/>
        </w:rPr>
      </w:pPr>
    </w:p>
    <w:p w14:paraId="31CCD6FC" w14:textId="10151648" w:rsidR="00D20DDD" w:rsidRPr="00FA0162" w:rsidRDefault="00D20DDD" w:rsidP="00357437">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374 k.p.c.</w:t>
      </w:r>
      <w:r w:rsidRPr="00FA0162">
        <w:rPr>
          <w:rFonts w:ascii="Times New Roman" w:eastAsia="Times New Roman" w:hAnsi="Times New Roman" w:cs="Times New Roman"/>
          <w:bCs/>
        </w:rPr>
        <w:t xml:space="preserve"> wnoszę o przeprowadzenie rozprawy;</w:t>
      </w:r>
    </w:p>
    <w:p w14:paraId="691FC775" w14:textId="77777777" w:rsidR="00B3057B" w:rsidRPr="00FA0162" w:rsidRDefault="00B3057B" w:rsidP="00B3057B">
      <w:pPr>
        <w:spacing w:after="0" w:line="259" w:lineRule="auto"/>
        <w:ind w:left="720"/>
        <w:contextualSpacing/>
        <w:jc w:val="both"/>
        <w:rPr>
          <w:rFonts w:ascii="Times New Roman" w:eastAsia="Times New Roman" w:hAnsi="Times New Roman" w:cs="Times New Roman"/>
          <w:bCs/>
        </w:rPr>
      </w:pPr>
    </w:p>
    <w:p w14:paraId="72451D29" w14:textId="77777777" w:rsidR="00B3057B" w:rsidRPr="00FA0162" w:rsidRDefault="00B3057B" w:rsidP="00B3057B">
      <w:pPr>
        <w:numPr>
          <w:ilvl w:val="0"/>
          <w:numId w:val="21"/>
        </w:numPr>
        <w:spacing w:after="0"/>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380 k.p.c</w:t>
      </w:r>
      <w:bookmarkStart w:id="11" w:name="_Hlk125543261"/>
      <w:r w:rsidRPr="00FA0162">
        <w:rPr>
          <w:rFonts w:ascii="Times New Roman" w:eastAsia="Times New Roman" w:hAnsi="Times New Roman" w:cs="Times New Roman"/>
          <w:b/>
        </w:rPr>
        <w:t>.</w:t>
      </w:r>
      <w:r w:rsidRPr="00FA0162">
        <w:rPr>
          <w:rFonts w:ascii="Times New Roman" w:eastAsia="Times New Roman" w:hAnsi="Times New Roman" w:cs="Times New Roman"/>
          <w:bCs/>
        </w:rPr>
        <w:t xml:space="preserve"> wnoszę o rozpoznanie i zmianę przez Sąd II Instancji postanowienia Sądu I Instancji o:</w:t>
      </w:r>
    </w:p>
    <w:p w14:paraId="607C9A8A" w14:textId="01FDB404" w:rsidR="00B3057B" w:rsidRPr="00FA0162" w:rsidRDefault="00B3057B" w:rsidP="00B3057B">
      <w:pPr>
        <w:pStyle w:val="Akapitzlist"/>
        <w:numPr>
          <w:ilvl w:val="2"/>
          <w:numId w:val="21"/>
        </w:numPr>
        <w:spacing w:after="0"/>
        <w:ind w:left="1134" w:hanging="425"/>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oddaleniu w dniu </w:t>
      </w:r>
      <w:r w:rsidR="00817DBE" w:rsidRPr="00FA0162">
        <w:rPr>
          <w:rFonts w:ascii="Times New Roman" w:eastAsia="Times New Roman" w:hAnsi="Times New Roman" w:cs="Times New Roman"/>
          <w:bCs/>
          <w:highlight w:val="yellow"/>
        </w:rPr>
        <w:t>_______________</w:t>
      </w:r>
      <w:r w:rsidRPr="00FA0162">
        <w:rPr>
          <w:rFonts w:ascii="Times New Roman" w:eastAsia="Times New Roman" w:hAnsi="Times New Roman" w:cs="Times New Roman"/>
          <w:bCs/>
        </w:rPr>
        <w:t xml:space="preserve"> wniosku </w:t>
      </w:r>
      <w:bookmarkStart w:id="12" w:name="_Hlk166149234"/>
      <w:r w:rsidRPr="00FA0162">
        <w:rPr>
          <w:rFonts w:ascii="Times New Roman" w:eastAsia="Times New Roman" w:hAnsi="Times New Roman" w:cs="Times New Roman"/>
          <w:bCs/>
        </w:rPr>
        <w:t xml:space="preserve">o zawieszeniu postępowania do czasu prawomocnego zakończenia postępowania toczącego się przed Sądem </w:t>
      </w:r>
      <w:r w:rsidR="00817DBE" w:rsidRPr="00FA0162">
        <w:rPr>
          <w:rFonts w:ascii="Times New Roman" w:eastAsia="Times New Roman" w:hAnsi="Times New Roman" w:cs="Times New Roman"/>
          <w:bCs/>
          <w:highlight w:val="yellow"/>
        </w:rPr>
        <w:t>________________</w:t>
      </w:r>
      <w:r w:rsidRPr="00FA0162">
        <w:rPr>
          <w:rFonts w:ascii="Times New Roman" w:eastAsia="Times New Roman" w:hAnsi="Times New Roman" w:cs="Times New Roman"/>
          <w:bCs/>
        </w:rPr>
        <w:t xml:space="preserve"> w sprawie sygn. akt </w:t>
      </w:r>
      <w:r w:rsidR="00817DBE" w:rsidRPr="00FA0162">
        <w:rPr>
          <w:rFonts w:ascii="Times New Roman" w:eastAsia="Times New Roman" w:hAnsi="Times New Roman" w:cs="Times New Roman"/>
          <w:bCs/>
          <w:highlight w:val="yellow"/>
        </w:rPr>
        <w:t>_____________</w:t>
      </w:r>
      <w:r w:rsidR="00817DBE"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 z powództwa </w:t>
      </w:r>
      <w:bookmarkEnd w:id="12"/>
      <w:r w:rsidR="00817DBE" w:rsidRPr="00FA0162">
        <w:rPr>
          <w:rFonts w:ascii="Times New Roman" w:eastAsia="Times New Roman" w:hAnsi="Times New Roman" w:cs="Times New Roman"/>
          <w:bCs/>
          <w:highlight w:val="yellow"/>
        </w:rPr>
        <w:t>________________</w:t>
      </w:r>
      <w:r w:rsidRPr="00FA0162">
        <w:rPr>
          <w:rFonts w:ascii="Times New Roman" w:eastAsia="Times New Roman" w:hAnsi="Times New Roman" w:cs="Times New Roman"/>
          <w:bCs/>
        </w:rPr>
        <w:t xml:space="preserve"> i wydanie postanowienia o zawieszeniu postępowania do czasu prawomocnego zakończenia postępowania toczącego się przed Sądem </w:t>
      </w:r>
      <w:r w:rsidR="00817DBE" w:rsidRPr="00FA0162">
        <w:rPr>
          <w:rFonts w:ascii="Times New Roman" w:eastAsia="Times New Roman" w:hAnsi="Times New Roman" w:cs="Times New Roman"/>
          <w:bCs/>
          <w:highlight w:val="yellow"/>
        </w:rPr>
        <w:t>______________</w:t>
      </w:r>
      <w:r w:rsidRPr="00FA0162">
        <w:rPr>
          <w:rFonts w:ascii="Times New Roman" w:eastAsia="Times New Roman" w:hAnsi="Times New Roman" w:cs="Times New Roman"/>
          <w:bCs/>
        </w:rPr>
        <w:t>w sprawie sygn. akt</w:t>
      </w:r>
      <w:r w:rsidR="00817DBE" w:rsidRPr="00FA0162">
        <w:rPr>
          <w:rFonts w:ascii="Times New Roman" w:eastAsia="Times New Roman" w:hAnsi="Times New Roman" w:cs="Times New Roman"/>
          <w:bCs/>
        </w:rPr>
        <w:t xml:space="preserve"> </w:t>
      </w:r>
      <w:r w:rsidR="00817DBE" w:rsidRPr="00FA0162">
        <w:rPr>
          <w:rFonts w:ascii="Times New Roman" w:eastAsia="Times New Roman" w:hAnsi="Times New Roman" w:cs="Times New Roman"/>
          <w:bCs/>
          <w:highlight w:val="yellow"/>
        </w:rPr>
        <w:t>_______________</w:t>
      </w:r>
      <w:r w:rsidR="00817DBE"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z powództwa </w:t>
      </w:r>
      <w:r w:rsidR="00817DBE" w:rsidRPr="00FA0162">
        <w:rPr>
          <w:rFonts w:ascii="Times New Roman" w:eastAsia="Times New Roman" w:hAnsi="Times New Roman" w:cs="Times New Roman"/>
          <w:bCs/>
          <w:highlight w:val="yellow"/>
        </w:rPr>
        <w:t>_____________;</w:t>
      </w:r>
      <w:r w:rsidR="00817DBE" w:rsidRPr="00FA0162">
        <w:rPr>
          <w:rFonts w:ascii="Times New Roman" w:eastAsia="Times New Roman" w:hAnsi="Times New Roman" w:cs="Times New Roman"/>
          <w:bCs/>
        </w:rPr>
        <w:t xml:space="preserve"> </w:t>
      </w:r>
    </w:p>
    <w:p w14:paraId="616A0DAD" w14:textId="2BAB5636" w:rsidR="00B3057B" w:rsidRPr="00804A03" w:rsidRDefault="00B3057B" w:rsidP="00804A03">
      <w:pPr>
        <w:pStyle w:val="Akapitzlist"/>
        <w:numPr>
          <w:ilvl w:val="2"/>
          <w:numId w:val="21"/>
        </w:numPr>
        <w:spacing w:after="0"/>
        <w:ind w:left="1134" w:hanging="425"/>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pominięciu wniosku dowodowego pozwanego złożonego w pozwie o dopuszczenie i przeprowadzenie dowodu </w:t>
      </w:r>
      <w:r w:rsidRPr="00FA0162">
        <w:rPr>
          <w:rFonts w:ascii="Times New Roman" w:eastAsia="Times New Roman" w:hAnsi="Times New Roman" w:cs="Times New Roman"/>
          <w:bCs/>
          <w:highlight w:val="yellow"/>
        </w:rPr>
        <w:t>z opinii biegłego sądowego</w:t>
      </w:r>
      <w:r w:rsidRPr="00FA0162">
        <w:rPr>
          <w:rFonts w:ascii="Times New Roman" w:eastAsia="Times New Roman" w:hAnsi="Times New Roman" w:cs="Times New Roman"/>
          <w:bCs/>
        </w:rPr>
        <w:t xml:space="preserve"> poprzez dopuszczenie i przeprowadzenie przedmiotowego dowodu na fakty szczegółowo określone w treści wniosku dowodowego zawartego w pozwie</w:t>
      </w:r>
      <w:bookmarkEnd w:id="11"/>
      <w:r w:rsidRPr="00FA0162">
        <w:rPr>
          <w:rFonts w:ascii="Times New Roman" w:eastAsia="Times New Roman" w:hAnsi="Times New Roman" w:cs="Times New Roman"/>
          <w:bCs/>
        </w:rPr>
        <w:t>,</w:t>
      </w:r>
    </w:p>
    <w:p w14:paraId="1A6056D1" w14:textId="77777777" w:rsidR="00D20DDD" w:rsidRPr="00FA0162" w:rsidRDefault="00D20DDD" w:rsidP="004F05A2">
      <w:pPr>
        <w:spacing w:after="0" w:line="259" w:lineRule="auto"/>
        <w:contextualSpacing/>
        <w:jc w:val="both"/>
        <w:rPr>
          <w:rFonts w:ascii="Times New Roman" w:eastAsia="Times New Roman" w:hAnsi="Times New Roman" w:cs="Times New Roman"/>
          <w:bCs/>
        </w:rPr>
      </w:pPr>
    </w:p>
    <w:p w14:paraId="7CEF5E86" w14:textId="77777777" w:rsidR="00D20DDD" w:rsidRPr="00FA0162" w:rsidRDefault="00D20DDD"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na podstawie art. 132 § 1</w:t>
      </w:r>
      <w:r w:rsidRPr="00FA0162">
        <w:rPr>
          <w:rFonts w:ascii="Times New Roman" w:eastAsia="Times New Roman" w:hAnsi="Times New Roman" w:cs="Times New Roman"/>
          <w:b/>
          <w:vertAlign w:val="superscript"/>
        </w:rPr>
        <w:t>3</w:t>
      </w:r>
      <w:r w:rsidRPr="00FA0162">
        <w:rPr>
          <w:rFonts w:ascii="Times New Roman" w:eastAsia="Times New Roman" w:hAnsi="Times New Roman" w:cs="Times New Roman"/>
          <w:b/>
        </w:rPr>
        <w:t xml:space="preserve"> k.p.c.</w:t>
      </w:r>
      <w:r w:rsidRPr="00FA0162">
        <w:rPr>
          <w:rFonts w:ascii="Times New Roman" w:eastAsia="Times New Roman" w:hAnsi="Times New Roman" w:cs="Times New Roman"/>
          <w:bCs/>
        </w:rPr>
        <w:t xml:space="preserve"> oświadczam, że nie wyrażam zgody na doręczanie między pełnomocnikami pism procesowych wraz z załącznikami wyłącznie w formie elektronicznej,</w:t>
      </w:r>
    </w:p>
    <w:p w14:paraId="060A2947" w14:textId="77777777" w:rsidR="00D20DDD" w:rsidRPr="00FA0162" w:rsidRDefault="00D20DDD" w:rsidP="00D20DDD">
      <w:pPr>
        <w:spacing w:after="0" w:line="259" w:lineRule="auto"/>
        <w:jc w:val="both"/>
        <w:rPr>
          <w:rFonts w:ascii="Times New Roman" w:eastAsia="Times New Roman" w:hAnsi="Times New Roman" w:cs="Times New Roman"/>
          <w:bCs/>
        </w:rPr>
      </w:pPr>
    </w:p>
    <w:p w14:paraId="4EDE402A" w14:textId="08824101" w:rsidR="00D20DDD" w:rsidRPr="00FA0162" w:rsidRDefault="00C458E1" w:rsidP="00D20DDD">
      <w:pPr>
        <w:numPr>
          <w:ilvl w:val="0"/>
          <w:numId w:val="21"/>
        </w:numPr>
        <w:spacing w:after="0" w:line="259" w:lineRule="auto"/>
        <w:contextualSpacing/>
        <w:jc w:val="both"/>
        <w:rPr>
          <w:rFonts w:ascii="Times New Roman" w:eastAsia="Times New Roman" w:hAnsi="Times New Roman" w:cs="Times New Roman"/>
          <w:bCs/>
        </w:rPr>
      </w:pPr>
      <w:r w:rsidRPr="00FA0162">
        <w:rPr>
          <w:rFonts w:ascii="Times New Roman" w:eastAsia="Times New Roman" w:hAnsi="Times New Roman" w:cs="Times New Roman"/>
          <w:b/>
        </w:rPr>
        <w:t>m</w:t>
      </w:r>
      <w:r w:rsidR="00D20DDD" w:rsidRPr="00FA0162">
        <w:rPr>
          <w:rFonts w:ascii="Times New Roman" w:eastAsia="Times New Roman" w:hAnsi="Times New Roman" w:cs="Times New Roman"/>
          <w:b/>
        </w:rPr>
        <w:t>ając na względzie przedstawione zarzuty na podstawie art. 368 § 1 pkt 5 k.p.c. w zw. z art. 386 § 1 i 4 k.p.c.</w:t>
      </w:r>
      <w:r w:rsidR="00D20DDD" w:rsidRPr="00FA0162">
        <w:rPr>
          <w:rFonts w:ascii="Times New Roman" w:eastAsia="Times New Roman" w:hAnsi="Times New Roman" w:cs="Times New Roman"/>
          <w:bCs/>
        </w:rPr>
        <w:t xml:space="preserve"> wnoszę o:</w:t>
      </w:r>
    </w:p>
    <w:p w14:paraId="3F506E03" w14:textId="77777777" w:rsidR="00D20DDD" w:rsidRPr="00FA0162" w:rsidRDefault="00D20DDD" w:rsidP="00D20DDD">
      <w:pPr>
        <w:spacing w:after="0" w:line="259" w:lineRule="auto"/>
        <w:jc w:val="both"/>
        <w:rPr>
          <w:rFonts w:ascii="Times New Roman" w:eastAsia="Times New Roman" w:hAnsi="Times New Roman" w:cs="Times New Roman"/>
          <w:bCs/>
        </w:rPr>
      </w:pPr>
    </w:p>
    <w:p w14:paraId="07AE4585" w14:textId="77777777" w:rsidR="00126CAE" w:rsidRPr="00FA0162" w:rsidRDefault="00D20DDD" w:rsidP="00126CAE">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
          <w:highlight w:val="yellow"/>
        </w:rPr>
        <w:t xml:space="preserve">uchylenie wyroku w </w:t>
      </w:r>
      <w:r w:rsidR="00826646" w:rsidRPr="00FA0162">
        <w:rPr>
          <w:rFonts w:ascii="Times New Roman" w:eastAsia="Times New Roman" w:hAnsi="Times New Roman" w:cs="Times New Roman"/>
          <w:b/>
          <w:highlight w:val="yellow"/>
        </w:rPr>
        <w:t>całości</w:t>
      </w:r>
      <w:r w:rsidRPr="00FA0162">
        <w:rPr>
          <w:rFonts w:ascii="Times New Roman" w:eastAsia="Times New Roman" w:hAnsi="Times New Roman" w:cs="Times New Roman"/>
          <w:bCs/>
        </w:rPr>
        <w:t xml:space="preserve"> i przekazanie sprawy do ponownego rozpoznania Sądowi I Instancji, w tym także w celu orzeczenia o kosztach postępowania, w tym kosztach zastępstwa procesowego</w:t>
      </w:r>
      <w:r w:rsidR="00126CAE" w:rsidRPr="00FA0162">
        <w:rPr>
          <w:rFonts w:ascii="Times New Roman" w:eastAsia="Times New Roman" w:hAnsi="Times New Roman" w:cs="Times New Roman"/>
          <w:bCs/>
        </w:rPr>
        <w:t>;</w:t>
      </w:r>
    </w:p>
    <w:p w14:paraId="3D950135" w14:textId="77777777" w:rsidR="00657C81" w:rsidRPr="00FA0162" w:rsidRDefault="00657C81" w:rsidP="00657C81">
      <w:pPr>
        <w:spacing w:after="0" w:line="259" w:lineRule="auto"/>
        <w:contextualSpacing/>
        <w:jc w:val="both"/>
        <w:rPr>
          <w:rFonts w:ascii="Times New Roman" w:eastAsia="Times New Roman" w:hAnsi="Times New Roman" w:cs="Times New Roman"/>
          <w:bCs/>
        </w:rPr>
      </w:pPr>
    </w:p>
    <w:p w14:paraId="1F75B52E" w14:textId="19E78BA6" w:rsidR="00657C81" w:rsidRPr="00FA0162" w:rsidRDefault="00657C81" w:rsidP="00657C81">
      <w:pPr>
        <w:spacing w:after="0" w:line="259" w:lineRule="auto"/>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lub </w:t>
      </w:r>
    </w:p>
    <w:p w14:paraId="081FBF11" w14:textId="77777777" w:rsidR="00657C81" w:rsidRPr="00FA0162" w:rsidRDefault="00657C81" w:rsidP="00657C81">
      <w:pPr>
        <w:spacing w:after="0" w:line="259" w:lineRule="auto"/>
        <w:jc w:val="both"/>
        <w:rPr>
          <w:rFonts w:ascii="Times New Roman" w:eastAsia="Times New Roman" w:hAnsi="Times New Roman" w:cs="Times New Roman"/>
          <w:bCs/>
        </w:rPr>
      </w:pPr>
    </w:p>
    <w:p w14:paraId="03E47D87" w14:textId="1346908F" w:rsidR="00657C81" w:rsidRPr="00FA0162" w:rsidRDefault="005240B0" w:rsidP="005240B0">
      <w:pPr>
        <w:pStyle w:val="Akapitzlist"/>
        <w:numPr>
          <w:ilvl w:val="0"/>
          <w:numId w:val="37"/>
        </w:numPr>
        <w:jc w:val="both"/>
        <w:rPr>
          <w:rFonts w:ascii="Times New Roman" w:eastAsia="Times New Roman" w:hAnsi="Times New Roman" w:cs="Times New Roman"/>
          <w:bCs/>
        </w:rPr>
      </w:pPr>
      <w:r w:rsidRPr="00FA0162">
        <w:rPr>
          <w:rFonts w:ascii="Times New Roman" w:eastAsia="Times New Roman" w:hAnsi="Times New Roman" w:cs="Times New Roman"/>
          <w:b/>
          <w:highlight w:val="yellow"/>
        </w:rPr>
        <w:t>uchylenie zaskarżonego wyroku w części</w:t>
      </w:r>
      <w:r w:rsidRPr="00FA0162">
        <w:rPr>
          <w:rFonts w:ascii="Times New Roman" w:eastAsia="Times New Roman" w:hAnsi="Times New Roman" w:cs="Times New Roman"/>
          <w:b/>
        </w:rPr>
        <w:t xml:space="preserve"> </w:t>
      </w:r>
      <w:r w:rsidRPr="00FA0162">
        <w:rPr>
          <w:rFonts w:ascii="Times New Roman" w:eastAsia="Times New Roman" w:hAnsi="Times New Roman" w:cs="Times New Roman"/>
          <w:bCs/>
        </w:rPr>
        <w:t xml:space="preserve">dotyczącej oddalenia powództwa </w:t>
      </w:r>
      <w:r w:rsidR="00191845" w:rsidRPr="00FA0162">
        <w:rPr>
          <w:rFonts w:ascii="Times New Roman" w:eastAsia="Times New Roman" w:hAnsi="Times New Roman" w:cs="Times New Roman"/>
          <w:bCs/>
        </w:rPr>
        <w:t xml:space="preserve">tj. </w:t>
      </w:r>
      <w:r w:rsidRPr="00FA0162">
        <w:rPr>
          <w:rFonts w:ascii="Times New Roman" w:eastAsia="Times New Roman" w:hAnsi="Times New Roman" w:cs="Times New Roman"/>
          <w:bCs/>
        </w:rPr>
        <w:t xml:space="preserve">w zakresie </w:t>
      </w:r>
      <w:r w:rsidR="00191845" w:rsidRPr="00FA0162">
        <w:rPr>
          <w:rFonts w:ascii="Times New Roman" w:eastAsia="Times New Roman" w:hAnsi="Times New Roman" w:cs="Times New Roman"/>
          <w:bCs/>
          <w:highlight w:val="yellow"/>
        </w:rPr>
        <w:t>__________________________</w:t>
      </w:r>
      <w:r w:rsidR="00191845"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 xml:space="preserve">oraz </w:t>
      </w:r>
      <w:r w:rsidRPr="00FA0162">
        <w:rPr>
          <w:rFonts w:ascii="Times New Roman" w:eastAsia="Times New Roman" w:hAnsi="Times New Roman" w:cs="Times New Roman"/>
          <w:bCs/>
          <w:highlight w:val="yellow"/>
        </w:rPr>
        <w:t>w zakresie rozstrzygnięcia o kosztach procesu</w:t>
      </w:r>
      <w:r w:rsidRPr="00FA0162">
        <w:rPr>
          <w:rFonts w:ascii="Times New Roman" w:eastAsia="Times New Roman" w:hAnsi="Times New Roman" w:cs="Times New Roman"/>
          <w:bCs/>
        </w:rPr>
        <w:t xml:space="preserve"> i przekazanie sprawy do ponownego rozpoznania Sądowi I Instancji, w tym także w celu orzeczenia o kosztach postępowania, w tym kosztach zastępstwa procesowego.</w:t>
      </w:r>
    </w:p>
    <w:p w14:paraId="5CFA7C62" w14:textId="77777777" w:rsidR="00657C81" w:rsidRPr="00FA0162" w:rsidRDefault="00657C81" w:rsidP="00657C81">
      <w:pPr>
        <w:spacing w:after="0" w:line="259" w:lineRule="auto"/>
        <w:contextualSpacing/>
        <w:jc w:val="both"/>
        <w:rPr>
          <w:rFonts w:ascii="Times New Roman" w:eastAsia="Times New Roman" w:hAnsi="Times New Roman" w:cs="Times New Roman"/>
          <w:bCs/>
        </w:rPr>
      </w:pPr>
    </w:p>
    <w:p w14:paraId="13F99B7F" w14:textId="3A684999" w:rsidR="00D20DDD" w:rsidRPr="00FA0162" w:rsidRDefault="00126CAE" w:rsidP="000D48F8">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 xml:space="preserve">zasądzenie </w:t>
      </w:r>
      <w:r w:rsidR="00057515" w:rsidRPr="00FA0162">
        <w:rPr>
          <w:rFonts w:ascii="Times New Roman" w:eastAsia="Times New Roman" w:hAnsi="Times New Roman" w:cs="Times New Roman"/>
          <w:bCs/>
          <w:i/>
          <w:iCs/>
          <w:highlight w:val="yellow"/>
        </w:rPr>
        <w:t xml:space="preserve">od </w:t>
      </w:r>
      <w:r w:rsidRPr="00FA0162">
        <w:rPr>
          <w:rFonts w:ascii="Times New Roman" w:eastAsia="Times New Roman" w:hAnsi="Times New Roman" w:cs="Times New Roman"/>
          <w:bCs/>
          <w:i/>
          <w:iCs/>
          <w:highlight w:val="yellow"/>
        </w:rPr>
        <w:t>pozwanego na rzecz powoda</w:t>
      </w:r>
      <w:r w:rsidR="00B4475D" w:rsidRPr="00FA0162">
        <w:rPr>
          <w:rFonts w:ascii="Times New Roman" w:eastAsia="Times New Roman" w:hAnsi="Times New Roman" w:cs="Times New Roman"/>
          <w:bCs/>
          <w:i/>
          <w:iCs/>
          <w:highlight w:val="yellow"/>
        </w:rPr>
        <w:t>/ solidarnie pod pozwanych na rzecz powoda</w:t>
      </w:r>
      <w:r w:rsidR="00B4475D" w:rsidRPr="00FA0162">
        <w:rPr>
          <w:rFonts w:ascii="Times New Roman" w:eastAsia="Times New Roman" w:hAnsi="Times New Roman" w:cs="Times New Roman"/>
          <w:bCs/>
        </w:rPr>
        <w:t xml:space="preserve"> </w:t>
      </w:r>
      <w:r w:rsidRPr="00FA0162">
        <w:rPr>
          <w:rFonts w:ascii="Times New Roman" w:eastAsia="Times New Roman" w:hAnsi="Times New Roman" w:cs="Times New Roman"/>
          <w:bCs/>
        </w:rPr>
        <w:t>kosztów postępowania w postępowaniu odwoławczym, w tym kosztów zastępstwa procesowego stosownie do art. 98 § 1</w:t>
      </w:r>
      <w:r w:rsidRPr="00FA0162">
        <w:rPr>
          <w:rFonts w:ascii="Times New Roman" w:eastAsia="Times New Roman" w:hAnsi="Times New Roman" w:cs="Times New Roman"/>
          <w:bCs/>
          <w:vertAlign w:val="superscript"/>
        </w:rPr>
        <w:t>1</w:t>
      </w:r>
      <w:r w:rsidRPr="00FA0162">
        <w:rPr>
          <w:rFonts w:ascii="Times New Roman" w:eastAsia="Times New Roman" w:hAnsi="Times New Roman" w:cs="Times New Roman"/>
          <w:bCs/>
        </w:rPr>
        <w:t xml:space="preserve"> k.p.c. według norm przepisanych i opłaty skarbowej od pełnomocnictwa;</w:t>
      </w:r>
    </w:p>
    <w:p w14:paraId="4C65BBEB" w14:textId="77777777" w:rsidR="000D48F8" w:rsidRPr="00FA0162" w:rsidRDefault="000D48F8" w:rsidP="000D48F8">
      <w:pPr>
        <w:spacing w:after="0" w:line="259" w:lineRule="auto"/>
        <w:ind w:left="1134"/>
        <w:contextualSpacing/>
        <w:jc w:val="both"/>
        <w:rPr>
          <w:rFonts w:ascii="Times New Roman" w:eastAsia="Times New Roman" w:hAnsi="Times New Roman" w:cs="Times New Roman"/>
          <w:bCs/>
        </w:rPr>
      </w:pPr>
    </w:p>
    <w:p w14:paraId="69CF0537" w14:textId="77777777" w:rsidR="00D20DDD" w:rsidRPr="00FA0162" w:rsidRDefault="00D20DDD" w:rsidP="00D20DDD">
      <w:pPr>
        <w:spacing w:after="0" w:line="259" w:lineRule="auto"/>
        <w:ind w:left="1134"/>
        <w:contextualSpacing/>
        <w:jc w:val="both"/>
        <w:rPr>
          <w:rFonts w:ascii="Times New Roman" w:eastAsia="Times New Roman" w:hAnsi="Times New Roman" w:cs="Times New Roman"/>
          <w:bCs/>
          <w:i/>
          <w:iCs/>
        </w:rPr>
      </w:pPr>
      <w:r w:rsidRPr="00FA0162">
        <w:rPr>
          <w:rFonts w:ascii="Times New Roman" w:eastAsia="Times New Roman" w:hAnsi="Times New Roman" w:cs="Times New Roman"/>
          <w:bCs/>
          <w:i/>
          <w:iCs/>
        </w:rPr>
        <w:t>ewentualnie o</w:t>
      </w:r>
    </w:p>
    <w:p w14:paraId="46080405" w14:textId="77777777" w:rsidR="00D20DDD" w:rsidRPr="00FA0162" w:rsidRDefault="00D20DDD" w:rsidP="00D20DDD">
      <w:pPr>
        <w:spacing w:after="0" w:line="259" w:lineRule="auto"/>
        <w:ind w:left="720"/>
        <w:contextualSpacing/>
        <w:jc w:val="both"/>
        <w:rPr>
          <w:rFonts w:ascii="Times New Roman" w:eastAsia="Times New Roman" w:hAnsi="Times New Roman" w:cs="Times New Roman"/>
          <w:bCs/>
        </w:rPr>
      </w:pPr>
    </w:p>
    <w:p w14:paraId="3C8F0304" w14:textId="77777777" w:rsidR="00D20DDD" w:rsidRPr="00FA0162" w:rsidRDefault="00D20DDD" w:rsidP="00D20DDD">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zmianę wyroku w zaskarżonej części poprzez uwzględnienie powództwa w całości oraz stosowne do wyniku sprawy rozliczenie kosztów procesu za I instancję oraz</w:t>
      </w:r>
    </w:p>
    <w:p w14:paraId="55738A11" w14:textId="497F4447" w:rsidR="00D20DDD" w:rsidRPr="00FA0162" w:rsidRDefault="00D20DDD" w:rsidP="00D20DDD">
      <w:pPr>
        <w:numPr>
          <w:ilvl w:val="1"/>
          <w:numId w:val="21"/>
        </w:numPr>
        <w:spacing w:after="0" w:line="259" w:lineRule="auto"/>
        <w:ind w:left="1134" w:hanging="425"/>
        <w:contextualSpacing/>
        <w:jc w:val="both"/>
        <w:rPr>
          <w:rFonts w:ascii="Times New Roman" w:eastAsia="Times New Roman" w:hAnsi="Times New Roman" w:cs="Times New Roman"/>
          <w:bCs/>
        </w:rPr>
      </w:pPr>
      <w:r w:rsidRPr="00FA0162">
        <w:rPr>
          <w:rFonts w:ascii="Times New Roman" w:eastAsia="Times New Roman" w:hAnsi="Times New Roman" w:cs="Times New Roman"/>
          <w:bCs/>
        </w:rPr>
        <w:t>zasądzenie</w:t>
      </w:r>
      <w:r w:rsidR="00B97536" w:rsidRPr="00FA0162">
        <w:rPr>
          <w:rFonts w:ascii="Times New Roman" w:eastAsia="Times New Roman" w:hAnsi="Times New Roman" w:cs="Times New Roman"/>
          <w:bCs/>
        </w:rPr>
        <w:t xml:space="preserve"> </w:t>
      </w:r>
      <w:r w:rsidR="00B97536" w:rsidRPr="00FA0162">
        <w:rPr>
          <w:rFonts w:ascii="Times New Roman" w:eastAsia="Times New Roman" w:hAnsi="Times New Roman" w:cs="Times New Roman"/>
          <w:bCs/>
          <w:i/>
          <w:iCs/>
          <w:highlight w:val="yellow"/>
        </w:rPr>
        <w:t>od pozwanego na rzecz powoda/ solidarnie pod pozwanych na rzecz powoda</w:t>
      </w:r>
      <w:r w:rsidRPr="00FA0162">
        <w:rPr>
          <w:rFonts w:ascii="Times New Roman" w:eastAsia="Times New Roman" w:hAnsi="Times New Roman" w:cs="Times New Roman"/>
          <w:bCs/>
        </w:rPr>
        <w:t xml:space="preserve"> kosztów postępowania w postępowaniu odwoławczym, w tym kosztów zastępstwa procesowego stosownie do art. 98 § 1 i 1</w:t>
      </w:r>
      <w:r w:rsidRPr="00FA0162">
        <w:rPr>
          <w:rFonts w:ascii="Times New Roman" w:eastAsia="Times New Roman" w:hAnsi="Times New Roman" w:cs="Times New Roman"/>
          <w:bCs/>
          <w:vertAlign w:val="superscript"/>
        </w:rPr>
        <w:t xml:space="preserve">1 </w:t>
      </w:r>
      <w:r w:rsidRPr="00FA0162">
        <w:rPr>
          <w:rFonts w:ascii="Times New Roman" w:eastAsia="Times New Roman" w:hAnsi="Times New Roman" w:cs="Times New Roman"/>
          <w:bCs/>
        </w:rPr>
        <w:t>k.p.c. według norm przepisanych i opłaty skarbowej od pełnomocnictwa;</w:t>
      </w:r>
    </w:p>
    <w:p w14:paraId="02186A44" w14:textId="77777777" w:rsidR="002D4D80" w:rsidRPr="00FA0162" w:rsidRDefault="002D4D80" w:rsidP="002D4D80">
      <w:pPr>
        <w:spacing w:after="0" w:line="259" w:lineRule="auto"/>
        <w:ind w:left="709"/>
        <w:contextualSpacing/>
        <w:jc w:val="both"/>
        <w:rPr>
          <w:rFonts w:ascii="Times New Roman" w:eastAsia="Times New Roman" w:hAnsi="Times New Roman" w:cs="Times New Roman"/>
          <w:bCs/>
        </w:rPr>
      </w:pPr>
    </w:p>
    <w:p w14:paraId="0B9539F8" w14:textId="755ADC0A" w:rsidR="002D4D80" w:rsidRPr="00FA0162" w:rsidRDefault="002D4D80" w:rsidP="002D4D80">
      <w:pPr>
        <w:numPr>
          <w:ilvl w:val="0"/>
          <w:numId w:val="38"/>
        </w:numPr>
        <w:spacing w:after="0" w:line="240" w:lineRule="auto"/>
        <w:jc w:val="both"/>
        <w:rPr>
          <w:rFonts w:ascii="Times New Roman" w:eastAsia="Times New Roman" w:hAnsi="Times New Roman" w:cs="Times New Roman"/>
          <w:b/>
          <w:bCs/>
        </w:rPr>
      </w:pPr>
      <w:r w:rsidRPr="00FA0162">
        <w:rPr>
          <w:rFonts w:ascii="Times New Roman" w:eastAsia="Times New Roman" w:hAnsi="Times New Roman" w:cs="Times New Roman"/>
          <w:b/>
          <w:bCs/>
        </w:rPr>
        <w:t>Na podstawie art. 132 § 1</w:t>
      </w:r>
      <w:r w:rsidRPr="00FA0162">
        <w:rPr>
          <w:rFonts w:ascii="Times New Roman" w:eastAsia="Times New Roman" w:hAnsi="Times New Roman" w:cs="Times New Roman"/>
          <w:b/>
          <w:bCs/>
          <w:vertAlign w:val="superscript"/>
        </w:rPr>
        <w:t>3</w:t>
      </w:r>
      <w:r w:rsidRPr="00FA0162">
        <w:rPr>
          <w:rFonts w:ascii="Times New Roman" w:eastAsia="Times New Roman" w:hAnsi="Times New Roman" w:cs="Times New Roman"/>
          <w:b/>
          <w:bCs/>
        </w:rPr>
        <w:t xml:space="preserve"> k.p.c. oświadczam, że nie wyrażam zgody na doręczanie między pełnomocnikami pism procesowych wraz z załącznikami wyłącznie w formie elektronicznej</w:t>
      </w:r>
      <w:r w:rsidR="00D72F53" w:rsidRPr="00FA0162">
        <w:rPr>
          <w:rFonts w:ascii="Times New Roman" w:eastAsia="Times New Roman" w:hAnsi="Times New Roman" w:cs="Times New Roman"/>
          <w:b/>
          <w:bCs/>
        </w:rPr>
        <w:t xml:space="preserve">; </w:t>
      </w:r>
    </w:p>
    <w:p w14:paraId="32351288" w14:textId="77777777" w:rsidR="00B214DC" w:rsidRPr="00FA0162" w:rsidRDefault="00B214DC" w:rsidP="00B214DC">
      <w:pPr>
        <w:spacing w:after="0" w:line="240" w:lineRule="auto"/>
        <w:ind w:left="720"/>
        <w:jc w:val="both"/>
        <w:rPr>
          <w:rFonts w:ascii="Times New Roman" w:eastAsia="Times New Roman" w:hAnsi="Times New Roman" w:cs="Times New Roman"/>
          <w:b/>
          <w:bCs/>
        </w:rPr>
      </w:pPr>
    </w:p>
    <w:p w14:paraId="1E55D912" w14:textId="397D3139" w:rsidR="002D4D80" w:rsidRPr="00FA0162" w:rsidRDefault="00B214DC" w:rsidP="00B214DC">
      <w:pPr>
        <w:pStyle w:val="Akapitzlist"/>
        <w:numPr>
          <w:ilvl w:val="0"/>
          <w:numId w:val="38"/>
        </w:numPr>
        <w:jc w:val="both"/>
        <w:rPr>
          <w:rFonts w:ascii="Times New Roman" w:eastAsia="Times New Roman" w:hAnsi="Times New Roman" w:cs="Times New Roman"/>
          <w:b/>
          <w:bCs/>
          <w:highlight w:val="yellow"/>
        </w:rPr>
      </w:pPr>
      <w:r w:rsidRPr="00FA0162">
        <w:rPr>
          <w:rFonts w:ascii="Times New Roman" w:eastAsia="Times New Roman" w:hAnsi="Times New Roman" w:cs="Times New Roman"/>
          <w:b/>
          <w:bCs/>
          <w:highlight w:val="yellow"/>
        </w:rPr>
        <w:t xml:space="preserve">Jednocześnie, na podstawie art. 177 § 1 pkt 1) k.p.c. wnoszę o zawieszenie postępowania apelacyjnego w niniejszej sprawie do czasu zakończenia postępowania toczącego się przed Sądem ____________  w sprawie sygn. akt ________ z powództwa _______________________ . </w:t>
      </w:r>
    </w:p>
    <w:bookmarkEnd w:id="2"/>
    <w:p w14:paraId="1031391C" w14:textId="77777777" w:rsidR="00D20DDD" w:rsidRPr="00FA0162" w:rsidRDefault="00D20DDD" w:rsidP="00357437">
      <w:pPr>
        <w:spacing w:after="0" w:line="259" w:lineRule="auto"/>
        <w:rPr>
          <w:rFonts w:ascii="Times New Roman" w:eastAsia="Times New Roman" w:hAnsi="Times New Roman" w:cs="Times New Roman"/>
          <w:b/>
          <w:bCs/>
        </w:rPr>
      </w:pPr>
    </w:p>
    <w:p w14:paraId="22F401C5" w14:textId="6AB2BDE9" w:rsidR="001C62C8" w:rsidRPr="00FA0162" w:rsidRDefault="00826646" w:rsidP="001C62C8">
      <w:pPr>
        <w:spacing w:after="0" w:line="259" w:lineRule="auto"/>
        <w:jc w:val="center"/>
        <w:rPr>
          <w:rFonts w:ascii="Times New Roman" w:eastAsia="Times New Roman" w:hAnsi="Times New Roman" w:cs="Times New Roman"/>
          <w:b/>
          <w:bCs/>
          <w:lang w:bidi="pl-PL"/>
        </w:rPr>
      </w:pPr>
      <w:r w:rsidRPr="00FA0162">
        <w:rPr>
          <w:rFonts w:ascii="Times New Roman" w:eastAsia="Times New Roman" w:hAnsi="Times New Roman" w:cs="Times New Roman"/>
          <w:b/>
          <w:bCs/>
          <w:lang w:bidi="pl-PL"/>
        </w:rPr>
        <w:t xml:space="preserve">UZASADNIENIE </w:t>
      </w:r>
    </w:p>
    <w:p w14:paraId="0E5CF5A2" w14:textId="5ED025D4" w:rsidR="009237CE" w:rsidRPr="00FA0162" w:rsidRDefault="009237CE" w:rsidP="001C62C8">
      <w:pPr>
        <w:spacing w:after="0" w:line="259" w:lineRule="auto"/>
        <w:jc w:val="center"/>
        <w:rPr>
          <w:rFonts w:ascii="Times New Roman" w:eastAsia="Times New Roman" w:hAnsi="Times New Roman" w:cs="Times New Roman"/>
          <w:i/>
          <w:iCs/>
          <w:lang w:bidi="pl-PL"/>
        </w:rPr>
      </w:pPr>
      <w:r w:rsidRPr="00FA0162">
        <w:rPr>
          <w:rFonts w:ascii="Times New Roman" w:eastAsia="Times New Roman" w:hAnsi="Times New Roman" w:cs="Times New Roman"/>
          <w:i/>
          <w:iCs/>
          <w:lang w:bidi="pl-PL"/>
        </w:rPr>
        <w:t>[ PRZYKŁADOWE</w:t>
      </w:r>
      <w:r w:rsidR="004E64BE" w:rsidRPr="00FA0162">
        <w:rPr>
          <w:rFonts w:ascii="Times New Roman" w:eastAsia="Times New Roman" w:hAnsi="Times New Roman" w:cs="Times New Roman"/>
          <w:i/>
          <w:iCs/>
          <w:lang w:bidi="pl-PL"/>
        </w:rPr>
        <w:t>, DO DOSTOSOWANIA</w:t>
      </w:r>
      <w:r w:rsidRPr="00FA0162">
        <w:rPr>
          <w:rFonts w:ascii="Times New Roman" w:eastAsia="Times New Roman" w:hAnsi="Times New Roman" w:cs="Times New Roman"/>
          <w:i/>
          <w:iCs/>
          <w:lang w:bidi="pl-PL"/>
        </w:rPr>
        <w:t xml:space="preserve">] </w:t>
      </w:r>
    </w:p>
    <w:p w14:paraId="56170A2D" w14:textId="77777777" w:rsidR="001C62C8" w:rsidRPr="00FA0162" w:rsidRDefault="001C62C8" w:rsidP="001C62C8">
      <w:pPr>
        <w:spacing w:after="0" w:line="259" w:lineRule="auto"/>
        <w:jc w:val="center"/>
        <w:rPr>
          <w:rFonts w:ascii="Times New Roman" w:eastAsia="Times New Roman" w:hAnsi="Times New Roman" w:cs="Times New Roman"/>
          <w:b/>
          <w:bCs/>
          <w:lang w:bidi="pl-PL"/>
        </w:rPr>
      </w:pPr>
    </w:p>
    <w:p w14:paraId="3042DFB3" w14:textId="77777777" w:rsidR="001C62C8" w:rsidRPr="00FA0162" w:rsidRDefault="001C62C8" w:rsidP="001C62C8">
      <w:pPr>
        <w:pStyle w:val="Akapitzlist"/>
        <w:numPr>
          <w:ilvl w:val="0"/>
          <w:numId w:val="33"/>
        </w:numPr>
        <w:spacing w:after="0" w:line="240" w:lineRule="auto"/>
        <w:jc w:val="both"/>
        <w:rPr>
          <w:rFonts w:ascii="Times New Roman" w:hAnsi="Times New Roman" w:cs="Times New Roman"/>
          <w:b/>
        </w:rPr>
      </w:pPr>
      <w:r w:rsidRPr="00FA0162">
        <w:rPr>
          <w:rFonts w:ascii="Times New Roman" w:hAnsi="Times New Roman" w:cs="Times New Roman"/>
          <w:b/>
        </w:rPr>
        <w:t>Zaskarżony wyrok</w:t>
      </w:r>
    </w:p>
    <w:p w14:paraId="4ED055DB" w14:textId="77777777" w:rsidR="007E6F35" w:rsidRPr="00FA0162" w:rsidRDefault="007E6F35" w:rsidP="007E6F35">
      <w:pPr>
        <w:pStyle w:val="Akapitzlist"/>
        <w:spacing w:after="0" w:line="240" w:lineRule="auto"/>
        <w:jc w:val="both"/>
        <w:rPr>
          <w:rFonts w:ascii="Times New Roman" w:hAnsi="Times New Roman" w:cs="Times New Roman"/>
          <w:b/>
        </w:rPr>
      </w:pPr>
    </w:p>
    <w:p w14:paraId="108C9425" w14:textId="3C3DE3F2" w:rsidR="001C62C8" w:rsidRPr="00FA0162" w:rsidRDefault="001C62C8" w:rsidP="001C62C8">
      <w:pPr>
        <w:spacing w:line="240" w:lineRule="auto"/>
        <w:jc w:val="both"/>
        <w:rPr>
          <w:rFonts w:ascii="Times New Roman" w:hAnsi="Times New Roman" w:cs="Times New Roman"/>
          <w:highlight w:val="yellow"/>
        </w:rPr>
      </w:pPr>
      <w:r w:rsidRPr="00FA0162">
        <w:rPr>
          <w:rFonts w:ascii="Times New Roman" w:hAnsi="Times New Roman" w:cs="Times New Roman"/>
          <w:highlight w:val="yellow"/>
        </w:rPr>
        <w:t xml:space="preserve">Wyrokiem z dnia </w:t>
      </w:r>
      <w:r w:rsidR="007E6F35" w:rsidRPr="00FA0162">
        <w:rPr>
          <w:rFonts w:ascii="Times New Roman" w:hAnsi="Times New Roman" w:cs="Times New Roman"/>
          <w:highlight w:val="yellow"/>
        </w:rPr>
        <w:t xml:space="preserve">5 lutego 2024 r. Sąd Okręgowy w Katowicach II Wydział Cywilny </w:t>
      </w:r>
      <w:r w:rsidRPr="00FA0162">
        <w:rPr>
          <w:rFonts w:ascii="Times New Roman" w:hAnsi="Times New Roman" w:cs="Times New Roman"/>
          <w:highlight w:val="yellow"/>
        </w:rPr>
        <w:t xml:space="preserve">w sprawie z powództwa Banku Millennium S.A. w Warszawie przeciwko </w:t>
      </w:r>
      <w:r w:rsidR="00223FF0" w:rsidRPr="00FA0162">
        <w:rPr>
          <w:rFonts w:ascii="Times New Roman" w:hAnsi="Times New Roman" w:cs="Times New Roman"/>
          <w:highlight w:val="yellow"/>
        </w:rPr>
        <w:t xml:space="preserve">Waldemarowi Kudrze, Izabeli Kudrze: </w:t>
      </w:r>
    </w:p>
    <w:p w14:paraId="7C1C192B" w14:textId="6BC8D4B2" w:rsidR="001C62C8" w:rsidRPr="00FA0162" w:rsidRDefault="001C62C8" w:rsidP="001C62C8">
      <w:pPr>
        <w:pStyle w:val="Akapitzlist"/>
        <w:numPr>
          <w:ilvl w:val="0"/>
          <w:numId w:val="32"/>
        </w:numPr>
        <w:spacing w:after="0" w:line="240" w:lineRule="auto"/>
        <w:jc w:val="both"/>
        <w:rPr>
          <w:rFonts w:ascii="Times New Roman" w:hAnsi="Times New Roman" w:cs="Times New Roman"/>
          <w:highlight w:val="yellow"/>
        </w:rPr>
      </w:pPr>
      <w:r w:rsidRPr="00FA0162">
        <w:rPr>
          <w:rFonts w:ascii="Times New Roman" w:hAnsi="Times New Roman" w:cs="Times New Roman"/>
          <w:highlight w:val="yellow"/>
        </w:rPr>
        <w:t>oddalił powództwo</w:t>
      </w:r>
      <w:r w:rsidR="00223FF0" w:rsidRPr="00FA0162">
        <w:rPr>
          <w:rFonts w:ascii="Times New Roman" w:hAnsi="Times New Roman" w:cs="Times New Roman"/>
          <w:highlight w:val="yellow"/>
        </w:rPr>
        <w:t xml:space="preserve">; </w:t>
      </w:r>
    </w:p>
    <w:p w14:paraId="2A002FFD" w14:textId="54F30633" w:rsidR="001C62C8" w:rsidRPr="00FA0162" w:rsidRDefault="001C62C8" w:rsidP="00223FF0">
      <w:pPr>
        <w:pStyle w:val="Akapitzlist"/>
        <w:numPr>
          <w:ilvl w:val="0"/>
          <w:numId w:val="32"/>
        </w:numPr>
        <w:spacing w:after="0" w:line="240" w:lineRule="auto"/>
        <w:jc w:val="both"/>
        <w:rPr>
          <w:rFonts w:ascii="Times New Roman" w:hAnsi="Times New Roman" w:cs="Times New Roman"/>
          <w:highlight w:val="yellow"/>
        </w:rPr>
      </w:pPr>
      <w:r w:rsidRPr="00FA0162">
        <w:rPr>
          <w:rFonts w:ascii="Times New Roman" w:hAnsi="Times New Roman" w:cs="Times New Roman"/>
          <w:highlight w:val="yellow"/>
        </w:rPr>
        <w:t xml:space="preserve">zasądził od Banku na rzecz </w:t>
      </w:r>
      <w:r w:rsidR="00223FF0" w:rsidRPr="00FA0162">
        <w:rPr>
          <w:rFonts w:ascii="Times New Roman" w:hAnsi="Times New Roman" w:cs="Times New Roman"/>
          <w:highlight w:val="yellow"/>
        </w:rPr>
        <w:t>pozwanych kwotę 5 417 zł (pięć tysięcy czterysta siedemnaście złotych) tytułem zwrotu kosztów procesu z odsetkami ustawowymi za opóźnienie od dnia uprawomocnienia wyroku do dnia zapłaty.</w:t>
      </w:r>
    </w:p>
    <w:p w14:paraId="727C96E3" w14:textId="77777777" w:rsidR="00223FF0" w:rsidRPr="00FA0162" w:rsidRDefault="00223FF0" w:rsidP="00223FF0">
      <w:pPr>
        <w:spacing w:after="0" w:line="240" w:lineRule="auto"/>
        <w:ind w:left="360"/>
        <w:jc w:val="both"/>
        <w:rPr>
          <w:rFonts w:ascii="Times New Roman" w:hAnsi="Times New Roman" w:cs="Times New Roman"/>
        </w:rPr>
      </w:pPr>
    </w:p>
    <w:p w14:paraId="1EEEF558" w14:textId="5A744B3F" w:rsidR="009943EB" w:rsidRPr="00FA0162" w:rsidRDefault="001C62C8" w:rsidP="002A5407">
      <w:pPr>
        <w:spacing w:after="0" w:line="240" w:lineRule="auto"/>
        <w:jc w:val="both"/>
        <w:rPr>
          <w:rFonts w:ascii="Times New Roman" w:hAnsi="Times New Roman" w:cs="Times New Roman"/>
        </w:rPr>
      </w:pPr>
      <w:r w:rsidRPr="00FA0162">
        <w:rPr>
          <w:rFonts w:ascii="Times New Roman" w:hAnsi="Times New Roman" w:cs="Times New Roman"/>
        </w:rPr>
        <w:t xml:space="preserve">W uzasadnieniu zaskarżonego wyroku Sąd Okręgowy w </w:t>
      </w:r>
      <w:r w:rsidR="00BB44FE" w:rsidRPr="00FA0162">
        <w:rPr>
          <w:rFonts w:ascii="Times New Roman" w:hAnsi="Times New Roman" w:cs="Times New Roman"/>
        </w:rPr>
        <w:t xml:space="preserve">Katowicach stwierdził, że </w:t>
      </w:r>
      <w:r w:rsidR="008741CB" w:rsidRPr="00FA0162">
        <w:rPr>
          <w:rFonts w:ascii="Times New Roman" w:hAnsi="Times New Roman" w:cs="Times New Roman"/>
          <w:i/>
          <w:iCs/>
          <w:highlight w:val="yellow"/>
        </w:rPr>
        <w:t>___________________________________</w:t>
      </w:r>
    </w:p>
    <w:p w14:paraId="4EC74C45" w14:textId="77777777" w:rsidR="009943EB" w:rsidRPr="00FA0162" w:rsidRDefault="009943EB" w:rsidP="002A5407">
      <w:pPr>
        <w:spacing w:after="0" w:line="240" w:lineRule="auto"/>
        <w:jc w:val="both"/>
        <w:rPr>
          <w:rFonts w:ascii="Times New Roman" w:hAnsi="Times New Roman" w:cs="Times New Roman"/>
        </w:rPr>
      </w:pPr>
    </w:p>
    <w:p w14:paraId="161C35FB" w14:textId="47762F90" w:rsidR="002A5407" w:rsidRPr="00FA0162" w:rsidRDefault="002A5407" w:rsidP="002A5407">
      <w:pPr>
        <w:spacing w:after="0" w:line="240" w:lineRule="auto"/>
        <w:jc w:val="both"/>
        <w:rPr>
          <w:rFonts w:ascii="Times New Roman" w:hAnsi="Times New Roman" w:cs="Times New Roman"/>
        </w:rPr>
      </w:pPr>
      <w:r w:rsidRPr="00FA0162">
        <w:rPr>
          <w:rFonts w:ascii="Times New Roman" w:hAnsi="Times New Roman" w:cs="Times New Roman"/>
        </w:rPr>
        <w:t xml:space="preserve">Sąd stwierdził, że roszczenia Banku opierają się na założeniu, </w:t>
      </w:r>
      <w:r w:rsidR="008741CB" w:rsidRPr="00FA0162">
        <w:rPr>
          <w:rFonts w:ascii="Times New Roman" w:hAnsi="Times New Roman" w:cs="Times New Roman"/>
          <w:highlight w:val="yellow"/>
        </w:rPr>
        <w:t>_______________________________.</w:t>
      </w:r>
      <w:r w:rsidR="008741CB" w:rsidRPr="00FA0162">
        <w:rPr>
          <w:rFonts w:ascii="Times New Roman" w:hAnsi="Times New Roman" w:cs="Times New Roman"/>
        </w:rPr>
        <w:t xml:space="preserve"> </w:t>
      </w:r>
    </w:p>
    <w:p w14:paraId="7ABE26BF" w14:textId="77777777" w:rsidR="004964F7" w:rsidRPr="00FA0162" w:rsidRDefault="004964F7" w:rsidP="002A5407">
      <w:pPr>
        <w:spacing w:after="0" w:line="240" w:lineRule="auto"/>
        <w:jc w:val="both"/>
        <w:rPr>
          <w:rFonts w:ascii="Times New Roman" w:hAnsi="Times New Roman" w:cs="Times New Roman"/>
        </w:rPr>
      </w:pPr>
    </w:p>
    <w:p w14:paraId="42F3C311" w14:textId="39603CB5" w:rsidR="004964F7" w:rsidRPr="00FA0162" w:rsidRDefault="004964F7" w:rsidP="00410BDC">
      <w:pPr>
        <w:spacing w:after="0" w:line="240" w:lineRule="auto"/>
        <w:jc w:val="both"/>
        <w:rPr>
          <w:rFonts w:ascii="Times New Roman" w:hAnsi="Times New Roman" w:cs="Times New Roman"/>
        </w:rPr>
      </w:pPr>
      <w:r w:rsidRPr="00FA0162">
        <w:rPr>
          <w:rFonts w:ascii="Times New Roman" w:hAnsi="Times New Roman" w:cs="Times New Roman"/>
        </w:rPr>
        <w:t xml:space="preserve">Sąd Okręgowy </w:t>
      </w:r>
      <w:r w:rsidR="00F05C19" w:rsidRPr="00FA0162">
        <w:rPr>
          <w:rFonts w:ascii="Times New Roman" w:hAnsi="Times New Roman" w:cs="Times New Roman"/>
        </w:rPr>
        <w:t xml:space="preserve">w Katowicach </w:t>
      </w:r>
      <w:r w:rsidRPr="00FA0162">
        <w:rPr>
          <w:rFonts w:ascii="Times New Roman" w:hAnsi="Times New Roman" w:cs="Times New Roman"/>
        </w:rPr>
        <w:t xml:space="preserve">błędnie </w:t>
      </w:r>
      <w:r w:rsidR="008741CB" w:rsidRPr="00FA0162">
        <w:rPr>
          <w:rFonts w:ascii="Times New Roman" w:hAnsi="Times New Roman" w:cs="Times New Roman"/>
          <w:highlight w:val="yellow"/>
        </w:rPr>
        <w:t>__________________________________</w:t>
      </w:r>
      <w:r w:rsidR="008741CB" w:rsidRPr="00FA0162">
        <w:rPr>
          <w:rFonts w:ascii="Times New Roman" w:hAnsi="Times New Roman" w:cs="Times New Roman"/>
        </w:rPr>
        <w:t xml:space="preserve"> . </w:t>
      </w:r>
    </w:p>
    <w:p w14:paraId="6D31F2F7" w14:textId="77777777" w:rsidR="001C62C8" w:rsidRPr="00FA0162" w:rsidRDefault="001C62C8" w:rsidP="00BB54BB">
      <w:pPr>
        <w:spacing w:after="0" w:line="259" w:lineRule="auto"/>
        <w:rPr>
          <w:rFonts w:ascii="Times New Roman" w:eastAsia="Times New Roman" w:hAnsi="Times New Roman" w:cs="Times New Roman"/>
          <w:b/>
          <w:bCs/>
          <w:lang w:bidi="pl-PL"/>
        </w:rPr>
      </w:pPr>
    </w:p>
    <w:p w14:paraId="08605434" w14:textId="77777777" w:rsidR="00D20DDD" w:rsidRPr="00FA0162" w:rsidRDefault="00D20DDD" w:rsidP="00D20DDD">
      <w:pPr>
        <w:spacing w:after="0" w:line="259" w:lineRule="auto"/>
        <w:jc w:val="both"/>
        <w:rPr>
          <w:rFonts w:ascii="Times New Roman" w:eastAsia="Calibri" w:hAnsi="Times New Roman" w:cs="Times New Roman"/>
          <w:bCs/>
          <w:iCs/>
        </w:rPr>
      </w:pPr>
    </w:p>
    <w:p w14:paraId="1E730DD9" w14:textId="48A134A5" w:rsidR="00A43192" w:rsidRPr="00FA0162" w:rsidRDefault="00A43192" w:rsidP="0034579D">
      <w:pPr>
        <w:pStyle w:val="Akapitzlist"/>
        <w:numPr>
          <w:ilvl w:val="0"/>
          <w:numId w:val="33"/>
        </w:numPr>
        <w:spacing w:after="0" w:line="259" w:lineRule="auto"/>
        <w:jc w:val="both"/>
        <w:rPr>
          <w:rFonts w:ascii="Times New Roman" w:eastAsia="Calibri" w:hAnsi="Times New Roman" w:cs="Times New Roman"/>
          <w:b/>
          <w:iCs/>
        </w:rPr>
      </w:pPr>
      <w:r w:rsidRPr="00FA0162">
        <w:rPr>
          <w:rFonts w:ascii="Times New Roman" w:eastAsia="Times New Roman" w:hAnsi="Times New Roman" w:cs="Times New Roman"/>
          <w:b/>
          <w:bCs/>
          <w:color w:val="000000"/>
        </w:rPr>
        <w:t>Podstawa faktyczna pozwu</w:t>
      </w:r>
    </w:p>
    <w:p w14:paraId="25FD2664" w14:textId="471B081D" w:rsidR="00A43192" w:rsidRPr="00FA0162" w:rsidRDefault="00A43192" w:rsidP="00A43192">
      <w:pPr>
        <w:spacing w:after="0" w:line="259" w:lineRule="auto"/>
        <w:ind w:left="567"/>
        <w:contextualSpacing/>
        <w:jc w:val="both"/>
        <w:rPr>
          <w:rFonts w:ascii="Times New Roman" w:eastAsia="Times New Roman" w:hAnsi="Times New Roman" w:cs="Times New Roman"/>
          <w:b/>
          <w:bCs/>
          <w:color w:val="000000"/>
        </w:rPr>
      </w:pPr>
    </w:p>
    <w:p w14:paraId="094C9193" w14:textId="46E287A9" w:rsidR="005C07CD" w:rsidRPr="00FA0162" w:rsidRDefault="0052449C" w:rsidP="0052449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Zgodnie z art. 187 </w:t>
      </w:r>
      <w:r w:rsidR="003645CB" w:rsidRPr="00FA0162">
        <w:rPr>
          <w:rFonts w:ascii="Times New Roman" w:eastAsia="Times New Roman" w:hAnsi="Times New Roman" w:cs="Times New Roman"/>
          <w:color w:val="000000"/>
        </w:rPr>
        <w:t xml:space="preserve">§ 1 pkt 2) k.p.c. obowiązkiem powoda jest wskazanie w pozwie </w:t>
      </w:r>
      <w:r w:rsidR="00960009" w:rsidRPr="00FA0162">
        <w:rPr>
          <w:rFonts w:ascii="Times New Roman" w:eastAsia="Times New Roman" w:hAnsi="Times New Roman" w:cs="Times New Roman"/>
          <w:color w:val="000000"/>
        </w:rPr>
        <w:t>faktów, na których powód opiera swoje żądanie. Fakty te zakreślają tzw. podstawę faktyczną powództwa</w:t>
      </w:r>
      <w:r w:rsidR="005C07CD" w:rsidRPr="00FA0162">
        <w:rPr>
          <w:rFonts w:ascii="Times New Roman" w:eastAsia="Times New Roman" w:hAnsi="Times New Roman" w:cs="Times New Roman"/>
          <w:color w:val="000000"/>
        </w:rPr>
        <w:t xml:space="preserve">, zaś podstawa faktyczna wraz z treścią żądaniem tworzą przedmiot </w:t>
      </w:r>
      <w:r w:rsidR="003B7DE7" w:rsidRPr="00FA0162">
        <w:rPr>
          <w:rFonts w:ascii="Times New Roman" w:eastAsia="Times New Roman" w:hAnsi="Times New Roman" w:cs="Times New Roman"/>
          <w:color w:val="000000"/>
        </w:rPr>
        <w:t>postępowania.</w:t>
      </w:r>
    </w:p>
    <w:p w14:paraId="1F934B6F" w14:textId="77777777" w:rsidR="005C07CD" w:rsidRPr="00FA0162" w:rsidRDefault="005C07CD" w:rsidP="0052449C">
      <w:pPr>
        <w:spacing w:after="0" w:line="259" w:lineRule="auto"/>
        <w:contextualSpacing/>
        <w:jc w:val="both"/>
        <w:rPr>
          <w:rFonts w:ascii="Times New Roman" w:eastAsia="Times New Roman" w:hAnsi="Times New Roman" w:cs="Times New Roman"/>
          <w:color w:val="000000"/>
        </w:rPr>
      </w:pPr>
    </w:p>
    <w:p w14:paraId="2AC826C8" w14:textId="6112FAEB" w:rsidR="0052449C" w:rsidRPr="00FA0162" w:rsidRDefault="00252B94" w:rsidP="00F74FA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 doktrynie wskazuje się, że p</w:t>
      </w:r>
      <w:r w:rsidR="0052449C" w:rsidRPr="00FA0162">
        <w:rPr>
          <w:rFonts w:ascii="Times New Roman" w:eastAsia="Times New Roman" w:hAnsi="Times New Roman" w:cs="Times New Roman"/>
          <w:color w:val="000000"/>
        </w:rPr>
        <w:t>rzytoczenie okoliczności faktycznych uzasadniających żądanie, czyli uzasadnienie faktyczne żądania (</w:t>
      </w:r>
      <w:r w:rsidR="0052449C" w:rsidRPr="00FA0162">
        <w:rPr>
          <w:rFonts w:ascii="Times New Roman" w:eastAsia="Times New Roman" w:hAnsi="Times New Roman" w:cs="Times New Roman"/>
          <w:i/>
          <w:iCs/>
          <w:color w:val="000000"/>
        </w:rPr>
        <w:t>causa petendi</w:t>
      </w:r>
      <w:r w:rsidR="0052449C" w:rsidRPr="00FA0162">
        <w:rPr>
          <w:rFonts w:ascii="Times New Roman" w:eastAsia="Times New Roman" w:hAnsi="Times New Roman" w:cs="Times New Roman"/>
          <w:color w:val="000000"/>
        </w:rPr>
        <w:t xml:space="preserve">), powinno dotyczyć okoliczności faktycznych, które są istotne z punktu widzenia </w:t>
      </w:r>
      <w:r w:rsidR="00410884" w:rsidRPr="00FA0162">
        <w:rPr>
          <w:rFonts w:ascii="Times New Roman" w:eastAsia="Times New Roman" w:hAnsi="Times New Roman" w:cs="Times New Roman"/>
          <w:color w:val="000000"/>
        </w:rPr>
        <w:t xml:space="preserve">żądań z </w:t>
      </w:r>
      <w:r w:rsidR="00410884" w:rsidRPr="00FA0162">
        <w:rPr>
          <w:rFonts w:ascii="Times New Roman" w:eastAsia="Times New Roman" w:hAnsi="Times New Roman" w:cs="Times New Roman"/>
          <w:i/>
          <w:iCs/>
          <w:color w:val="000000"/>
        </w:rPr>
        <w:t>petitum</w:t>
      </w:r>
      <w:r w:rsidR="0052449C" w:rsidRPr="00FA0162">
        <w:rPr>
          <w:rFonts w:ascii="Times New Roman" w:eastAsia="Times New Roman" w:hAnsi="Times New Roman" w:cs="Times New Roman"/>
          <w:color w:val="000000"/>
        </w:rPr>
        <w:t xml:space="preserve"> pozwu. Stanowią je konkretne wydarzenia historyczne, z którymi powód wiąże powstanie po swojej stronie określonego roszczenia wobec pozwanego</w:t>
      </w:r>
      <w:r w:rsidR="00860D34" w:rsidRPr="00FA0162">
        <w:rPr>
          <w:rFonts w:ascii="Times New Roman" w:eastAsia="Times New Roman" w:hAnsi="Times New Roman" w:cs="Times New Roman"/>
          <w:color w:val="000000"/>
        </w:rPr>
        <w:t xml:space="preserve"> (np. zawarcie umowy, wypłata świadczenia w jej wykonaniu)</w:t>
      </w:r>
      <w:r w:rsidR="0052449C" w:rsidRPr="00FA0162">
        <w:rPr>
          <w:rFonts w:ascii="Times New Roman" w:eastAsia="Times New Roman" w:hAnsi="Times New Roman" w:cs="Times New Roman"/>
          <w:color w:val="000000"/>
        </w:rPr>
        <w:t xml:space="preserve">. Podane przez powoda okoliczności faktyczne </w:t>
      </w:r>
      <w:r w:rsidR="0052449C" w:rsidRPr="00FA0162">
        <w:rPr>
          <w:rFonts w:ascii="Times New Roman" w:eastAsia="Times New Roman" w:hAnsi="Times New Roman" w:cs="Times New Roman"/>
          <w:color w:val="000000"/>
        </w:rPr>
        <w:lastRenderedPageBreak/>
        <w:t>uzasadniające żądanie pozwalają na określenie podstawy prawnej, na której opiera się roszczenie powoda, oraz reżimu odpowiedzialności pozwanego, a tym samym na zakreślenie ram sporu i kognicji sądu. Wskazane okoliczności faktyczne roszczenia są bowiem podstawą faktyczną uzasadniającą zastosowanie abstrakcyjnej normy prawnej, a proces stosowania przez sąd prawa polega na porównaniu ustalonego stanu faktycznego ze stanem faktycznym podanym w hipotezie określonej normy prawnej, tj. na subsumcji stanu faktycznego sprawy pod określony przepis prawa. Wskazany przez powoda, a następnie ustalony przez sąd, stan faktyczny determinuje zatem zastosowanie normy prawnej i dlatego jest tak istotny dla określenia zakresu poddania sprawy pod osąd sądu (T. Szanciło, w: red. T. Szanciło, Kodeks postępowania cywilnego. Tom I, komentarz do art. 187, Legalis, nb. 19).</w:t>
      </w:r>
    </w:p>
    <w:p w14:paraId="0687626C" w14:textId="77777777" w:rsidR="0052449C" w:rsidRPr="00FA0162" w:rsidRDefault="0052449C" w:rsidP="00F74FAC">
      <w:pPr>
        <w:spacing w:after="0" w:line="259" w:lineRule="auto"/>
        <w:contextualSpacing/>
        <w:jc w:val="both"/>
        <w:rPr>
          <w:rFonts w:ascii="Times New Roman" w:eastAsia="Times New Roman" w:hAnsi="Times New Roman" w:cs="Times New Roman"/>
          <w:color w:val="000000"/>
        </w:rPr>
      </w:pPr>
    </w:p>
    <w:p w14:paraId="336C5ADE" w14:textId="7CA02FBF" w:rsidR="00632DE4" w:rsidRPr="00FA0162" w:rsidRDefault="00632DE4" w:rsidP="00F74FAC">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 orzecznictwie Sądu Najwyższego od wielu lat ugruntowane jest stanowisko, zgodnie z którym powód nie ma obowiązku wskazywania podstawy prawnej swojego żądania, a jeśli to uczyni, sąd wskazaną podstawą nie będzie związany (tak m.in. orzeczenia z 13 czerwca 1947 r., C III 137/47, OSNC 1948, nr 1, poz. 20; z 2 maja 1957 r., II CR 305/57, OSNC 1958, nr 3, poz. 72; wyr. z 28 marca 2014 r., III CSK 156/13; wyr. z 30 września 2016 r., I CSK 644/15; wyr. z 7 lipca 2017 r., V CSK 660/16; wyr. z 14 grudnia 2018 r., I CSK 667/17</w:t>
      </w:r>
      <w:r w:rsidR="00F74FAC" w:rsidRPr="00FA0162">
        <w:rPr>
          <w:rFonts w:ascii="Times New Roman" w:eastAsia="Times New Roman" w:hAnsi="Times New Roman" w:cs="Times New Roman"/>
          <w:color w:val="000000"/>
        </w:rPr>
        <w:t xml:space="preserve">, </w:t>
      </w:r>
      <w:bookmarkStart w:id="13" w:name="_Hlk125489645"/>
      <w:r w:rsidR="00F74FAC" w:rsidRPr="00FA0162">
        <w:rPr>
          <w:rFonts w:ascii="Times New Roman" w:eastAsia="Times New Roman" w:hAnsi="Times New Roman" w:cs="Times New Roman"/>
          <w:color w:val="000000"/>
        </w:rPr>
        <w:t>wyr. SN z 30 października 2019 r., V CSK 334/18</w:t>
      </w:r>
      <w:bookmarkEnd w:id="13"/>
      <w:r w:rsidRPr="00FA0162">
        <w:rPr>
          <w:rFonts w:ascii="Times New Roman" w:eastAsia="Times New Roman" w:hAnsi="Times New Roman" w:cs="Times New Roman"/>
          <w:color w:val="000000"/>
        </w:rPr>
        <w:t>). Stanowisko to uzasadnione jest m.in.</w:t>
      </w:r>
      <w:r w:rsidR="00252B94" w:rsidRPr="00FA0162">
        <w:rPr>
          <w:rFonts w:ascii="Times New Roman" w:eastAsia="Times New Roman" w:hAnsi="Times New Roman" w:cs="Times New Roman"/>
          <w:color w:val="000000"/>
        </w:rPr>
        <w:t xml:space="preserve"> właśnie </w:t>
      </w:r>
      <w:r w:rsidRPr="00FA0162">
        <w:rPr>
          <w:rFonts w:ascii="Times New Roman" w:eastAsia="Times New Roman" w:hAnsi="Times New Roman" w:cs="Times New Roman"/>
          <w:color w:val="000000"/>
        </w:rPr>
        <w:t>treścią art. 187 § 1 KPC, który nie wymaga przywołania podstawy prawnej roszczenia jako koniecznego elementu pozwu, a w punkcie 2 tego przepisu mowa jest jedynie o konieczności przytoczenia okoliczności faktycznych uzasadniających żądanie. Oznacza to, że powołanie się przez powoda na podstawę faktyczną żądania, która może być kwalifikowana według różnych podstaw prawnych, uzasadnia rozważenie przez sąd każdej z nich przy rozstrzyganiu sprawy. W związku z tym należy również uznać, że przyjęcie przez sąd innej podstawy prawnej niż wskazana przez powoda nie stanowi wyjścia poza granice żądania określone w art. 321 KPC (por. wyroki SN z 15 kwietnia 2003 r., V CKN 115/01; z 15 września 2004 r., III CK 352/03; z 6 grudnia 2006 r., IV CSK 269/06; z 24 maja 2007 r., V CSK 25/07, OSNC - ZD 2008, nr B, poz. 32; z 20 lutego 2008 r., II CSK 449/07; z 27 marca 2008 r., II CSK 524/07; z 14 grudnia 2018 r., I CSK 667/17</w:t>
      </w:r>
      <w:r w:rsidR="00F74FAC" w:rsidRPr="00FA0162">
        <w:rPr>
          <w:rFonts w:ascii="Times New Roman" w:eastAsia="Times New Roman" w:hAnsi="Times New Roman" w:cs="Times New Roman"/>
          <w:color w:val="000000"/>
        </w:rPr>
        <w:t>, wyr. SN z 30 października 2019 r., V CSK 334/18</w:t>
      </w:r>
      <w:r w:rsidRPr="00FA0162">
        <w:rPr>
          <w:rFonts w:ascii="Times New Roman" w:eastAsia="Times New Roman" w:hAnsi="Times New Roman" w:cs="Times New Roman"/>
          <w:color w:val="000000"/>
        </w:rPr>
        <w:t>).</w:t>
      </w:r>
      <w:r w:rsidR="007A4CC9" w:rsidRPr="00FA0162">
        <w:rPr>
          <w:rFonts w:ascii="Times New Roman" w:eastAsia="Times New Roman" w:hAnsi="Times New Roman" w:cs="Times New Roman"/>
          <w:color w:val="000000"/>
        </w:rPr>
        <w:t xml:space="preserve"> </w:t>
      </w:r>
    </w:p>
    <w:p w14:paraId="494FA523" w14:textId="0F7F1B8A" w:rsidR="00125B7F" w:rsidRPr="00FA0162" w:rsidRDefault="00125B7F" w:rsidP="0052449C">
      <w:pPr>
        <w:spacing w:after="0" w:line="259" w:lineRule="auto"/>
        <w:contextualSpacing/>
        <w:jc w:val="both"/>
        <w:rPr>
          <w:rFonts w:ascii="Times New Roman" w:eastAsia="Times New Roman" w:hAnsi="Times New Roman" w:cs="Times New Roman"/>
          <w:b/>
          <w:bCs/>
          <w:color w:val="000000"/>
        </w:rPr>
      </w:pPr>
    </w:p>
    <w:p w14:paraId="02B48C0B" w14:textId="5F855BB7" w:rsidR="00125B7F" w:rsidRPr="00FA0162" w:rsidRDefault="00860D34" w:rsidP="00E629E4">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W niniejszej sprawie </w:t>
      </w:r>
      <w:r w:rsidR="00721EFF" w:rsidRPr="00FA0162">
        <w:rPr>
          <w:rFonts w:ascii="Times New Roman" w:eastAsia="Times New Roman" w:hAnsi="Times New Roman" w:cs="Times New Roman"/>
          <w:color w:val="000000"/>
        </w:rPr>
        <w:t xml:space="preserve">Powód w pozwie </w:t>
      </w:r>
      <w:r w:rsidR="00201B37" w:rsidRPr="00FA0162">
        <w:rPr>
          <w:rFonts w:ascii="Times New Roman" w:eastAsia="Times New Roman" w:hAnsi="Times New Roman" w:cs="Times New Roman"/>
          <w:color w:val="000000"/>
        </w:rPr>
        <w:t>wskazał</w:t>
      </w:r>
      <w:r w:rsidR="00125B7F" w:rsidRPr="00FA0162">
        <w:rPr>
          <w:rFonts w:ascii="Times New Roman" w:eastAsia="Times New Roman" w:hAnsi="Times New Roman" w:cs="Times New Roman"/>
          <w:color w:val="000000"/>
        </w:rPr>
        <w:t xml:space="preserve"> następujące fakty</w:t>
      </w:r>
      <w:r w:rsidR="00201B37" w:rsidRPr="00FA0162">
        <w:rPr>
          <w:rFonts w:ascii="Times New Roman" w:eastAsia="Times New Roman" w:hAnsi="Times New Roman" w:cs="Times New Roman"/>
          <w:color w:val="000000"/>
        </w:rPr>
        <w:t>, które w jego subiektywnym przekonaniu uzasadniają zgłoszone żądanie</w:t>
      </w:r>
      <w:r w:rsidR="00125B7F" w:rsidRPr="00FA0162">
        <w:rPr>
          <w:rFonts w:ascii="Times New Roman" w:eastAsia="Times New Roman" w:hAnsi="Times New Roman" w:cs="Times New Roman"/>
          <w:color w:val="000000"/>
        </w:rPr>
        <w:t>:</w:t>
      </w:r>
    </w:p>
    <w:p w14:paraId="3A469C7B" w14:textId="5845CCFF" w:rsidR="00A8525A" w:rsidRPr="00FA0162" w:rsidRDefault="00EA4432" w:rsidP="00A36829">
      <w:pPr>
        <w:pStyle w:val="Akapitzlist"/>
        <w:numPr>
          <w:ilvl w:val="0"/>
          <w:numId w:val="30"/>
        </w:numPr>
        <w:spacing w:after="0" w:line="259" w:lineRule="auto"/>
        <w:ind w:left="360"/>
        <w:jc w:val="both"/>
        <w:rPr>
          <w:rFonts w:ascii="Times New Roman" w:eastAsia="Times New Roman" w:hAnsi="Times New Roman" w:cs="Times New Roman"/>
          <w:color w:val="000000"/>
          <w:highlight w:val="yellow"/>
        </w:rPr>
      </w:pPr>
      <w:r w:rsidRPr="00FA0162">
        <w:rPr>
          <w:rFonts w:ascii="Times New Roman" w:eastAsia="Times New Roman" w:hAnsi="Times New Roman" w:cs="Times New Roman"/>
          <w:color w:val="000000"/>
          <w:highlight w:val="yellow"/>
        </w:rPr>
        <w:t>________________________</w:t>
      </w:r>
    </w:p>
    <w:p w14:paraId="4740BD65" w14:textId="58DA5F98" w:rsidR="00BD1E42" w:rsidRPr="00FA0162" w:rsidRDefault="00BD1E42" w:rsidP="00BD1E42">
      <w:pPr>
        <w:spacing w:after="0" w:line="259" w:lineRule="auto"/>
        <w:jc w:val="both"/>
        <w:rPr>
          <w:rFonts w:ascii="Times New Roman" w:eastAsia="Times New Roman" w:hAnsi="Times New Roman" w:cs="Times New Roman"/>
          <w:color w:val="000000"/>
        </w:rPr>
      </w:pPr>
    </w:p>
    <w:p w14:paraId="101184D4" w14:textId="11350BA6" w:rsidR="00B868FA" w:rsidRPr="00FA0162" w:rsidRDefault="00BD1E42" w:rsidP="00BD1E42">
      <w:pPr>
        <w:spacing w:after="0" w:line="259" w:lineRule="auto"/>
        <w:jc w:val="both"/>
        <w:rPr>
          <w:rFonts w:ascii="Times New Roman" w:eastAsia="Times New Roman" w:hAnsi="Times New Roman" w:cs="Times New Roman"/>
          <w:color w:val="000000"/>
        </w:rPr>
      </w:pPr>
      <w:bookmarkStart w:id="14" w:name="_Hlk125490043"/>
      <w:r w:rsidRPr="00FA0162">
        <w:rPr>
          <w:rFonts w:ascii="Times New Roman" w:eastAsia="Times New Roman" w:hAnsi="Times New Roman" w:cs="Times New Roman"/>
          <w:color w:val="000000"/>
        </w:rPr>
        <w:t>Sąd Okręgowy</w:t>
      </w:r>
      <w:bookmarkEnd w:id="14"/>
      <w:r w:rsidR="00FF0D33" w:rsidRPr="00FA0162">
        <w:rPr>
          <w:rFonts w:ascii="Times New Roman" w:eastAsia="Times New Roman" w:hAnsi="Times New Roman" w:cs="Times New Roman"/>
          <w:color w:val="000000"/>
        </w:rPr>
        <w:t xml:space="preserve"> </w:t>
      </w:r>
      <w:r w:rsidRPr="00FA0162">
        <w:rPr>
          <w:rFonts w:ascii="Times New Roman" w:eastAsia="Times New Roman" w:hAnsi="Times New Roman" w:cs="Times New Roman"/>
          <w:color w:val="000000"/>
        </w:rPr>
        <w:t xml:space="preserve">rozpoznając żądanie zwrotu spełnionego przez Powoda świadczenia w wykonaniu Umowy </w:t>
      </w:r>
      <w:r w:rsidR="00B868FA" w:rsidRPr="00FA0162">
        <w:rPr>
          <w:rFonts w:ascii="Times New Roman" w:eastAsia="Times New Roman" w:hAnsi="Times New Roman" w:cs="Times New Roman"/>
          <w:color w:val="000000"/>
        </w:rPr>
        <w:t>powinien był ocenić</w:t>
      </w:r>
      <w:r w:rsidR="00A36829" w:rsidRPr="00FA0162">
        <w:rPr>
          <w:rFonts w:ascii="Times New Roman" w:eastAsia="Times New Roman" w:hAnsi="Times New Roman" w:cs="Times New Roman"/>
          <w:color w:val="000000"/>
        </w:rPr>
        <w:t xml:space="preserve"> czy wskazane w pozwie fakty uzasadniają </w:t>
      </w:r>
      <w:r w:rsidR="00F10A4C" w:rsidRPr="00FA0162">
        <w:rPr>
          <w:rFonts w:ascii="Times New Roman" w:eastAsia="Times New Roman" w:hAnsi="Times New Roman" w:cs="Times New Roman"/>
          <w:color w:val="000000"/>
        </w:rPr>
        <w:t>żądanie pozwu – w myśl fundamentalnej zasady procesu cywilnego „</w:t>
      </w:r>
      <w:r w:rsidR="004663BE" w:rsidRPr="00FA0162">
        <w:rPr>
          <w:rFonts w:ascii="Times New Roman" w:eastAsia="Times New Roman" w:hAnsi="Times New Roman" w:cs="Times New Roman"/>
          <w:color w:val="000000"/>
        </w:rPr>
        <w:t>powód określa podstawę faktyczną, sąd podstawę prawną”.</w:t>
      </w:r>
      <w:r w:rsidR="00D251DD" w:rsidRPr="00FA0162">
        <w:rPr>
          <w:rFonts w:ascii="Times New Roman" w:eastAsia="Times New Roman" w:hAnsi="Times New Roman" w:cs="Times New Roman"/>
          <w:color w:val="000000"/>
        </w:rPr>
        <w:t xml:space="preserve"> W niniejszej sprawie d</w:t>
      </w:r>
      <w:r w:rsidR="004663BE" w:rsidRPr="00FA0162">
        <w:rPr>
          <w:rFonts w:ascii="Times New Roman" w:eastAsia="Times New Roman" w:hAnsi="Times New Roman" w:cs="Times New Roman"/>
          <w:color w:val="000000"/>
        </w:rPr>
        <w:t xml:space="preserve">okonując oceny prawnej wskazanej w pozwie podstawy </w:t>
      </w:r>
      <w:r w:rsidR="00053ADB" w:rsidRPr="00FA0162">
        <w:rPr>
          <w:rFonts w:ascii="Times New Roman" w:eastAsia="Times New Roman" w:hAnsi="Times New Roman" w:cs="Times New Roman"/>
          <w:color w:val="000000"/>
        </w:rPr>
        <w:t>faktycznej</w:t>
      </w:r>
      <w:r w:rsidR="004663BE" w:rsidRPr="00FA0162">
        <w:rPr>
          <w:rFonts w:ascii="Times New Roman" w:eastAsia="Times New Roman" w:hAnsi="Times New Roman" w:cs="Times New Roman"/>
          <w:color w:val="000000"/>
        </w:rPr>
        <w:t xml:space="preserve"> Sąd Okręgowy </w:t>
      </w:r>
      <w:r w:rsidR="00053ADB" w:rsidRPr="00FA0162">
        <w:rPr>
          <w:rFonts w:ascii="Times New Roman" w:eastAsia="Times New Roman" w:hAnsi="Times New Roman" w:cs="Times New Roman"/>
          <w:color w:val="000000"/>
        </w:rPr>
        <w:t>powinien</w:t>
      </w:r>
      <w:r w:rsidR="004663BE" w:rsidRPr="00FA0162">
        <w:rPr>
          <w:rFonts w:ascii="Times New Roman" w:eastAsia="Times New Roman" w:hAnsi="Times New Roman" w:cs="Times New Roman"/>
          <w:color w:val="000000"/>
        </w:rPr>
        <w:t xml:space="preserve"> ocenić, </w:t>
      </w:r>
      <w:r w:rsidR="00B868FA" w:rsidRPr="00FA0162">
        <w:rPr>
          <w:rFonts w:ascii="Times New Roman" w:eastAsia="Times New Roman" w:hAnsi="Times New Roman" w:cs="Times New Roman"/>
          <w:color w:val="000000"/>
        </w:rPr>
        <w:t>czy spełniona została którakolwiek z kondykcji uzasadniająca zwrot tego świadczenia. Sąd Okręgowy</w:t>
      </w:r>
      <w:r w:rsidR="00E4459D" w:rsidRPr="00FA0162">
        <w:rPr>
          <w:rFonts w:ascii="Times New Roman" w:eastAsia="Times New Roman" w:hAnsi="Times New Roman" w:cs="Times New Roman"/>
          <w:color w:val="000000"/>
        </w:rPr>
        <w:t xml:space="preserve"> </w:t>
      </w:r>
      <w:r w:rsidR="00B868FA" w:rsidRPr="00FA0162">
        <w:rPr>
          <w:rFonts w:ascii="Times New Roman" w:eastAsia="Times New Roman" w:hAnsi="Times New Roman" w:cs="Times New Roman"/>
          <w:color w:val="000000"/>
        </w:rPr>
        <w:t xml:space="preserve">powinien był w </w:t>
      </w:r>
      <w:r w:rsidR="00053ADB" w:rsidRPr="00FA0162">
        <w:rPr>
          <w:rFonts w:ascii="Times New Roman" w:eastAsia="Times New Roman" w:hAnsi="Times New Roman" w:cs="Times New Roman"/>
          <w:color w:val="000000"/>
        </w:rPr>
        <w:t>szczególności</w:t>
      </w:r>
      <w:r w:rsidR="00B868FA" w:rsidRPr="00FA0162">
        <w:rPr>
          <w:rFonts w:ascii="Times New Roman" w:eastAsia="Times New Roman" w:hAnsi="Times New Roman" w:cs="Times New Roman"/>
          <w:color w:val="000000"/>
        </w:rPr>
        <w:t xml:space="preserve"> wszechstronnie zbadać, czy nie odpadła podstawa tego świadczenia </w:t>
      </w:r>
      <w:r w:rsidR="00DC30A7" w:rsidRPr="00FA0162">
        <w:rPr>
          <w:rFonts w:ascii="Times New Roman" w:eastAsia="Times New Roman" w:hAnsi="Times New Roman" w:cs="Times New Roman"/>
          <w:color w:val="000000"/>
        </w:rPr>
        <w:t>(</w:t>
      </w:r>
      <w:bookmarkStart w:id="15" w:name="_Hlk125487522"/>
      <w:r w:rsidR="00DC30A7" w:rsidRPr="00FA0162">
        <w:rPr>
          <w:rFonts w:ascii="Times New Roman" w:eastAsia="Times New Roman" w:hAnsi="Times New Roman" w:cs="Times New Roman"/>
          <w:i/>
          <w:iCs/>
          <w:color w:val="000000"/>
        </w:rPr>
        <w:t>condictio causa finita</w:t>
      </w:r>
      <w:bookmarkEnd w:id="15"/>
      <w:r w:rsidR="00DC30A7" w:rsidRPr="00FA0162">
        <w:rPr>
          <w:rFonts w:ascii="Times New Roman" w:eastAsia="Times New Roman" w:hAnsi="Times New Roman" w:cs="Times New Roman"/>
          <w:color w:val="000000"/>
        </w:rPr>
        <w:t xml:space="preserve">) lub czy też </w:t>
      </w:r>
      <w:r w:rsidR="00AF47FC" w:rsidRPr="00FA0162">
        <w:rPr>
          <w:rFonts w:ascii="Times New Roman" w:eastAsia="Times New Roman" w:hAnsi="Times New Roman" w:cs="Times New Roman"/>
          <w:color w:val="000000"/>
        </w:rPr>
        <w:t>czynność prawna zobowiązująca do świadczenia była nieważna i nie stała się ważna po spełnieniu świadczenia (</w:t>
      </w:r>
      <w:r w:rsidR="00AF47FC" w:rsidRPr="00FA0162">
        <w:rPr>
          <w:rFonts w:ascii="Times New Roman" w:eastAsia="Times New Roman" w:hAnsi="Times New Roman" w:cs="Times New Roman"/>
          <w:i/>
          <w:iCs/>
          <w:color w:val="000000"/>
        </w:rPr>
        <w:t>condictio sine causa</w:t>
      </w:r>
      <w:r w:rsidR="00AF47FC" w:rsidRPr="00FA0162">
        <w:rPr>
          <w:rFonts w:ascii="Times New Roman" w:eastAsia="Times New Roman" w:hAnsi="Times New Roman" w:cs="Times New Roman"/>
          <w:color w:val="000000"/>
        </w:rPr>
        <w:t xml:space="preserve">). </w:t>
      </w:r>
    </w:p>
    <w:p w14:paraId="1E207A5E" w14:textId="77777777" w:rsidR="00B868FA" w:rsidRPr="00FA0162" w:rsidRDefault="00B868FA" w:rsidP="00BD1E42">
      <w:pPr>
        <w:spacing w:after="0" w:line="259" w:lineRule="auto"/>
        <w:jc w:val="both"/>
        <w:rPr>
          <w:rFonts w:ascii="Times New Roman" w:eastAsia="Times New Roman" w:hAnsi="Times New Roman" w:cs="Times New Roman"/>
          <w:color w:val="000000"/>
        </w:rPr>
      </w:pPr>
    </w:p>
    <w:p w14:paraId="71FB7211" w14:textId="6BD680D2" w:rsidR="00437D8E" w:rsidRPr="00FA0162" w:rsidRDefault="00AF47FC" w:rsidP="00437D8E">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highlight w:val="yellow"/>
        </w:rPr>
        <w:t>Tymczasem Sąd Okręgowy</w:t>
      </w:r>
      <w:r w:rsidR="00E4459D" w:rsidRPr="00FA0162">
        <w:rPr>
          <w:rFonts w:ascii="Times New Roman" w:eastAsia="Times New Roman" w:hAnsi="Times New Roman" w:cs="Times New Roman"/>
          <w:color w:val="000000"/>
          <w:highlight w:val="yellow"/>
        </w:rPr>
        <w:t xml:space="preserve"> </w:t>
      </w:r>
      <w:r w:rsidR="00816E4D" w:rsidRPr="00FA0162">
        <w:rPr>
          <w:rFonts w:ascii="Times New Roman" w:eastAsia="Times New Roman" w:hAnsi="Times New Roman" w:cs="Times New Roman"/>
          <w:color w:val="000000"/>
          <w:highlight w:val="yellow"/>
        </w:rPr>
        <w:t xml:space="preserve">analizując wyroki </w:t>
      </w:r>
      <w:r w:rsidR="001D4BF9" w:rsidRPr="00FA0162">
        <w:rPr>
          <w:rFonts w:ascii="Times New Roman" w:eastAsia="Times New Roman" w:hAnsi="Times New Roman" w:cs="Times New Roman"/>
          <w:color w:val="000000"/>
          <w:highlight w:val="yellow"/>
        </w:rPr>
        <w:t xml:space="preserve">w sprawie z powództwa Kredytobiorców doszedł do błędnego, niemającego pokrycia w uzasadnieniu w.w. wyroków </w:t>
      </w:r>
      <w:r w:rsidR="0033523F" w:rsidRPr="00FA0162">
        <w:rPr>
          <w:rFonts w:ascii="Times New Roman" w:eastAsia="Times New Roman" w:hAnsi="Times New Roman" w:cs="Times New Roman"/>
          <w:color w:val="000000"/>
          <w:highlight w:val="yellow"/>
        </w:rPr>
        <w:t xml:space="preserve">przekonania, że </w:t>
      </w:r>
      <w:r w:rsidR="00F13B32" w:rsidRPr="00FA0162">
        <w:rPr>
          <w:rFonts w:ascii="Times New Roman" w:eastAsia="Times New Roman" w:hAnsi="Times New Roman" w:cs="Times New Roman"/>
          <w:i/>
          <w:iCs/>
          <w:color w:val="000000"/>
          <w:highlight w:val="yellow"/>
        </w:rPr>
        <w:t xml:space="preserve">prawomocnym wyrokiem z dnia 22 stycznia 2020 r. w sprawie o sygn. akt II C 2402/18 Sąd Rejonowy uwzględnił częściowo powództwo pozwanych dotyczące usunięcia klauzul abuzywnych z umowy. </w:t>
      </w:r>
      <w:r w:rsidR="00F13B32" w:rsidRPr="00FA0162">
        <w:rPr>
          <w:rFonts w:ascii="Times New Roman" w:eastAsia="Times New Roman" w:hAnsi="Times New Roman" w:cs="Times New Roman"/>
          <w:i/>
          <w:iCs/>
          <w:color w:val="000000"/>
          <w:highlight w:val="yellow"/>
          <w:u w:val="single"/>
        </w:rPr>
        <w:t>Sąd Rejonowy stwierdził, że umowa jest ważna, ale powinna być wykonywania bez abuzywnej indeksacji</w:t>
      </w:r>
      <w:r w:rsidR="00F13B32" w:rsidRPr="00FA0162">
        <w:rPr>
          <w:rFonts w:ascii="Times New Roman" w:eastAsia="Times New Roman" w:hAnsi="Times New Roman" w:cs="Times New Roman"/>
          <w:i/>
          <w:iCs/>
          <w:color w:val="000000"/>
          <w:highlight w:val="yellow"/>
        </w:rPr>
        <w:t>. Stanowisko to podtrzymał Sąd Okręgowy w Warszawie XXVII w sprawie o sygn. akt XXVII Ca 1557/20 w wyroku z dnia 16 lutego 2023 roku.</w:t>
      </w:r>
      <w:r w:rsidR="00DF5EAB" w:rsidRPr="00FA0162">
        <w:rPr>
          <w:rFonts w:ascii="Times New Roman" w:eastAsia="Times New Roman" w:hAnsi="Times New Roman" w:cs="Times New Roman"/>
          <w:i/>
          <w:iCs/>
          <w:color w:val="000000"/>
          <w:highlight w:val="yellow"/>
        </w:rPr>
        <w:t xml:space="preserve"> </w:t>
      </w:r>
      <w:r w:rsidR="00DF5EAB" w:rsidRPr="00FA0162">
        <w:rPr>
          <w:rFonts w:ascii="Times New Roman" w:eastAsia="Times New Roman" w:hAnsi="Times New Roman" w:cs="Times New Roman"/>
          <w:color w:val="000000"/>
          <w:highlight w:val="yellow"/>
        </w:rPr>
        <w:t xml:space="preserve">Kiedy to </w:t>
      </w:r>
      <w:r w:rsidR="008055CD" w:rsidRPr="00FA0162">
        <w:rPr>
          <w:rFonts w:ascii="Times New Roman" w:eastAsia="Times New Roman" w:hAnsi="Times New Roman" w:cs="Times New Roman"/>
          <w:color w:val="000000"/>
          <w:highlight w:val="yellow"/>
        </w:rPr>
        <w:t>Sąd I instancji w sprawie z powództwa Kredytobiorców w uzasadnieniu wyroku z dnia 22 stycznia 2020 roku</w:t>
      </w:r>
      <w:r w:rsidR="00003D02" w:rsidRPr="00FA0162">
        <w:rPr>
          <w:rFonts w:ascii="Times New Roman" w:eastAsia="Times New Roman" w:hAnsi="Times New Roman" w:cs="Times New Roman"/>
          <w:color w:val="000000"/>
          <w:highlight w:val="yellow"/>
        </w:rPr>
        <w:t xml:space="preserve">, sygn. II C 2402/18 </w:t>
      </w:r>
      <w:r w:rsidR="008055CD" w:rsidRPr="00FA0162">
        <w:rPr>
          <w:rFonts w:ascii="Times New Roman" w:eastAsia="Times New Roman" w:hAnsi="Times New Roman" w:cs="Times New Roman"/>
          <w:color w:val="000000"/>
          <w:highlight w:val="yellow"/>
        </w:rPr>
        <w:t xml:space="preserve">wyraźnie orzeka o nieważności umowy </w:t>
      </w:r>
      <w:r w:rsidR="008055CD" w:rsidRPr="00FA0162">
        <w:rPr>
          <w:rFonts w:ascii="Times New Roman" w:eastAsia="Times New Roman" w:hAnsi="Times New Roman" w:cs="Times New Roman"/>
          <w:i/>
          <w:iCs/>
          <w:color w:val="000000"/>
          <w:highlight w:val="yellow"/>
        </w:rPr>
        <w:t>„</w:t>
      </w:r>
      <w:r w:rsidR="00E96115" w:rsidRPr="00FA0162">
        <w:rPr>
          <w:rFonts w:ascii="Times New Roman" w:eastAsia="Times New Roman" w:hAnsi="Times New Roman" w:cs="Times New Roman"/>
          <w:i/>
          <w:iCs/>
          <w:color w:val="000000"/>
          <w:highlight w:val="yellow"/>
        </w:rPr>
        <w:t xml:space="preserve">Jak wyżej wskazano, dalsze </w:t>
      </w:r>
      <w:r w:rsidR="00E96115" w:rsidRPr="00FA0162">
        <w:rPr>
          <w:rFonts w:ascii="Times New Roman" w:eastAsia="Times New Roman" w:hAnsi="Times New Roman" w:cs="Times New Roman"/>
          <w:b/>
          <w:bCs/>
          <w:i/>
          <w:iCs/>
          <w:color w:val="000000"/>
          <w:highlight w:val="yellow"/>
        </w:rPr>
        <w:t xml:space="preserve">trwanie zawartej przez strony umowy po usunięciu klauzuli </w:t>
      </w:r>
      <w:r w:rsidR="00E96115" w:rsidRPr="00FA0162">
        <w:rPr>
          <w:rFonts w:ascii="Times New Roman" w:eastAsia="Times New Roman" w:hAnsi="Times New Roman" w:cs="Times New Roman"/>
          <w:b/>
          <w:bCs/>
          <w:i/>
          <w:iCs/>
          <w:color w:val="000000"/>
          <w:highlight w:val="yellow"/>
        </w:rPr>
        <w:lastRenderedPageBreak/>
        <w:t>abuzywnej nie jest obiektywnie możliwe</w:t>
      </w:r>
      <w:r w:rsidR="00E96115" w:rsidRPr="00FA0162">
        <w:rPr>
          <w:rFonts w:ascii="Times New Roman" w:eastAsia="Times New Roman" w:hAnsi="Times New Roman" w:cs="Times New Roman"/>
          <w:i/>
          <w:iCs/>
          <w:color w:val="000000"/>
          <w:highlight w:val="yellow"/>
        </w:rPr>
        <w:t>, gdyż byłaby to zupełnie inna umowa, dla zaistnienia której konieczna byłaby konwersja nieważnej czynności prawnej, która nie została uregulowana przez polskiego ustawodawcę. Z powyższych względów zasadne jest roszczenie powodów z tytułu świadczenia nienależnego ze względu na spełnienie świadczenia bez podstawy prawnej w wykonaniu nieważnej czynności prawnej.”</w:t>
      </w:r>
      <w:r w:rsidR="00E96115" w:rsidRPr="00FA0162">
        <w:rPr>
          <w:rFonts w:ascii="Times New Roman" w:eastAsia="Times New Roman" w:hAnsi="Times New Roman" w:cs="Times New Roman"/>
          <w:color w:val="000000"/>
          <w:highlight w:val="yellow"/>
        </w:rPr>
        <w:t xml:space="preserve"> </w:t>
      </w:r>
      <w:r w:rsidR="00B20906" w:rsidRPr="00FA0162">
        <w:rPr>
          <w:rFonts w:ascii="Times New Roman" w:eastAsia="Times New Roman" w:hAnsi="Times New Roman" w:cs="Times New Roman"/>
          <w:color w:val="000000"/>
          <w:highlight w:val="yellow"/>
        </w:rPr>
        <w:t xml:space="preserve">Stanowisko to podtrzymał również Sąd II instancji w sprawie z powództwa Kredytobiorców </w:t>
      </w:r>
      <w:r w:rsidR="00003D02" w:rsidRPr="00FA0162">
        <w:rPr>
          <w:rFonts w:ascii="Times New Roman" w:eastAsia="Times New Roman" w:hAnsi="Times New Roman" w:cs="Times New Roman"/>
          <w:color w:val="000000"/>
          <w:highlight w:val="yellow"/>
        </w:rPr>
        <w:t xml:space="preserve">w wyroku z dnia 16 lutego 2023 r., sygn. XXVII Ca 1557/20 stwierdzając, iż  </w:t>
      </w:r>
      <w:r w:rsidR="00CA180F" w:rsidRPr="00FA0162">
        <w:rPr>
          <w:rFonts w:ascii="Times New Roman" w:eastAsia="Times New Roman" w:hAnsi="Times New Roman" w:cs="Times New Roman"/>
          <w:i/>
          <w:iCs/>
          <w:color w:val="000000"/>
          <w:highlight w:val="yellow"/>
        </w:rPr>
        <w:t xml:space="preserve">„Stwierdzenie nieważności umowy odnosi swój skutek ex tunc, a więc od początku jej kwestionowanego istnienia. W związku z powyższym wszelkie świadczenia, jakie strony </w:t>
      </w:r>
      <w:r w:rsidR="00CA180F" w:rsidRPr="00FA0162">
        <w:rPr>
          <w:rFonts w:ascii="Times New Roman" w:eastAsia="Times New Roman" w:hAnsi="Times New Roman" w:cs="Times New Roman"/>
          <w:b/>
          <w:bCs/>
          <w:i/>
          <w:iCs/>
          <w:color w:val="000000"/>
          <w:highlight w:val="yellow"/>
        </w:rPr>
        <w:t>nieważnej umowy</w:t>
      </w:r>
      <w:r w:rsidR="00CA180F" w:rsidRPr="00FA0162">
        <w:rPr>
          <w:rFonts w:ascii="Times New Roman" w:eastAsia="Times New Roman" w:hAnsi="Times New Roman" w:cs="Times New Roman"/>
          <w:i/>
          <w:iCs/>
          <w:color w:val="000000"/>
          <w:highlight w:val="yellow"/>
        </w:rPr>
        <w:t xml:space="preserve"> realizowały wobec siebie, w celu wykonania owej umowy, podlegają zwrotowi na postawie przepisów o świadczeniach nienależnych (art. 410 w zw. z art. 405 k.c.).”</w:t>
      </w:r>
      <w:r w:rsidR="00CA180F" w:rsidRPr="00FA0162">
        <w:rPr>
          <w:rFonts w:ascii="Times New Roman" w:eastAsia="Times New Roman" w:hAnsi="Times New Roman" w:cs="Times New Roman"/>
          <w:color w:val="000000"/>
          <w:highlight w:val="yellow"/>
        </w:rPr>
        <w:t xml:space="preserve"> </w:t>
      </w:r>
      <w:r w:rsidR="00C66452" w:rsidRPr="00FA0162">
        <w:rPr>
          <w:rFonts w:ascii="Times New Roman" w:eastAsia="Times New Roman" w:hAnsi="Times New Roman" w:cs="Times New Roman"/>
          <w:color w:val="000000"/>
          <w:highlight w:val="yellow"/>
        </w:rPr>
        <w:t xml:space="preserve"> oraz „</w:t>
      </w:r>
      <w:r w:rsidR="00C66452" w:rsidRPr="00FA0162">
        <w:rPr>
          <w:rFonts w:ascii="Times New Roman" w:eastAsia="Times New Roman" w:hAnsi="Times New Roman" w:cs="Times New Roman"/>
          <w:i/>
          <w:iCs/>
          <w:color w:val="000000"/>
          <w:highlight w:val="yellow"/>
        </w:rPr>
        <w:t xml:space="preserve">Wysokość całości dochodzonych przez powodów świadczeń mieści się zdaniem Sądu Okręgowego w zakresie roszczenia, jakiego powodowie mogli skutecznie dochodzić od pozwanego banku – tytułem zwrotu świadczeń nienależnych, spełnionych na podstawie umowy, która – z uwagi na eliminację postanowień abuzywnych w niej zawartych – </w:t>
      </w:r>
      <w:r w:rsidR="00C66452" w:rsidRPr="00FA0162">
        <w:rPr>
          <w:rFonts w:ascii="Times New Roman" w:eastAsia="Times New Roman" w:hAnsi="Times New Roman" w:cs="Times New Roman"/>
          <w:b/>
          <w:bCs/>
          <w:i/>
          <w:iCs/>
          <w:color w:val="000000"/>
          <w:highlight w:val="yellow"/>
        </w:rPr>
        <w:t>winna upaść w całości</w:t>
      </w:r>
      <w:r w:rsidR="00C66452" w:rsidRPr="00FA0162">
        <w:rPr>
          <w:rFonts w:ascii="Times New Roman" w:eastAsia="Times New Roman" w:hAnsi="Times New Roman" w:cs="Times New Roman"/>
          <w:i/>
          <w:iCs/>
          <w:color w:val="000000"/>
          <w:highlight w:val="yellow"/>
        </w:rPr>
        <w:t>.”</w:t>
      </w:r>
      <w:r w:rsidR="00C66452" w:rsidRPr="00FA0162">
        <w:rPr>
          <w:rFonts w:ascii="Times New Roman" w:eastAsia="Times New Roman" w:hAnsi="Times New Roman" w:cs="Times New Roman"/>
          <w:color w:val="000000"/>
        </w:rPr>
        <w:t xml:space="preserve"> </w:t>
      </w:r>
    </w:p>
    <w:p w14:paraId="6D3CA320" w14:textId="77777777" w:rsidR="00437D8E" w:rsidRPr="00FA0162" w:rsidRDefault="00437D8E" w:rsidP="00437D8E">
      <w:pPr>
        <w:spacing w:after="0" w:line="259" w:lineRule="auto"/>
        <w:jc w:val="both"/>
        <w:rPr>
          <w:rFonts w:ascii="Times New Roman" w:eastAsia="Times New Roman" w:hAnsi="Times New Roman" w:cs="Times New Roman"/>
          <w:color w:val="000000"/>
        </w:rPr>
      </w:pPr>
    </w:p>
    <w:p w14:paraId="2C6B7EE3" w14:textId="77777777" w:rsidR="00D767A2" w:rsidRPr="00FA0162" w:rsidRDefault="00D767A2" w:rsidP="00D767A2">
      <w:pPr>
        <w:spacing w:after="0"/>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Powyższe potwierdza najnowsze orzecznictwo SN w sprawach „frankowych”.</w:t>
      </w:r>
    </w:p>
    <w:p w14:paraId="32EFA44E" w14:textId="77777777" w:rsidR="00D767A2" w:rsidRPr="00FA0162" w:rsidRDefault="00D767A2" w:rsidP="00D767A2">
      <w:pPr>
        <w:spacing w:after="0"/>
        <w:jc w:val="both"/>
        <w:rPr>
          <w:rFonts w:ascii="Times New Roman" w:eastAsia="Times New Roman" w:hAnsi="Times New Roman" w:cs="Times New Roman"/>
          <w:color w:val="000000"/>
        </w:rPr>
      </w:pPr>
    </w:p>
    <w:p w14:paraId="2E7F1602" w14:textId="77777777" w:rsidR="00D767A2" w:rsidRPr="00FA0162" w:rsidRDefault="00D767A2" w:rsidP="00D767A2">
      <w:pPr>
        <w:spacing w:after="0"/>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W cytowanym już wyżej </w:t>
      </w:r>
      <w:r w:rsidRPr="00FA0162">
        <w:rPr>
          <w:rFonts w:ascii="Times New Roman" w:eastAsia="Times New Roman" w:hAnsi="Times New Roman" w:cs="Times New Roman"/>
          <w:b/>
          <w:bCs/>
          <w:color w:val="000000"/>
        </w:rPr>
        <w:t>orzeczeniu SN z dnia 14 lutego 2024 r. (III CZ 304/23)</w:t>
      </w:r>
      <w:r w:rsidRPr="00FA0162">
        <w:rPr>
          <w:rFonts w:ascii="Times New Roman" w:eastAsia="Times New Roman" w:hAnsi="Times New Roman" w:cs="Times New Roman"/>
          <w:color w:val="000000"/>
        </w:rPr>
        <w:t xml:space="preserve"> przedmiotem analizy SN był wyrok sądu pierwszej instancji oddalił powództwo, ponieważ powodowy bank był niekonsekwentny: dochodzi roszczenia opartego na założeniu nieważności umowy i jednocześnie twierdzi, że umowa kredytu jest ważna. SN uznał, że:</w:t>
      </w:r>
    </w:p>
    <w:p w14:paraId="5C7C241D" w14:textId="77777777" w:rsidR="00D767A2" w:rsidRPr="00FA0162" w:rsidRDefault="00D767A2" w:rsidP="00D767A2">
      <w:pPr>
        <w:spacing w:after="0"/>
        <w:jc w:val="both"/>
        <w:rPr>
          <w:rFonts w:ascii="Times New Roman" w:eastAsia="Times New Roman" w:hAnsi="Times New Roman" w:cs="Times New Roman"/>
          <w:color w:val="000000"/>
        </w:rPr>
      </w:pPr>
    </w:p>
    <w:p w14:paraId="21826120" w14:textId="77777777" w:rsidR="00D767A2" w:rsidRPr="00FA0162" w:rsidRDefault="00D767A2" w:rsidP="00D767A2">
      <w:pPr>
        <w:spacing w:after="0"/>
        <w:jc w:val="both"/>
        <w:rPr>
          <w:rFonts w:ascii="Times New Roman" w:eastAsia="Times New Roman" w:hAnsi="Times New Roman" w:cs="Times New Roman"/>
          <w:b/>
          <w:bCs/>
          <w:color w:val="000000"/>
          <w:u w:val="single"/>
        </w:rPr>
      </w:pPr>
      <w:r w:rsidRPr="00FA0162">
        <w:rPr>
          <w:rFonts w:ascii="Times New Roman" w:eastAsia="Times New Roman" w:hAnsi="Times New Roman" w:cs="Times New Roman"/>
          <w:b/>
          <w:bCs/>
          <w:color w:val="000000"/>
          <w:u w:val="single"/>
        </w:rPr>
        <w:t>„Przy takim uzasadnieniu oddalenia powództwa Sąd Okręgowy nie rozpoznał istoty sprawy. Jeżeli zasadność żądania pozwu zależy od ważności umowy, obowiązkiem sądu jest ocena ważności umowy, niezależnie od stanowiska zajmowanego w tej kwestii przez powoda i czy powód w ogóle ma jakiś pogląd na tę kwestię. Naruszeniem art. 321 KPC byłoby zasądzenie na rzecz powodowego banku zwrotu wypłaconego kredytu w rozmiarze większym od żądanego lub nawet w mniejszym rozmiarze, ale innego świadczenia niż wypłacony kredyt (np. tytułem nieżądanego przez bank w tej sprawie odszkodowania). Odmienna od powoda ocena ważności umowy nie narusza art. 321 KPC i obowiązkiem Sądu pierwszej instancji było dokonanie tej oceny zgodnie z prawem materialnym, nawet jeżeli ocena ta negatywnie może wpłynąć dla powoda na wynik innych procesów między stronami.”</w:t>
      </w:r>
    </w:p>
    <w:p w14:paraId="07C8EBB9" w14:textId="77777777" w:rsidR="00D767A2" w:rsidRPr="00FA0162" w:rsidRDefault="00D767A2" w:rsidP="00437D8E">
      <w:pPr>
        <w:spacing w:after="0" w:line="259" w:lineRule="auto"/>
        <w:jc w:val="both"/>
        <w:rPr>
          <w:rFonts w:ascii="Times New Roman" w:eastAsia="Times New Roman" w:hAnsi="Times New Roman" w:cs="Times New Roman"/>
          <w:color w:val="000000"/>
        </w:rPr>
      </w:pPr>
    </w:p>
    <w:p w14:paraId="357D6CAF" w14:textId="508F4DD7" w:rsidR="002A2051" w:rsidRPr="00FA0162" w:rsidRDefault="009F358F" w:rsidP="00BD1E42">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b/>
          <w:bCs/>
          <w:color w:val="000000"/>
        </w:rPr>
        <w:t>Niezasadne jest zatem stanowisko Sądu</w:t>
      </w:r>
      <w:r w:rsidR="00D953D4" w:rsidRPr="00FA0162">
        <w:rPr>
          <w:rFonts w:ascii="Times New Roman" w:eastAsia="Times New Roman" w:hAnsi="Times New Roman" w:cs="Times New Roman"/>
          <w:b/>
          <w:bCs/>
          <w:color w:val="000000"/>
        </w:rPr>
        <w:t xml:space="preserve"> Okręgowego </w:t>
      </w:r>
      <w:r w:rsidRPr="00FA0162">
        <w:rPr>
          <w:rFonts w:ascii="Times New Roman" w:eastAsia="Times New Roman" w:hAnsi="Times New Roman" w:cs="Times New Roman"/>
          <w:b/>
          <w:bCs/>
          <w:color w:val="000000"/>
        </w:rPr>
        <w:t xml:space="preserve">będące podstawą oddalenia powództwa, </w:t>
      </w:r>
      <w:r w:rsidR="00437D8E" w:rsidRPr="00FA0162">
        <w:rPr>
          <w:rFonts w:ascii="Times New Roman" w:eastAsia="Times New Roman" w:hAnsi="Times New Roman" w:cs="Times New Roman"/>
          <w:b/>
          <w:bCs/>
          <w:color w:val="000000"/>
        </w:rPr>
        <w:t>iż brak podstaw do wywiedzenia przez powoda powództwa o zapłatę ze względu na nieważności umowy pożyczki, bowiem umowa nadal obowiązuje.</w:t>
      </w:r>
      <w:r w:rsidR="005468DA" w:rsidRPr="00FA0162">
        <w:rPr>
          <w:rFonts w:ascii="Times New Roman" w:eastAsia="Times New Roman" w:hAnsi="Times New Roman" w:cs="Times New Roman"/>
          <w:b/>
          <w:bCs/>
          <w:color w:val="000000"/>
        </w:rPr>
        <w:t xml:space="preserve"> Umowa jak wyżej wskazano została prawomocnie unieważniona</w:t>
      </w:r>
      <w:r w:rsidR="00537A3C" w:rsidRPr="00FA0162">
        <w:rPr>
          <w:rFonts w:ascii="Times New Roman" w:eastAsia="Times New Roman" w:hAnsi="Times New Roman" w:cs="Times New Roman"/>
          <w:b/>
          <w:bCs/>
          <w:color w:val="000000"/>
        </w:rPr>
        <w:t xml:space="preserve"> wobec czego roszczenie Banku o zwrot wypłaconego kapitału jest w pełni zasadne</w:t>
      </w:r>
      <w:r w:rsidR="005468DA" w:rsidRPr="00FA0162">
        <w:rPr>
          <w:rFonts w:ascii="Times New Roman" w:eastAsia="Times New Roman" w:hAnsi="Times New Roman" w:cs="Times New Roman"/>
          <w:b/>
          <w:bCs/>
          <w:color w:val="000000"/>
        </w:rPr>
        <w:t>.</w:t>
      </w:r>
      <w:r w:rsidR="00537A3C" w:rsidRPr="00FA0162">
        <w:rPr>
          <w:rFonts w:ascii="Times New Roman" w:eastAsia="Times New Roman" w:hAnsi="Times New Roman" w:cs="Times New Roman"/>
          <w:b/>
          <w:bCs/>
          <w:color w:val="000000"/>
        </w:rPr>
        <w:t xml:space="preserve"> </w:t>
      </w:r>
      <w:r w:rsidRPr="00FA0162">
        <w:rPr>
          <w:rFonts w:ascii="Times New Roman" w:eastAsia="Times New Roman" w:hAnsi="Times New Roman" w:cs="Times New Roman"/>
          <w:color w:val="000000"/>
        </w:rPr>
        <w:t>Ponad powyższe</w:t>
      </w:r>
      <w:r w:rsidR="00537A3C" w:rsidRPr="00FA0162">
        <w:rPr>
          <w:rFonts w:ascii="Times New Roman" w:eastAsia="Times New Roman" w:hAnsi="Times New Roman" w:cs="Times New Roman"/>
          <w:color w:val="000000"/>
        </w:rPr>
        <w:t xml:space="preserve"> abstrahując od wydanych w sprawie wyroków </w:t>
      </w:r>
      <w:r w:rsidR="00A42836" w:rsidRPr="00FA0162">
        <w:rPr>
          <w:rFonts w:ascii="Times New Roman" w:eastAsia="Times New Roman" w:hAnsi="Times New Roman" w:cs="Times New Roman"/>
          <w:color w:val="000000"/>
        </w:rPr>
        <w:t xml:space="preserve">Sąd </w:t>
      </w:r>
      <w:r w:rsidR="00D953D4" w:rsidRPr="00FA0162">
        <w:rPr>
          <w:rFonts w:ascii="Times New Roman" w:eastAsia="Times New Roman" w:hAnsi="Times New Roman" w:cs="Times New Roman"/>
          <w:color w:val="000000"/>
        </w:rPr>
        <w:t>Okręgowy</w:t>
      </w:r>
      <w:r w:rsidR="005468DA" w:rsidRPr="00FA0162">
        <w:rPr>
          <w:rFonts w:ascii="Times New Roman" w:eastAsia="Times New Roman" w:hAnsi="Times New Roman" w:cs="Times New Roman"/>
          <w:color w:val="000000"/>
        </w:rPr>
        <w:t xml:space="preserve"> sam </w:t>
      </w:r>
      <w:r w:rsidR="00146360" w:rsidRPr="00FA0162">
        <w:rPr>
          <w:rFonts w:ascii="Times New Roman" w:eastAsia="Times New Roman" w:hAnsi="Times New Roman" w:cs="Times New Roman"/>
          <w:color w:val="000000"/>
        </w:rPr>
        <w:t xml:space="preserve">winien </w:t>
      </w:r>
      <w:r w:rsidR="00A42836" w:rsidRPr="00FA0162">
        <w:rPr>
          <w:rFonts w:ascii="Times New Roman" w:eastAsia="Times New Roman" w:hAnsi="Times New Roman" w:cs="Times New Roman"/>
          <w:color w:val="000000"/>
        </w:rPr>
        <w:t xml:space="preserve">zbadać, czy </w:t>
      </w:r>
      <w:r w:rsidR="00073F21" w:rsidRPr="00FA0162">
        <w:rPr>
          <w:rFonts w:ascii="Times New Roman" w:eastAsia="Times New Roman" w:hAnsi="Times New Roman" w:cs="Times New Roman"/>
          <w:color w:val="000000"/>
        </w:rPr>
        <w:t xml:space="preserve">istnieją podstawy do stwierdzenia nieważności umowy. </w:t>
      </w:r>
      <w:r w:rsidR="002838EE" w:rsidRPr="00FA0162">
        <w:rPr>
          <w:rFonts w:ascii="Times New Roman" w:eastAsia="Times New Roman" w:hAnsi="Times New Roman" w:cs="Times New Roman"/>
          <w:color w:val="000000"/>
        </w:rPr>
        <w:t xml:space="preserve"> </w:t>
      </w:r>
    </w:p>
    <w:p w14:paraId="18D5B26D" w14:textId="592AC38E" w:rsidR="00C86967" w:rsidRPr="00FA0162" w:rsidRDefault="00C86967" w:rsidP="00494905">
      <w:pPr>
        <w:spacing w:after="0" w:line="259" w:lineRule="auto"/>
        <w:jc w:val="both"/>
        <w:rPr>
          <w:rFonts w:ascii="Times New Roman" w:eastAsia="Times New Roman" w:hAnsi="Times New Roman" w:cs="Times New Roman"/>
          <w:color w:val="000000"/>
        </w:rPr>
      </w:pPr>
    </w:p>
    <w:p w14:paraId="081B9F8E" w14:textId="1469B767" w:rsidR="000F5F73" w:rsidRPr="00FA0162" w:rsidRDefault="00013671" w:rsidP="00494905">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Ponad powyższe d</w:t>
      </w:r>
      <w:r w:rsidR="00C86967" w:rsidRPr="00FA0162">
        <w:rPr>
          <w:rFonts w:ascii="Times New Roman" w:eastAsia="Times New Roman" w:hAnsi="Times New Roman" w:cs="Times New Roman"/>
          <w:color w:val="000000"/>
        </w:rPr>
        <w:t xml:space="preserve">o nierozpoznania istoty sprawy mogło doprowadzić Sąd Okręgowy rozumowanie wyrażone w zdaniu </w:t>
      </w:r>
      <w:r w:rsidR="00A52FDE" w:rsidRPr="00FA0162">
        <w:rPr>
          <w:rFonts w:ascii="Times New Roman" w:eastAsia="Times New Roman" w:hAnsi="Times New Roman" w:cs="Times New Roman"/>
          <w:color w:val="000000"/>
        </w:rPr>
        <w:t>„</w:t>
      </w:r>
      <w:r w:rsidR="00A52FDE" w:rsidRPr="00FA0162">
        <w:rPr>
          <w:rFonts w:ascii="Times New Roman" w:eastAsia="Times New Roman" w:hAnsi="Times New Roman" w:cs="Times New Roman"/>
          <w:i/>
          <w:iCs/>
          <w:color w:val="000000"/>
        </w:rPr>
        <w:t xml:space="preserve">Sąd Rejonowy stwierdził, że umowa jest ważna, ale powinna być wykonywania bez abuzywnej indeksacji”, </w:t>
      </w:r>
      <w:r w:rsidR="00AC0DA0" w:rsidRPr="00FA0162">
        <w:rPr>
          <w:rFonts w:ascii="Times New Roman" w:eastAsia="Times New Roman" w:hAnsi="Times New Roman" w:cs="Times New Roman"/>
          <w:color w:val="000000"/>
        </w:rPr>
        <w:t xml:space="preserve">z którego </w:t>
      </w:r>
      <w:r w:rsidR="00C001D4" w:rsidRPr="00FA0162">
        <w:rPr>
          <w:rFonts w:ascii="Times New Roman" w:eastAsia="Times New Roman" w:hAnsi="Times New Roman" w:cs="Times New Roman"/>
          <w:color w:val="000000"/>
        </w:rPr>
        <w:t xml:space="preserve">wynika, że wedle </w:t>
      </w:r>
      <w:r w:rsidR="000F5F73" w:rsidRPr="00FA0162">
        <w:rPr>
          <w:rFonts w:ascii="Times New Roman" w:eastAsia="Times New Roman" w:hAnsi="Times New Roman" w:cs="Times New Roman"/>
          <w:color w:val="000000"/>
        </w:rPr>
        <w:t xml:space="preserve">oceny </w:t>
      </w:r>
      <w:r w:rsidR="00C001D4" w:rsidRPr="00FA0162">
        <w:rPr>
          <w:rFonts w:ascii="Times New Roman" w:eastAsia="Times New Roman" w:hAnsi="Times New Roman" w:cs="Times New Roman"/>
          <w:color w:val="000000"/>
        </w:rPr>
        <w:t>Sądu Okręgowego</w:t>
      </w:r>
      <w:r w:rsidR="00073F21" w:rsidRPr="00FA0162">
        <w:rPr>
          <w:rFonts w:ascii="Times New Roman" w:eastAsia="Times New Roman" w:hAnsi="Times New Roman" w:cs="Times New Roman"/>
          <w:color w:val="000000"/>
        </w:rPr>
        <w:t xml:space="preserve"> </w:t>
      </w:r>
      <w:r w:rsidR="00A135A7" w:rsidRPr="00FA0162">
        <w:rPr>
          <w:rFonts w:ascii="Times New Roman" w:eastAsia="Times New Roman" w:hAnsi="Times New Roman" w:cs="Times New Roman"/>
          <w:color w:val="000000"/>
        </w:rPr>
        <w:t>wyrok zasądzający zwrot świadczenia wynikającego z nieważnej czynności prawnej powinien być poprzedzony</w:t>
      </w:r>
      <w:r w:rsidR="00414BA5" w:rsidRPr="00FA0162">
        <w:rPr>
          <w:rFonts w:ascii="Times New Roman" w:eastAsia="Times New Roman" w:hAnsi="Times New Roman" w:cs="Times New Roman"/>
          <w:color w:val="000000"/>
        </w:rPr>
        <w:t xml:space="preserve"> wyrokiem ustalającym nieważność </w:t>
      </w:r>
      <w:r w:rsidR="000F5F73" w:rsidRPr="00FA0162">
        <w:rPr>
          <w:rFonts w:ascii="Times New Roman" w:eastAsia="Times New Roman" w:hAnsi="Times New Roman" w:cs="Times New Roman"/>
          <w:color w:val="000000"/>
        </w:rPr>
        <w:t xml:space="preserve">podstawy </w:t>
      </w:r>
      <w:r w:rsidR="00414BA5" w:rsidRPr="00FA0162">
        <w:rPr>
          <w:rFonts w:ascii="Times New Roman" w:eastAsia="Times New Roman" w:hAnsi="Times New Roman" w:cs="Times New Roman"/>
          <w:color w:val="000000"/>
        </w:rPr>
        <w:t xml:space="preserve">tego świadczenia. </w:t>
      </w:r>
      <w:r w:rsidR="00210FFC" w:rsidRPr="00FA0162">
        <w:rPr>
          <w:rFonts w:ascii="Times New Roman" w:eastAsia="Times New Roman" w:hAnsi="Times New Roman" w:cs="Times New Roman"/>
          <w:color w:val="000000"/>
        </w:rPr>
        <w:t xml:space="preserve">Rozumowanie </w:t>
      </w:r>
      <w:r w:rsidR="000F5F73" w:rsidRPr="00FA0162">
        <w:rPr>
          <w:rFonts w:ascii="Times New Roman" w:eastAsia="Times New Roman" w:hAnsi="Times New Roman" w:cs="Times New Roman"/>
          <w:color w:val="000000"/>
        </w:rPr>
        <w:t>powyższe</w:t>
      </w:r>
      <w:r w:rsidR="00210FFC" w:rsidRPr="00FA0162">
        <w:rPr>
          <w:rFonts w:ascii="Times New Roman" w:eastAsia="Times New Roman" w:hAnsi="Times New Roman" w:cs="Times New Roman"/>
          <w:color w:val="000000"/>
        </w:rPr>
        <w:t xml:space="preserve"> nie znajduje żadnych podstaw prawnych</w:t>
      </w:r>
      <w:r w:rsidR="0027743D" w:rsidRPr="00FA0162">
        <w:rPr>
          <w:rFonts w:ascii="Times New Roman" w:eastAsia="Times New Roman" w:hAnsi="Times New Roman" w:cs="Times New Roman"/>
          <w:color w:val="000000"/>
        </w:rPr>
        <w:t>.</w:t>
      </w:r>
      <w:r w:rsidR="00210FFC" w:rsidRPr="00FA0162">
        <w:rPr>
          <w:rFonts w:ascii="Times New Roman" w:eastAsia="Times New Roman" w:hAnsi="Times New Roman" w:cs="Times New Roman"/>
          <w:color w:val="000000"/>
        </w:rPr>
        <w:t xml:space="preserve"> </w:t>
      </w:r>
      <w:r w:rsidR="0027743D" w:rsidRPr="00FA0162">
        <w:rPr>
          <w:rFonts w:ascii="Times New Roman" w:eastAsia="Times New Roman" w:hAnsi="Times New Roman" w:cs="Times New Roman"/>
          <w:color w:val="000000"/>
        </w:rPr>
        <w:t>W</w:t>
      </w:r>
      <w:r w:rsidR="00781ED9" w:rsidRPr="00FA0162">
        <w:rPr>
          <w:rFonts w:ascii="Times New Roman" w:eastAsia="Times New Roman" w:hAnsi="Times New Roman" w:cs="Times New Roman"/>
          <w:color w:val="000000"/>
        </w:rPr>
        <w:t xml:space="preserve"> szczególności </w:t>
      </w:r>
      <w:r w:rsidR="0027743D" w:rsidRPr="00FA0162">
        <w:rPr>
          <w:rFonts w:ascii="Times New Roman" w:eastAsia="Times New Roman" w:hAnsi="Times New Roman" w:cs="Times New Roman"/>
          <w:color w:val="000000"/>
        </w:rPr>
        <w:t>brak jest podstaw prawnych dla stwierdzenia, ż</w:t>
      </w:r>
      <w:r w:rsidR="00E605C3" w:rsidRPr="00FA0162">
        <w:rPr>
          <w:rFonts w:ascii="Times New Roman" w:eastAsia="Times New Roman" w:hAnsi="Times New Roman" w:cs="Times New Roman"/>
          <w:color w:val="000000"/>
        </w:rPr>
        <w:t>e</w:t>
      </w:r>
      <w:r w:rsidR="0027743D" w:rsidRPr="00FA0162">
        <w:rPr>
          <w:rFonts w:ascii="Times New Roman" w:eastAsia="Times New Roman" w:hAnsi="Times New Roman" w:cs="Times New Roman"/>
          <w:color w:val="000000"/>
        </w:rPr>
        <w:t xml:space="preserve"> </w:t>
      </w:r>
      <w:r w:rsidR="00E605C3" w:rsidRPr="00FA0162">
        <w:rPr>
          <w:rFonts w:ascii="Times New Roman" w:eastAsia="Times New Roman" w:hAnsi="Times New Roman" w:cs="Times New Roman"/>
          <w:color w:val="000000"/>
        </w:rPr>
        <w:t>wyrok ustalający</w:t>
      </w:r>
      <w:r w:rsidR="00781ED9" w:rsidRPr="00FA0162">
        <w:rPr>
          <w:rFonts w:ascii="Times New Roman" w:eastAsia="Times New Roman" w:hAnsi="Times New Roman" w:cs="Times New Roman"/>
          <w:color w:val="000000"/>
        </w:rPr>
        <w:t xml:space="preserve"> nieistnieni</w:t>
      </w:r>
      <w:r w:rsidR="000F5F73" w:rsidRPr="00FA0162">
        <w:rPr>
          <w:rFonts w:ascii="Times New Roman" w:eastAsia="Times New Roman" w:hAnsi="Times New Roman" w:cs="Times New Roman"/>
          <w:color w:val="000000"/>
        </w:rPr>
        <w:t>e</w:t>
      </w:r>
      <w:r w:rsidR="00781ED9" w:rsidRPr="00FA0162">
        <w:rPr>
          <w:rFonts w:ascii="Times New Roman" w:eastAsia="Times New Roman" w:hAnsi="Times New Roman" w:cs="Times New Roman"/>
          <w:color w:val="000000"/>
        </w:rPr>
        <w:t xml:space="preserve"> stosunku prawnego </w:t>
      </w:r>
      <w:r w:rsidR="00CD3F08" w:rsidRPr="00FA0162">
        <w:rPr>
          <w:rFonts w:ascii="Times New Roman" w:eastAsia="Times New Roman" w:hAnsi="Times New Roman" w:cs="Times New Roman"/>
          <w:color w:val="000000"/>
        </w:rPr>
        <w:t>wynikającego z umowy, która została uznana za nieważną</w:t>
      </w:r>
      <w:r w:rsidR="002C120A" w:rsidRPr="00FA0162">
        <w:rPr>
          <w:rFonts w:ascii="Times New Roman" w:eastAsia="Times New Roman" w:hAnsi="Times New Roman" w:cs="Times New Roman"/>
          <w:color w:val="000000"/>
        </w:rPr>
        <w:t xml:space="preserve"> </w:t>
      </w:r>
      <w:r w:rsidR="00CD3F08" w:rsidRPr="00FA0162">
        <w:rPr>
          <w:rFonts w:ascii="Times New Roman" w:eastAsia="Times New Roman" w:hAnsi="Times New Roman" w:cs="Times New Roman"/>
          <w:color w:val="000000"/>
        </w:rPr>
        <w:t>jest orze</w:t>
      </w:r>
      <w:r w:rsidR="006B271F" w:rsidRPr="00FA0162">
        <w:rPr>
          <w:rFonts w:ascii="Times New Roman" w:eastAsia="Times New Roman" w:hAnsi="Times New Roman" w:cs="Times New Roman"/>
          <w:color w:val="000000"/>
        </w:rPr>
        <w:t>c</w:t>
      </w:r>
      <w:r w:rsidR="00CD3F08" w:rsidRPr="00FA0162">
        <w:rPr>
          <w:rFonts w:ascii="Times New Roman" w:eastAsia="Times New Roman" w:hAnsi="Times New Roman" w:cs="Times New Roman"/>
          <w:color w:val="000000"/>
        </w:rPr>
        <w:t xml:space="preserve">zeniem </w:t>
      </w:r>
      <w:r w:rsidR="006B271F" w:rsidRPr="00FA0162">
        <w:rPr>
          <w:rFonts w:ascii="Times New Roman" w:eastAsia="Times New Roman" w:hAnsi="Times New Roman" w:cs="Times New Roman"/>
          <w:color w:val="000000"/>
        </w:rPr>
        <w:t xml:space="preserve">o charakterze </w:t>
      </w:r>
      <w:r w:rsidR="00CD3F08" w:rsidRPr="00FA0162">
        <w:rPr>
          <w:rFonts w:ascii="Times New Roman" w:eastAsia="Times New Roman" w:hAnsi="Times New Roman" w:cs="Times New Roman"/>
          <w:color w:val="000000"/>
        </w:rPr>
        <w:t>konstytutywnym</w:t>
      </w:r>
      <w:r w:rsidR="006B271F" w:rsidRPr="00FA0162">
        <w:rPr>
          <w:rFonts w:ascii="Times New Roman" w:eastAsia="Times New Roman" w:hAnsi="Times New Roman" w:cs="Times New Roman"/>
          <w:color w:val="000000"/>
        </w:rPr>
        <w:t xml:space="preserve">. </w:t>
      </w:r>
    </w:p>
    <w:p w14:paraId="633DEEAF" w14:textId="77777777" w:rsidR="000F5F73" w:rsidRPr="00FA0162" w:rsidRDefault="000F5F73" w:rsidP="00494905">
      <w:pPr>
        <w:spacing w:after="0" w:line="259" w:lineRule="auto"/>
        <w:jc w:val="both"/>
        <w:rPr>
          <w:rFonts w:ascii="Times New Roman" w:eastAsia="Times New Roman" w:hAnsi="Times New Roman" w:cs="Times New Roman"/>
          <w:color w:val="000000"/>
        </w:rPr>
      </w:pPr>
    </w:p>
    <w:p w14:paraId="589D151F" w14:textId="2CD13D67" w:rsidR="00C86967" w:rsidRPr="00FA0162" w:rsidRDefault="00595722" w:rsidP="00494905">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lastRenderedPageBreak/>
        <w:t xml:space="preserve">Ponadto </w:t>
      </w:r>
      <w:r w:rsidR="00210FFC" w:rsidRPr="00FA0162">
        <w:rPr>
          <w:rFonts w:ascii="Times New Roman" w:eastAsia="Times New Roman" w:hAnsi="Times New Roman" w:cs="Times New Roman"/>
          <w:color w:val="000000"/>
        </w:rPr>
        <w:t>Sąd Okręgowy</w:t>
      </w:r>
      <w:r w:rsidR="00E4459D" w:rsidRPr="00FA0162">
        <w:rPr>
          <w:rFonts w:ascii="Times New Roman" w:eastAsia="Times New Roman" w:hAnsi="Times New Roman" w:cs="Times New Roman"/>
          <w:color w:val="000000"/>
        </w:rPr>
        <w:t xml:space="preserve"> </w:t>
      </w:r>
      <w:r w:rsidR="00210FFC" w:rsidRPr="00FA0162">
        <w:rPr>
          <w:rFonts w:ascii="Times New Roman" w:eastAsia="Times New Roman" w:hAnsi="Times New Roman" w:cs="Times New Roman"/>
          <w:color w:val="000000"/>
        </w:rPr>
        <w:t xml:space="preserve">rozpoznając </w:t>
      </w:r>
      <w:r w:rsidR="00295DF2" w:rsidRPr="00FA0162">
        <w:rPr>
          <w:rFonts w:ascii="Times New Roman" w:eastAsia="Times New Roman" w:hAnsi="Times New Roman" w:cs="Times New Roman"/>
          <w:color w:val="000000"/>
        </w:rPr>
        <w:t xml:space="preserve">żądanie zwrotu świadczeń wynikających z </w:t>
      </w:r>
      <w:r w:rsidR="001A332F" w:rsidRPr="00FA0162">
        <w:rPr>
          <w:rFonts w:ascii="Times New Roman" w:eastAsia="Times New Roman" w:hAnsi="Times New Roman" w:cs="Times New Roman"/>
          <w:color w:val="000000"/>
        </w:rPr>
        <w:t>U</w:t>
      </w:r>
      <w:r w:rsidR="00295DF2" w:rsidRPr="00FA0162">
        <w:rPr>
          <w:rFonts w:ascii="Times New Roman" w:eastAsia="Times New Roman" w:hAnsi="Times New Roman" w:cs="Times New Roman"/>
          <w:color w:val="000000"/>
        </w:rPr>
        <w:t xml:space="preserve">mowy sam powinien zbadać, czy istnieją przesłanki takiego zwrotu – w szczególności czy przesłanką takiego zwrotu nie jest </w:t>
      </w:r>
      <w:r w:rsidR="00D532FF" w:rsidRPr="00FA0162">
        <w:rPr>
          <w:rFonts w:ascii="Times New Roman" w:eastAsia="Times New Roman" w:hAnsi="Times New Roman" w:cs="Times New Roman"/>
          <w:color w:val="000000"/>
        </w:rPr>
        <w:t xml:space="preserve">nieważność czynności prawnej w wykonaniu której świadczenie zostało spełnione. </w:t>
      </w:r>
      <w:r w:rsidR="002C120A" w:rsidRPr="00FA0162">
        <w:rPr>
          <w:rFonts w:ascii="Times New Roman" w:eastAsia="Times New Roman" w:hAnsi="Times New Roman" w:cs="Times New Roman"/>
          <w:color w:val="000000"/>
        </w:rPr>
        <w:t xml:space="preserve">Prawidłowa analiza sprawy spowodowałaby ustalenie, iż umowa została prawomocnie unieważniona, a zatem i z tej podstawy roszczenie Banku jest zasadne. </w:t>
      </w:r>
    </w:p>
    <w:p w14:paraId="79998169" w14:textId="77777777" w:rsidR="00A43192" w:rsidRPr="00FA0162" w:rsidRDefault="00A43192" w:rsidP="00A43192">
      <w:pPr>
        <w:spacing w:after="0" w:line="259" w:lineRule="auto"/>
        <w:ind w:left="567"/>
        <w:contextualSpacing/>
        <w:jc w:val="both"/>
        <w:rPr>
          <w:rFonts w:ascii="Times New Roman" w:eastAsia="Times New Roman" w:hAnsi="Times New Roman" w:cs="Times New Roman"/>
          <w:b/>
          <w:bCs/>
          <w:color w:val="000000"/>
        </w:rPr>
      </w:pPr>
    </w:p>
    <w:p w14:paraId="343DC8BA" w14:textId="0047FFFE" w:rsidR="00FB5A1E" w:rsidRPr="00FA0162" w:rsidRDefault="00614915" w:rsidP="0034579D">
      <w:pPr>
        <w:numPr>
          <w:ilvl w:val="0"/>
          <w:numId w:val="33"/>
        </w:numPr>
        <w:spacing w:after="0" w:line="259" w:lineRule="auto"/>
        <w:ind w:left="567" w:hanging="567"/>
        <w:contextualSpacing/>
        <w:jc w:val="both"/>
        <w:rPr>
          <w:rFonts w:ascii="Times New Roman" w:eastAsia="Times New Roman" w:hAnsi="Times New Roman" w:cs="Times New Roman"/>
          <w:b/>
          <w:bCs/>
          <w:color w:val="000000"/>
        </w:rPr>
      </w:pPr>
      <w:r w:rsidRPr="00FA0162">
        <w:rPr>
          <w:rFonts w:ascii="Times New Roman" w:eastAsia="Times New Roman" w:hAnsi="Times New Roman" w:cs="Times New Roman"/>
          <w:b/>
          <w:bCs/>
          <w:color w:val="000000"/>
        </w:rPr>
        <w:t>Zarzut</w:t>
      </w:r>
      <w:r w:rsidR="002C120A" w:rsidRPr="00FA0162">
        <w:rPr>
          <w:rFonts w:ascii="Times New Roman" w:eastAsia="Times New Roman" w:hAnsi="Times New Roman" w:cs="Times New Roman"/>
          <w:b/>
          <w:bCs/>
          <w:color w:val="000000"/>
        </w:rPr>
        <w:t xml:space="preserve"> przedwczesności (</w:t>
      </w:r>
      <w:r w:rsidR="000A7612" w:rsidRPr="00FA0162">
        <w:rPr>
          <w:rFonts w:ascii="Times New Roman" w:eastAsia="Times New Roman" w:hAnsi="Times New Roman" w:cs="Times New Roman"/>
          <w:b/>
          <w:bCs/>
          <w:color w:val="000000"/>
        </w:rPr>
        <w:t xml:space="preserve">umowa w ocenie Sądu nie została unieważniona); </w:t>
      </w:r>
    </w:p>
    <w:p w14:paraId="1DDC8FDA" w14:textId="06EFB35A" w:rsidR="00614915" w:rsidRPr="00FA0162" w:rsidRDefault="00614915" w:rsidP="00614915">
      <w:pPr>
        <w:spacing w:after="0" w:line="259" w:lineRule="auto"/>
        <w:contextualSpacing/>
        <w:jc w:val="both"/>
        <w:rPr>
          <w:rFonts w:ascii="Times New Roman" w:eastAsia="Times New Roman" w:hAnsi="Times New Roman" w:cs="Times New Roman"/>
          <w:b/>
          <w:bCs/>
          <w:color w:val="000000"/>
        </w:rPr>
      </w:pPr>
    </w:p>
    <w:p w14:paraId="1EFA94AC" w14:textId="285A96C6" w:rsidR="007214DA" w:rsidRPr="00FA0162" w:rsidRDefault="00927E60" w:rsidP="00BC2957">
      <w:pPr>
        <w:spacing w:after="0" w:line="259" w:lineRule="auto"/>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Sąd Okręgowy</w:t>
      </w:r>
      <w:r w:rsidR="00B263DC" w:rsidRPr="00FA0162">
        <w:rPr>
          <w:rFonts w:ascii="Times New Roman" w:eastAsia="Times New Roman" w:hAnsi="Times New Roman" w:cs="Times New Roman"/>
          <w:color w:val="000000"/>
        </w:rPr>
        <w:t xml:space="preserve"> </w:t>
      </w:r>
      <w:r w:rsidRPr="00FA0162">
        <w:rPr>
          <w:rFonts w:ascii="Times New Roman" w:eastAsia="Times New Roman" w:hAnsi="Times New Roman" w:cs="Times New Roman"/>
          <w:color w:val="000000"/>
        </w:rPr>
        <w:t xml:space="preserve">uchybił </w:t>
      </w:r>
      <w:r w:rsidR="00BE1563" w:rsidRPr="00FA0162">
        <w:rPr>
          <w:rFonts w:ascii="Times New Roman" w:eastAsia="Times New Roman" w:hAnsi="Times New Roman" w:cs="Times New Roman"/>
          <w:color w:val="000000"/>
        </w:rPr>
        <w:t>obowiązkowi</w:t>
      </w:r>
      <w:r w:rsidRPr="00FA0162">
        <w:rPr>
          <w:rFonts w:ascii="Times New Roman" w:eastAsia="Times New Roman" w:hAnsi="Times New Roman" w:cs="Times New Roman"/>
          <w:color w:val="000000"/>
        </w:rPr>
        <w:t xml:space="preserve"> rozpoznania istoty sprawy</w:t>
      </w:r>
      <w:r w:rsidR="00C46388" w:rsidRPr="00FA0162">
        <w:rPr>
          <w:rFonts w:ascii="Times New Roman" w:eastAsia="Times New Roman" w:hAnsi="Times New Roman" w:cs="Times New Roman"/>
          <w:color w:val="000000"/>
        </w:rPr>
        <w:t xml:space="preserve">. </w:t>
      </w:r>
      <w:bookmarkStart w:id="16" w:name="_Hlk125539681"/>
    </w:p>
    <w:bookmarkEnd w:id="16"/>
    <w:p w14:paraId="6942F655" w14:textId="41CC16AC" w:rsidR="00494641" w:rsidRPr="00FA0162" w:rsidRDefault="00494641" w:rsidP="00494641">
      <w:pPr>
        <w:spacing w:after="0" w:line="259" w:lineRule="auto"/>
        <w:jc w:val="both"/>
        <w:rPr>
          <w:rFonts w:ascii="Times New Roman" w:eastAsia="Times New Roman" w:hAnsi="Times New Roman" w:cs="Times New Roman"/>
          <w:color w:val="000000"/>
        </w:rPr>
      </w:pPr>
    </w:p>
    <w:p w14:paraId="54BDEA70" w14:textId="7C02182C" w:rsidR="00B363FD" w:rsidRPr="00FA0162" w:rsidRDefault="00D83126"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B</w:t>
      </w:r>
      <w:r w:rsidR="00AC2A82" w:rsidRPr="00FA0162">
        <w:rPr>
          <w:rFonts w:ascii="Times New Roman" w:eastAsia="Times New Roman" w:hAnsi="Times New Roman" w:cs="Times New Roman"/>
          <w:color w:val="000000"/>
        </w:rPr>
        <w:t xml:space="preserve">ieg terminu roszczenia o zwrot świadczeń spełnionych w wykonaniu nieważnej umowy rozpoczyna się z chwilą </w:t>
      </w:r>
      <w:r w:rsidR="00053ADB" w:rsidRPr="00FA0162">
        <w:rPr>
          <w:rFonts w:ascii="Times New Roman" w:eastAsia="Times New Roman" w:hAnsi="Times New Roman" w:cs="Times New Roman"/>
          <w:color w:val="000000"/>
        </w:rPr>
        <w:t>postawienia</w:t>
      </w:r>
      <w:r w:rsidR="00AC2A82" w:rsidRPr="00FA0162">
        <w:rPr>
          <w:rFonts w:ascii="Times New Roman" w:eastAsia="Times New Roman" w:hAnsi="Times New Roman" w:cs="Times New Roman"/>
          <w:color w:val="000000"/>
        </w:rPr>
        <w:t xml:space="preserve"> ich w stan wymagalności, tj. z chwilą upływu terminu zapłaty </w:t>
      </w:r>
      <w:r w:rsidR="000568C6" w:rsidRPr="00FA0162">
        <w:rPr>
          <w:rFonts w:ascii="Times New Roman" w:eastAsia="Times New Roman" w:hAnsi="Times New Roman" w:cs="Times New Roman"/>
          <w:color w:val="000000"/>
        </w:rPr>
        <w:t xml:space="preserve">wskazanego w wezwaniu do zwrotu tych świadczeń. </w:t>
      </w:r>
      <w:r w:rsidR="00B363FD" w:rsidRPr="00FA0162">
        <w:rPr>
          <w:rFonts w:ascii="Times New Roman" w:eastAsia="Times New Roman" w:hAnsi="Times New Roman" w:cs="Times New Roman"/>
          <w:color w:val="000000"/>
        </w:rPr>
        <w:t xml:space="preserve">Powód domagał się od Pozwanej zapłaty kwoty jako świadczenia nienależnego. Tego rodzaju roszczenie ma charakter bezterminowy i dla swojej wymagalności, co do zasady wymaga wezwania do zapłaty. Powyższe potwierdził Sąd Najwyższy w wyroku z 22 marca 2001 r. (V CKN 769/00), wyjaśniając, że obowiązek zwrotu nienależnego świadczenia ma charakter bezterminowy. Termin spełnienia świadczenia winien być wyznaczony zgodnie z art. 455 k.c. (wyrok SN z dnia 22 marca 2001r., V CKN 769/00). Termin spełnienia świadczenia powinien być wyznaczony po wezwaniu pozwanego do zapłaty. </w:t>
      </w:r>
    </w:p>
    <w:p w14:paraId="0934B56D" w14:textId="4620CA39" w:rsidR="00CC07CD" w:rsidRPr="00FA0162" w:rsidRDefault="00CC07CD" w:rsidP="00494641">
      <w:pPr>
        <w:spacing w:after="0" w:line="259" w:lineRule="auto"/>
        <w:jc w:val="both"/>
        <w:rPr>
          <w:rFonts w:ascii="Times New Roman" w:eastAsia="Times New Roman" w:hAnsi="Times New Roman" w:cs="Times New Roman"/>
          <w:color w:val="000000"/>
        </w:rPr>
      </w:pPr>
    </w:p>
    <w:p w14:paraId="72FACC50" w14:textId="27DF8C24" w:rsidR="00CC07CD" w:rsidRPr="00FA0162" w:rsidRDefault="00CC07CD"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Po drugie, możliwość uwzględnienia żądań pozwu nie </w:t>
      </w:r>
      <w:r w:rsidR="003970A5" w:rsidRPr="00FA0162">
        <w:rPr>
          <w:rFonts w:ascii="Times New Roman" w:eastAsia="Times New Roman" w:hAnsi="Times New Roman" w:cs="Times New Roman"/>
          <w:color w:val="000000"/>
        </w:rPr>
        <w:t>musi być poprzedzona</w:t>
      </w:r>
      <w:r w:rsidR="00B064E9" w:rsidRPr="00FA0162">
        <w:rPr>
          <w:rFonts w:ascii="Times New Roman" w:eastAsia="Times New Roman" w:hAnsi="Times New Roman" w:cs="Times New Roman"/>
          <w:color w:val="000000"/>
        </w:rPr>
        <w:t xml:space="preserve"> </w:t>
      </w:r>
      <w:r w:rsidR="003970A5" w:rsidRPr="00FA0162">
        <w:rPr>
          <w:rFonts w:ascii="Times New Roman" w:eastAsia="Times New Roman" w:hAnsi="Times New Roman" w:cs="Times New Roman"/>
          <w:color w:val="000000"/>
        </w:rPr>
        <w:t>uprawomocnieniem się po</w:t>
      </w:r>
      <w:r w:rsidR="003970A5" w:rsidRPr="00FA0162">
        <w:rPr>
          <w:rFonts w:ascii="Times New Roman" w:hAnsi="Times New Roman" w:cs="Times New Roman"/>
        </w:rPr>
        <w:t xml:space="preserve"> </w:t>
      </w:r>
      <w:r w:rsidR="003970A5" w:rsidRPr="00FA0162">
        <w:rPr>
          <w:rFonts w:ascii="Times New Roman" w:eastAsia="Times New Roman" w:hAnsi="Times New Roman" w:cs="Times New Roman"/>
          <w:color w:val="000000"/>
        </w:rPr>
        <w:t>wyroku zasądzającego zwrot świadczeń spełnionych przez kredytobiorcę</w:t>
      </w:r>
      <w:r w:rsidR="009E7B6A" w:rsidRPr="00FA0162">
        <w:rPr>
          <w:rFonts w:ascii="Times New Roman" w:eastAsia="Times New Roman" w:hAnsi="Times New Roman" w:cs="Times New Roman"/>
          <w:color w:val="000000"/>
        </w:rPr>
        <w:t>.</w:t>
      </w:r>
      <w:r w:rsidR="000F352C" w:rsidRPr="00FA0162">
        <w:rPr>
          <w:rFonts w:ascii="Times New Roman" w:eastAsia="Times New Roman" w:hAnsi="Times New Roman" w:cs="Times New Roman"/>
          <w:color w:val="000000"/>
        </w:rPr>
        <w:t xml:space="preserve"> Sąd Okręgowy</w:t>
      </w:r>
      <w:r w:rsidR="00E4459D" w:rsidRPr="00FA0162">
        <w:rPr>
          <w:rFonts w:ascii="Times New Roman" w:eastAsia="Times New Roman" w:hAnsi="Times New Roman" w:cs="Times New Roman"/>
          <w:color w:val="000000"/>
        </w:rPr>
        <w:t xml:space="preserve"> </w:t>
      </w:r>
      <w:r w:rsidR="000F352C" w:rsidRPr="00FA0162">
        <w:rPr>
          <w:rFonts w:ascii="Times New Roman" w:eastAsia="Times New Roman" w:hAnsi="Times New Roman" w:cs="Times New Roman"/>
          <w:color w:val="000000"/>
        </w:rPr>
        <w:t xml:space="preserve">sam był władny dokonać oceny tego, czy Umowa </w:t>
      </w:r>
      <w:r w:rsidR="006C5C29" w:rsidRPr="00FA0162">
        <w:rPr>
          <w:rFonts w:ascii="Times New Roman" w:eastAsia="Times New Roman" w:hAnsi="Times New Roman" w:cs="Times New Roman"/>
          <w:color w:val="000000"/>
        </w:rPr>
        <w:t>wiąże strony i żądania pozwu znajdują podstawę w nieważności tej czynności prawnej</w:t>
      </w:r>
      <w:r w:rsidR="009E7B6A" w:rsidRPr="00FA0162">
        <w:rPr>
          <w:rFonts w:ascii="Times New Roman" w:eastAsia="Times New Roman" w:hAnsi="Times New Roman" w:cs="Times New Roman"/>
          <w:color w:val="000000"/>
        </w:rPr>
        <w:t>. Dokonani</w:t>
      </w:r>
      <w:r w:rsidR="00A30FD0" w:rsidRPr="00FA0162">
        <w:rPr>
          <w:rFonts w:ascii="Times New Roman" w:eastAsia="Times New Roman" w:hAnsi="Times New Roman" w:cs="Times New Roman"/>
          <w:color w:val="000000"/>
        </w:rPr>
        <w:t xml:space="preserve">u </w:t>
      </w:r>
      <w:r w:rsidR="009E7B6A" w:rsidRPr="00FA0162">
        <w:rPr>
          <w:rFonts w:ascii="Times New Roman" w:eastAsia="Times New Roman" w:hAnsi="Times New Roman" w:cs="Times New Roman"/>
          <w:color w:val="000000"/>
        </w:rPr>
        <w:t xml:space="preserve">samodzielnej oceny w tym zakresie </w:t>
      </w:r>
      <w:r w:rsidR="00A30FD0" w:rsidRPr="00FA0162">
        <w:rPr>
          <w:rFonts w:ascii="Times New Roman" w:eastAsia="Times New Roman" w:hAnsi="Times New Roman" w:cs="Times New Roman"/>
          <w:color w:val="000000"/>
        </w:rPr>
        <w:t xml:space="preserve">nie sprzeciwiało się wszak to, że sprawa </w:t>
      </w:r>
      <w:r w:rsidR="000F1A30" w:rsidRPr="00FA0162">
        <w:rPr>
          <w:rFonts w:ascii="Times New Roman" w:eastAsia="Times New Roman" w:hAnsi="Times New Roman" w:cs="Times New Roman"/>
          <w:color w:val="000000"/>
        </w:rPr>
        <w:t>z powództwa Kredytobiorców dotycząca przedmiotowej umowy jest prawomocnie zakończon</w:t>
      </w:r>
      <w:r w:rsidR="00AE52F9" w:rsidRPr="00FA0162">
        <w:rPr>
          <w:rFonts w:ascii="Times New Roman" w:eastAsia="Times New Roman" w:hAnsi="Times New Roman" w:cs="Times New Roman"/>
          <w:color w:val="000000"/>
        </w:rPr>
        <w:t>a</w:t>
      </w:r>
      <w:r w:rsidR="000F1A30" w:rsidRPr="00FA0162">
        <w:rPr>
          <w:rFonts w:ascii="Times New Roman" w:eastAsia="Times New Roman" w:hAnsi="Times New Roman" w:cs="Times New Roman"/>
          <w:color w:val="000000"/>
        </w:rPr>
        <w:t xml:space="preserve">. </w:t>
      </w:r>
      <w:r w:rsidR="00C46527" w:rsidRPr="00FA0162">
        <w:rPr>
          <w:rFonts w:ascii="Times New Roman" w:eastAsia="Times New Roman" w:hAnsi="Times New Roman" w:cs="Times New Roman"/>
          <w:color w:val="000000"/>
        </w:rPr>
        <w:t>Sąd Okręgowy</w:t>
      </w:r>
      <w:r w:rsidR="00E4459D" w:rsidRPr="00FA0162">
        <w:rPr>
          <w:rFonts w:ascii="Times New Roman" w:eastAsia="Times New Roman" w:hAnsi="Times New Roman" w:cs="Times New Roman"/>
          <w:color w:val="000000"/>
        </w:rPr>
        <w:t xml:space="preserve"> </w:t>
      </w:r>
      <w:r w:rsidR="00C46527" w:rsidRPr="00FA0162">
        <w:rPr>
          <w:rFonts w:ascii="Times New Roman" w:eastAsia="Times New Roman" w:hAnsi="Times New Roman" w:cs="Times New Roman"/>
          <w:color w:val="000000"/>
        </w:rPr>
        <w:t>w niniejszej sprawie nie będzie związany przes</w:t>
      </w:r>
      <w:r w:rsidR="00053ADB" w:rsidRPr="00FA0162">
        <w:rPr>
          <w:rFonts w:ascii="Times New Roman" w:eastAsia="Times New Roman" w:hAnsi="Times New Roman" w:cs="Times New Roman"/>
          <w:color w:val="000000"/>
        </w:rPr>
        <w:t>ł</w:t>
      </w:r>
      <w:r w:rsidR="00C46527" w:rsidRPr="00FA0162">
        <w:rPr>
          <w:rFonts w:ascii="Times New Roman" w:eastAsia="Times New Roman" w:hAnsi="Times New Roman" w:cs="Times New Roman"/>
          <w:color w:val="000000"/>
        </w:rPr>
        <w:t xml:space="preserve">ankowym ustaleniem nieważności przez Sąd Okręgowy w sprawie z </w:t>
      </w:r>
      <w:r w:rsidR="00053ADB" w:rsidRPr="00FA0162">
        <w:rPr>
          <w:rFonts w:ascii="Times New Roman" w:eastAsia="Times New Roman" w:hAnsi="Times New Roman" w:cs="Times New Roman"/>
          <w:color w:val="000000"/>
        </w:rPr>
        <w:t>powództwa</w:t>
      </w:r>
      <w:r w:rsidR="00C46527" w:rsidRPr="00FA0162">
        <w:rPr>
          <w:rFonts w:ascii="Times New Roman" w:eastAsia="Times New Roman" w:hAnsi="Times New Roman" w:cs="Times New Roman"/>
          <w:color w:val="000000"/>
        </w:rPr>
        <w:t xml:space="preserve"> Pozwanej,</w:t>
      </w:r>
      <w:r w:rsidR="00DE4D7F" w:rsidRPr="00FA0162">
        <w:rPr>
          <w:rFonts w:ascii="Times New Roman" w:eastAsia="Times New Roman" w:hAnsi="Times New Roman" w:cs="Times New Roman"/>
          <w:color w:val="000000"/>
        </w:rPr>
        <w:t xml:space="preserve"> a w każdej sprawie Sąd Okręgowy </w:t>
      </w:r>
      <w:r w:rsidR="00DE4D7F" w:rsidRPr="00FA0162">
        <w:rPr>
          <w:rFonts w:ascii="Times New Roman" w:eastAsia="Times New Roman" w:hAnsi="Times New Roman" w:cs="Times New Roman"/>
          <w:color w:val="000000"/>
          <w:u w:val="single"/>
        </w:rPr>
        <w:t>może samodzielnie oceniać ważność Umowy</w:t>
      </w:r>
      <w:r w:rsidR="00DE4D7F" w:rsidRPr="00FA0162">
        <w:rPr>
          <w:rFonts w:ascii="Times New Roman" w:eastAsia="Times New Roman" w:hAnsi="Times New Roman" w:cs="Times New Roman"/>
          <w:color w:val="000000"/>
        </w:rPr>
        <w:t>.</w:t>
      </w:r>
      <w:r w:rsidR="009E2B77" w:rsidRPr="00FA0162">
        <w:rPr>
          <w:rFonts w:ascii="Times New Roman" w:eastAsia="Times New Roman" w:hAnsi="Times New Roman" w:cs="Times New Roman"/>
          <w:color w:val="000000"/>
        </w:rPr>
        <w:t xml:space="preserve"> Sąd Okręgowy w niniejszej sprawie zaniechał samodzielnego zbadania sprawy w tym zakresie, a co więcej błędnie </w:t>
      </w:r>
      <w:r w:rsidR="0045756B" w:rsidRPr="00FA0162">
        <w:rPr>
          <w:rFonts w:ascii="Times New Roman" w:eastAsia="Times New Roman" w:hAnsi="Times New Roman" w:cs="Times New Roman"/>
          <w:color w:val="000000"/>
        </w:rPr>
        <w:t>ocenił prawomocny Wyrok w sprawie z powództwa Kredytobior</w:t>
      </w:r>
      <w:r w:rsidR="00D71918" w:rsidRPr="00FA0162">
        <w:rPr>
          <w:rFonts w:ascii="Times New Roman" w:eastAsia="Times New Roman" w:hAnsi="Times New Roman" w:cs="Times New Roman"/>
          <w:color w:val="000000"/>
        </w:rPr>
        <w:t>ców</w:t>
      </w:r>
      <w:r w:rsidR="0045756B" w:rsidRPr="00FA0162">
        <w:rPr>
          <w:rFonts w:ascii="Times New Roman" w:eastAsia="Times New Roman" w:hAnsi="Times New Roman" w:cs="Times New Roman"/>
          <w:color w:val="000000"/>
        </w:rPr>
        <w:t>,</w:t>
      </w:r>
      <w:r w:rsidR="00D71918" w:rsidRPr="00FA0162">
        <w:rPr>
          <w:rFonts w:ascii="Times New Roman" w:eastAsia="Times New Roman" w:hAnsi="Times New Roman" w:cs="Times New Roman"/>
          <w:color w:val="000000"/>
        </w:rPr>
        <w:t xml:space="preserve"> </w:t>
      </w:r>
      <w:r w:rsidR="0045756B" w:rsidRPr="00FA0162">
        <w:rPr>
          <w:rFonts w:ascii="Times New Roman" w:eastAsia="Times New Roman" w:hAnsi="Times New Roman" w:cs="Times New Roman"/>
          <w:color w:val="000000"/>
        </w:rPr>
        <w:t xml:space="preserve">który wyraźnie wskazywał na nieważność umowy.  </w:t>
      </w:r>
    </w:p>
    <w:p w14:paraId="54213E92" w14:textId="77777777" w:rsidR="003E342B" w:rsidRPr="00FA0162" w:rsidRDefault="003E342B" w:rsidP="00494641">
      <w:pPr>
        <w:spacing w:after="0" w:line="259" w:lineRule="auto"/>
        <w:jc w:val="both"/>
        <w:rPr>
          <w:rFonts w:ascii="Times New Roman" w:eastAsia="Times New Roman" w:hAnsi="Times New Roman" w:cs="Times New Roman"/>
          <w:color w:val="000000"/>
        </w:rPr>
      </w:pPr>
    </w:p>
    <w:p w14:paraId="02E92050" w14:textId="77777777" w:rsidR="003E342B" w:rsidRPr="00FA0162" w:rsidRDefault="003E342B" w:rsidP="003E342B">
      <w:pPr>
        <w:spacing w:after="0"/>
        <w:contextualSpacing/>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 xml:space="preserve">Powyższe potwierdza cytowane wyżej </w:t>
      </w:r>
      <w:r w:rsidRPr="00FA0162">
        <w:rPr>
          <w:rFonts w:ascii="Times New Roman" w:eastAsia="Times New Roman" w:hAnsi="Times New Roman" w:cs="Times New Roman"/>
          <w:b/>
          <w:bCs/>
          <w:color w:val="000000"/>
        </w:rPr>
        <w:t>postanowienie Sądu Najwyższego w wydane w dniu 14 lutego 2024 r. (III CZ 304/23)</w:t>
      </w:r>
      <w:r w:rsidRPr="00FA0162">
        <w:rPr>
          <w:rFonts w:ascii="Times New Roman" w:eastAsia="Times New Roman" w:hAnsi="Times New Roman" w:cs="Times New Roman"/>
          <w:color w:val="000000"/>
        </w:rPr>
        <w:t>, w który sąd ten stwierdził, że „</w:t>
      </w:r>
      <w:r w:rsidRPr="00FA0162">
        <w:rPr>
          <w:rFonts w:ascii="Times New Roman" w:eastAsia="Times New Roman" w:hAnsi="Times New Roman" w:cs="Times New Roman"/>
          <w:b/>
          <w:bCs/>
          <w:i/>
          <w:iCs/>
          <w:color w:val="000000"/>
          <w:u w:val="single"/>
        </w:rPr>
        <w:t>do oceny zasadności i wymagalności żądania zwrotu świadczenia z nieważnej umowy nie jest konieczny uprzedni wyrok ustalający nieistnienie stosunku prawnego</w:t>
      </w:r>
      <w:r w:rsidRPr="00FA0162">
        <w:rPr>
          <w:rFonts w:ascii="Times New Roman" w:eastAsia="Times New Roman" w:hAnsi="Times New Roman" w:cs="Times New Roman"/>
          <w:i/>
          <w:iCs/>
          <w:color w:val="000000"/>
        </w:rPr>
        <w:t>. W przypadku tzw. bezskuteczności zawieszonej, wywodzonej z art. 385</w:t>
      </w:r>
      <w:r w:rsidRPr="00FA0162">
        <w:rPr>
          <w:rFonts w:ascii="Times New Roman" w:eastAsia="Times New Roman" w:hAnsi="Times New Roman" w:cs="Times New Roman"/>
          <w:i/>
          <w:iCs/>
          <w:color w:val="000000"/>
          <w:vertAlign w:val="superscript"/>
        </w:rPr>
        <w:t>1</w:t>
      </w:r>
      <w:r w:rsidRPr="00FA0162">
        <w:rPr>
          <w:rFonts w:ascii="Times New Roman" w:eastAsia="Times New Roman" w:hAnsi="Times New Roman" w:cs="Times New Roman"/>
          <w:i/>
          <w:iCs/>
          <w:color w:val="000000"/>
        </w:rPr>
        <w:t xml:space="preserve"> § 1 KC, oświadczenie konsumenta kończące stan zawieszenia może zostać złożone w dowolnym procesie z przedsiębiorcą lub poza procesem, ze skutkiem we wszystkich procesach, w których ważność umowy jest istotna.</w:t>
      </w:r>
      <w:r w:rsidRPr="00FA0162">
        <w:rPr>
          <w:rFonts w:ascii="Times New Roman" w:eastAsia="Times New Roman" w:hAnsi="Times New Roman" w:cs="Times New Roman"/>
          <w:color w:val="000000"/>
        </w:rPr>
        <w:t xml:space="preserve">” Wytoczenie przez kredytobiorców procesu przeciwko bankowi, w których powołali się oni na nieważność umowy kredytu zakończyło stan bezskuteczności zawieszonej umowy, niezależnie od tego, czy Bank oceniał czy umowa jest bezskuteczna, czy nie. W związku z powyższym zasadne było wytoczenie przez Bank powództwa o zwrot nienależnych świadczeń spełnionych w wykonaniu umowy, albowiem zakończenie stanu bezskuteczności zawieszonej jednocześnie stanowiło początek biegu przedawnienia o zwrot świadczeń spełnionych w wykonaniu tej umowy. Z tej też przyczyny, Bank obowiązany do ochrony własnych interesów, zobowiązany był do dochodzenia własnych wierzytelności, jakie wynikają z faktu trwałej bezskuteczności Umowy. </w:t>
      </w:r>
    </w:p>
    <w:p w14:paraId="44893DA8" w14:textId="77777777" w:rsidR="003E342B" w:rsidRPr="00FA0162" w:rsidRDefault="003E342B" w:rsidP="003E342B">
      <w:pPr>
        <w:spacing w:after="0"/>
        <w:contextualSpacing/>
        <w:jc w:val="both"/>
        <w:rPr>
          <w:rFonts w:ascii="Times New Roman" w:eastAsia="Times New Roman" w:hAnsi="Times New Roman" w:cs="Times New Roman"/>
          <w:color w:val="000000"/>
        </w:rPr>
      </w:pPr>
    </w:p>
    <w:p w14:paraId="600F3065" w14:textId="77777777" w:rsidR="003E342B" w:rsidRPr="00FA0162" w:rsidRDefault="003E342B" w:rsidP="003E342B">
      <w:pPr>
        <w:spacing w:after="0"/>
        <w:contextualSpacing/>
        <w:jc w:val="both"/>
        <w:rPr>
          <w:rFonts w:ascii="Times New Roman" w:eastAsia="Times New Roman" w:hAnsi="Times New Roman" w:cs="Times New Roman"/>
          <w:i/>
          <w:iCs/>
          <w:color w:val="000000"/>
        </w:rPr>
      </w:pPr>
      <w:r w:rsidRPr="00FA0162">
        <w:rPr>
          <w:rFonts w:ascii="Times New Roman" w:eastAsia="Times New Roman" w:hAnsi="Times New Roman" w:cs="Times New Roman"/>
          <w:color w:val="000000"/>
        </w:rPr>
        <w:t>Ja wskazał SN w wyżej cytowanym wyroku „</w:t>
      </w:r>
      <w:r w:rsidRPr="00FA0162">
        <w:rPr>
          <w:rFonts w:ascii="Times New Roman" w:eastAsia="Times New Roman" w:hAnsi="Times New Roman" w:cs="Times New Roman"/>
          <w:b/>
          <w:bCs/>
          <w:i/>
          <w:iCs/>
          <w:color w:val="000000"/>
        </w:rPr>
        <w:t>możliwe jest jednoczesne toczenie kilku procesów, w których istotna jest ważność tej samej umowy</w:t>
      </w:r>
      <w:r w:rsidRPr="00FA0162">
        <w:rPr>
          <w:rFonts w:ascii="Times New Roman" w:eastAsia="Times New Roman" w:hAnsi="Times New Roman" w:cs="Times New Roman"/>
          <w:i/>
          <w:iCs/>
          <w:color w:val="000000"/>
        </w:rPr>
        <w:t xml:space="preserve">. Dopiero po zakończeniu jednego z nich powstanie problem związania w pozostałych procesach treścią rozstrzygnięcia (art. 365 KPC) i ocen prawnych </w:t>
      </w:r>
      <w:r w:rsidRPr="00FA0162">
        <w:rPr>
          <w:rFonts w:ascii="Times New Roman" w:eastAsia="Times New Roman" w:hAnsi="Times New Roman" w:cs="Times New Roman"/>
          <w:i/>
          <w:iCs/>
          <w:color w:val="000000"/>
        </w:rPr>
        <w:lastRenderedPageBreak/>
        <w:t>leżących u podstaw rozstrzygnięcia (art. 366 KPC). Oczywiście dopuszczalność kilku równoległych postępowań nie oznacza, że wszystkie z nich są celowe. Najszersze skutki dla pozostałych postępowań może mieć wyrok w sprawie o ustalenie nieistnienia stosunku kredytu (chyba że zapadnie wyrok oddalający) i co do zasady inne postępowania należy zawiesić do czasu jego zakończenia. Jednakże art. 177 § 1 pkt 1 KPC pozostawia sądowi swobodę podjęcia decyzji o zawieszeniu. Sąd pierwszej instancji powinien uwzględnić także stopień zaawansowania obydwu procesów. Jeżeli z jakichś względów nie ma perspektyw na szybkie, prawomocne zakończenie sprawy o nieistnienie stosunku prawnego, a sprawa o zwrot świadczenia nie wymaga szerokiego postępowania dowodowego, nie jest celowe zawieszenie postępowania</w:t>
      </w:r>
      <w:r w:rsidRPr="00FA0162">
        <w:rPr>
          <w:rFonts w:ascii="Times New Roman" w:eastAsia="Times New Roman" w:hAnsi="Times New Roman" w:cs="Times New Roman"/>
          <w:color w:val="000000"/>
        </w:rPr>
        <w:t>.” Jednocześnie SN wskazał, że „</w:t>
      </w:r>
      <w:r w:rsidRPr="00FA0162">
        <w:rPr>
          <w:rFonts w:ascii="Times New Roman" w:eastAsia="Times New Roman" w:hAnsi="Times New Roman" w:cs="Times New Roman"/>
          <w:b/>
          <w:bCs/>
          <w:i/>
          <w:iCs/>
          <w:color w:val="000000"/>
        </w:rPr>
        <w:t>Sąd, który jako pierwszy rozstrzyga jeden z kilku procesów między tymi samymi stronami, nie stosuje art. 366 KPC, tj. nie bierze pod uwagę skutków wyroku w innych procesach stron.</w:t>
      </w:r>
      <w:r w:rsidRPr="00FA0162">
        <w:rPr>
          <w:rFonts w:ascii="Times New Roman" w:eastAsia="Times New Roman" w:hAnsi="Times New Roman" w:cs="Times New Roman"/>
          <w:i/>
          <w:iCs/>
          <w:color w:val="000000"/>
        </w:rPr>
        <w:t xml:space="preserve"> </w:t>
      </w:r>
      <w:r w:rsidRPr="00FA0162">
        <w:rPr>
          <w:rFonts w:ascii="Times New Roman" w:eastAsia="Times New Roman" w:hAnsi="Times New Roman" w:cs="Times New Roman"/>
          <w:b/>
          <w:bCs/>
          <w:i/>
          <w:iCs/>
          <w:color w:val="000000"/>
        </w:rPr>
        <w:t xml:space="preserve">Dopiero gdy uprawomocni się pierwszy wyrok, sądy orzekające w innych procesach muszą podjąć decyzję, którymi ocenami prawnymi, zawartymi w uzasadnieniu wyroku zapadłego jako pierwszy, są związane. </w:t>
      </w:r>
      <w:r w:rsidRPr="00FA0162">
        <w:rPr>
          <w:rFonts w:ascii="Times New Roman" w:eastAsia="Times New Roman" w:hAnsi="Times New Roman" w:cs="Times New Roman"/>
          <w:i/>
          <w:iCs/>
          <w:color w:val="000000"/>
        </w:rPr>
        <w:t>Powyższe uzasadnia także tezę Sądu Apelacyjnego, że do oceny zasadności i wymagalności żądania zwrotu świadczenia z nieważnej umowy nie jest konieczny uprzedni wyrok ustalający nieistnienie stosunku prawnego</w:t>
      </w:r>
      <w:r w:rsidRPr="00FA0162">
        <w:rPr>
          <w:rFonts w:ascii="Times New Roman" w:eastAsia="Times New Roman" w:hAnsi="Times New Roman" w:cs="Times New Roman"/>
          <w:color w:val="000000"/>
        </w:rPr>
        <w:t>.”</w:t>
      </w:r>
    </w:p>
    <w:p w14:paraId="7B5B917B" w14:textId="77777777" w:rsidR="003E342B" w:rsidRPr="00FA0162" w:rsidRDefault="003E342B" w:rsidP="00494641">
      <w:pPr>
        <w:spacing w:after="0" w:line="259" w:lineRule="auto"/>
        <w:jc w:val="both"/>
        <w:rPr>
          <w:rFonts w:ascii="Times New Roman" w:eastAsia="Times New Roman" w:hAnsi="Times New Roman" w:cs="Times New Roman"/>
          <w:color w:val="000000"/>
        </w:rPr>
      </w:pPr>
    </w:p>
    <w:p w14:paraId="73AA20DF" w14:textId="644AD689" w:rsidR="003B098F" w:rsidRPr="00FA0162" w:rsidRDefault="0098340C" w:rsidP="00494641">
      <w:pPr>
        <w:spacing w:after="0" w:line="259" w:lineRule="auto"/>
        <w:jc w:val="both"/>
        <w:rPr>
          <w:rFonts w:ascii="Times New Roman" w:eastAsia="Times New Roman" w:hAnsi="Times New Roman" w:cs="Times New Roman"/>
          <w:color w:val="000000"/>
        </w:rPr>
      </w:pPr>
      <w:r w:rsidRPr="00FA0162">
        <w:rPr>
          <w:rFonts w:ascii="Times New Roman" w:eastAsia="Times New Roman" w:hAnsi="Times New Roman" w:cs="Times New Roman"/>
          <w:color w:val="000000"/>
        </w:rPr>
        <w:t>.</w:t>
      </w:r>
      <w:r w:rsidR="0009647D" w:rsidRPr="00FA0162">
        <w:rPr>
          <w:rFonts w:ascii="Times New Roman" w:eastAsia="Times New Roman" w:hAnsi="Times New Roman" w:cs="Times New Roman"/>
          <w:color w:val="000000"/>
        </w:rPr>
        <w:t xml:space="preserve"> </w:t>
      </w:r>
    </w:p>
    <w:p w14:paraId="3A7250A2" w14:textId="77777777" w:rsidR="00966090" w:rsidRPr="00FA0162" w:rsidRDefault="00966090" w:rsidP="00966090">
      <w:pPr>
        <w:spacing w:after="0" w:line="259" w:lineRule="auto"/>
        <w:ind w:left="567"/>
        <w:contextualSpacing/>
        <w:jc w:val="both"/>
        <w:rPr>
          <w:rFonts w:ascii="Times New Roman" w:eastAsia="Times New Roman" w:hAnsi="Times New Roman" w:cs="Times New Roman"/>
          <w:b/>
          <w:bCs/>
          <w:color w:val="000000"/>
        </w:rPr>
      </w:pPr>
    </w:p>
    <w:p w14:paraId="47C83F2E" w14:textId="77777777" w:rsidR="00D20DDD" w:rsidRPr="00FA0162" w:rsidRDefault="00D20DDD" w:rsidP="0034579D">
      <w:pPr>
        <w:numPr>
          <w:ilvl w:val="0"/>
          <w:numId w:val="33"/>
        </w:numPr>
        <w:spacing w:after="0" w:line="259" w:lineRule="auto"/>
        <w:ind w:left="567" w:hanging="567"/>
        <w:contextualSpacing/>
        <w:jc w:val="both"/>
        <w:rPr>
          <w:rFonts w:ascii="Times New Roman" w:eastAsia="Calibri" w:hAnsi="Times New Roman" w:cs="Times New Roman"/>
          <w:b/>
          <w:bCs/>
        </w:rPr>
      </w:pPr>
      <w:r w:rsidRPr="00FA0162">
        <w:rPr>
          <w:rFonts w:ascii="Times New Roman" w:eastAsia="Calibri" w:hAnsi="Times New Roman" w:cs="Times New Roman"/>
          <w:b/>
          <w:bCs/>
        </w:rPr>
        <w:t>Zarzut naruszenia art. 45 Konstytucji RP</w:t>
      </w:r>
    </w:p>
    <w:p w14:paraId="682CAE10" w14:textId="77777777" w:rsidR="00D20DDD" w:rsidRPr="00FA0162" w:rsidRDefault="00D20DDD" w:rsidP="00D20DDD">
      <w:pPr>
        <w:spacing w:after="0" w:line="259" w:lineRule="auto"/>
        <w:ind w:left="720"/>
        <w:contextualSpacing/>
        <w:jc w:val="both"/>
        <w:rPr>
          <w:rFonts w:ascii="Times New Roman" w:eastAsia="Calibri" w:hAnsi="Times New Roman" w:cs="Times New Roman"/>
          <w:b/>
          <w:bCs/>
        </w:rPr>
      </w:pPr>
    </w:p>
    <w:p w14:paraId="151E7A4D"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W myśl art. 45 ust. 1 Konstytucji RP każdy ma prawo do sprawiedliwego i jawnego rozpatrzenia sprawy bez nieuzasadnionej zwłoki przez właściwy, niezależny, bezstronny i niezawisły sąd.</w:t>
      </w:r>
    </w:p>
    <w:p w14:paraId="4D469152" w14:textId="77777777" w:rsidR="00D20DDD" w:rsidRPr="00FA0162" w:rsidRDefault="00D20DDD" w:rsidP="00D20DDD">
      <w:pPr>
        <w:spacing w:after="0" w:line="259" w:lineRule="auto"/>
        <w:jc w:val="both"/>
        <w:rPr>
          <w:rFonts w:ascii="Times New Roman" w:eastAsia="Calibri" w:hAnsi="Times New Roman" w:cs="Times New Roman"/>
        </w:rPr>
      </w:pPr>
    </w:p>
    <w:p w14:paraId="2741DD38"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 xml:space="preserve">Naruszenie prawa do sądu strony może polegać na naruszeniu przez Sąd gwarancji procesowych strony. Prawo do rzetelnego procesu sądowego i merytorycznego rozpatrzenia sprawy jest więc traktowane jako samodzielny przedmiot ochrony. W tej sytuacji prawo do sądu i jego naruszenia rozpatruje się z punktu widzenia kryteriów sprawiedliwości proceduralnej. </w:t>
      </w:r>
    </w:p>
    <w:p w14:paraId="24D06C6F" w14:textId="77777777" w:rsidR="00D20DDD" w:rsidRPr="00FA0162" w:rsidRDefault="00D20DDD" w:rsidP="00D20DDD">
      <w:pPr>
        <w:spacing w:after="0" w:line="259" w:lineRule="auto"/>
        <w:jc w:val="both"/>
        <w:rPr>
          <w:rFonts w:ascii="Times New Roman" w:eastAsia="Calibri" w:hAnsi="Times New Roman" w:cs="Times New Roman"/>
        </w:rPr>
      </w:pPr>
    </w:p>
    <w:p w14:paraId="6ADCB5EA"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W ramach zaś ww. wymienionej sprawiedliwości proceduralnej stronie procesu przysługuje prawo do wysłuchania, a z drugiej strony obowiązek Sądu do zbadania wszystkich istotnych aspektów danej sprawy (rozpoznania istoty sprawy), a następnie ujawnienia w sposób jasny, rzeczowy, klarowny, czytelny toku rozumowania sądu w celu stworzenia adresatowi orzeczenia możliwości weryfikacji argumentacji przedstawionej w jego uzasadnieniu.</w:t>
      </w:r>
    </w:p>
    <w:p w14:paraId="303BB8D0" w14:textId="77777777" w:rsidR="00D20DDD" w:rsidRPr="00FA0162" w:rsidRDefault="00D20DDD" w:rsidP="00D20DDD">
      <w:pPr>
        <w:spacing w:after="0" w:line="259" w:lineRule="auto"/>
        <w:jc w:val="both"/>
        <w:rPr>
          <w:rFonts w:ascii="Times New Roman" w:eastAsia="Calibri" w:hAnsi="Times New Roman" w:cs="Times New Roman"/>
        </w:rPr>
      </w:pPr>
    </w:p>
    <w:p w14:paraId="7E2DBF21" w14:textId="556906CD" w:rsidR="00D20DDD" w:rsidRPr="00FA0162" w:rsidRDefault="00D20DDD" w:rsidP="00D20DDD">
      <w:pPr>
        <w:spacing w:after="0" w:line="259" w:lineRule="auto"/>
        <w:jc w:val="both"/>
        <w:rPr>
          <w:rFonts w:ascii="Times New Roman" w:eastAsia="Calibri" w:hAnsi="Times New Roman" w:cs="Times New Roman"/>
          <w:u w:val="single"/>
        </w:rPr>
      </w:pPr>
      <w:r w:rsidRPr="00FA0162">
        <w:rPr>
          <w:rFonts w:ascii="Times New Roman" w:eastAsia="Calibri" w:hAnsi="Times New Roman" w:cs="Times New Roman"/>
        </w:rPr>
        <w:t xml:space="preserve">Jednocześnie obowiązkiem Sądu jest zapewnienie przewidywalności rozstrzygnięcia sądowego i spójności działania systemu (wymiaru) sprawiedliwości. </w:t>
      </w:r>
      <w:r w:rsidR="00937C79" w:rsidRPr="00FA0162">
        <w:rPr>
          <w:rFonts w:ascii="Times New Roman" w:eastAsia="Calibri" w:hAnsi="Times New Roman" w:cs="Times New Roman"/>
        </w:rPr>
        <w:t xml:space="preserve">Niewłaściwa ocena </w:t>
      </w:r>
      <w:r w:rsidR="00721952" w:rsidRPr="00FA0162">
        <w:rPr>
          <w:rFonts w:ascii="Times New Roman" w:eastAsia="Calibri" w:hAnsi="Times New Roman" w:cs="Times New Roman"/>
        </w:rPr>
        <w:t xml:space="preserve">prawomocnego wyroku wydanego w sprawie z powództwa Kredytobiorców, a dotyczących podstaw unieważnienia przedmiotowej umowy kredytowej </w:t>
      </w:r>
      <w:r w:rsidRPr="00FA0162">
        <w:rPr>
          <w:rFonts w:ascii="Times New Roman" w:eastAsia="Calibri" w:hAnsi="Times New Roman" w:cs="Times New Roman"/>
        </w:rPr>
        <w:t>i oddalenie powództwa Banku</w:t>
      </w:r>
      <w:r w:rsidR="00721952" w:rsidRPr="00FA0162">
        <w:rPr>
          <w:rFonts w:ascii="Times New Roman" w:eastAsia="Calibri" w:hAnsi="Times New Roman" w:cs="Times New Roman"/>
        </w:rPr>
        <w:t xml:space="preserve"> </w:t>
      </w:r>
      <w:r w:rsidRPr="00FA0162">
        <w:rPr>
          <w:rFonts w:ascii="Times New Roman" w:eastAsia="Calibri" w:hAnsi="Times New Roman" w:cs="Times New Roman"/>
          <w:u w:val="single"/>
        </w:rPr>
        <w:t>spowodowało, że w sytuacji</w:t>
      </w:r>
      <w:r w:rsidR="005B0283" w:rsidRPr="00FA0162">
        <w:rPr>
          <w:rFonts w:ascii="Times New Roman" w:eastAsia="Calibri" w:hAnsi="Times New Roman" w:cs="Times New Roman"/>
          <w:u w:val="single"/>
        </w:rPr>
        <w:t xml:space="preserve"> uzyskania przez </w:t>
      </w:r>
      <w:r w:rsidRPr="00FA0162">
        <w:rPr>
          <w:rFonts w:ascii="Times New Roman" w:eastAsia="Calibri" w:hAnsi="Times New Roman" w:cs="Times New Roman"/>
          <w:u w:val="single"/>
        </w:rPr>
        <w:t>Bank</w:t>
      </w:r>
      <w:r w:rsidR="005B0283" w:rsidRPr="00FA0162">
        <w:rPr>
          <w:rFonts w:ascii="Times New Roman" w:eastAsia="Calibri" w:hAnsi="Times New Roman" w:cs="Times New Roman"/>
          <w:u w:val="single"/>
        </w:rPr>
        <w:t xml:space="preserve"> </w:t>
      </w:r>
      <w:r w:rsidRPr="00FA0162">
        <w:rPr>
          <w:rFonts w:ascii="Times New Roman" w:eastAsia="Calibri" w:hAnsi="Times New Roman" w:cs="Times New Roman"/>
          <w:u w:val="single"/>
        </w:rPr>
        <w:t>niekorzystn</w:t>
      </w:r>
      <w:r w:rsidR="005B0283" w:rsidRPr="00FA0162">
        <w:rPr>
          <w:rFonts w:ascii="Times New Roman" w:eastAsia="Calibri" w:hAnsi="Times New Roman" w:cs="Times New Roman"/>
          <w:u w:val="single"/>
        </w:rPr>
        <w:t xml:space="preserve">ego </w:t>
      </w:r>
      <w:r w:rsidRPr="00FA0162">
        <w:rPr>
          <w:rFonts w:ascii="Times New Roman" w:eastAsia="Calibri" w:hAnsi="Times New Roman" w:cs="Times New Roman"/>
          <w:u w:val="single"/>
        </w:rPr>
        <w:t>dla siebie wyrok</w:t>
      </w:r>
      <w:r w:rsidR="005B0283" w:rsidRPr="00FA0162">
        <w:rPr>
          <w:rFonts w:ascii="Times New Roman" w:eastAsia="Calibri" w:hAnsi="Times New Roman" w:cs="Times New Roman"/>
          <w:u w:val="single"/>
        </w:rPr>
        <w:t xml:space="preserve">u zasądzającego na rzecz Kredytobiorców </w:t>
      </w:r>
      <w:r w:rsidR="002344CA" w:rsidRPr="00FA0162">
        <w:rPr>
          <w:rFonts w:ascii="Times New Roman" w:eastAsia="Calibri" w:hAnsi="Times New Roman" w:cs="Times New Roman"/>
          <w:u w:val="single"/>
        </w:rPr>
        <w:t xml:space="preserve">zwrot świadczeń </w:t>
      </w:r>
      <w:r w:rsidRPr="00FA0162">
        <w:rPr>
          <w:rFonts w:ascii="Times New Roman" w:eastAsia="Calibri" w:hAnsi="Times New Roman" w:cs="Times New Roman"/>
          <w:u w:val="single"/>
        </w:rPr>
        <w:t xml:space="preserve">w związku z nieważnością Umowy, sam nie </w:t>
      </w:r>
      <w:r w:rsidR="00C34666" w:rsidRPr="00FA0162">
        <w:rPr>
          <w:rFonts w:ascii="Times New Roman" w:eastAsia="Calibri" w:hAnsi="Times New Roman" w:cs="Times New Roman"/>
          <w:u w:val="single"/>
        </w:rPr>
        <w:t xml:space="preserve">może </w:t>
      </w:r>
      <w:r w:rsidRPr="00FA0162">
        <w:rPr>
          <w:rFonts w:ascii="Times New Roman" w:eastAsia="Calibri" w:hAnsi="Times New Roman" w:cs="Times New Roman"/>
          <w:u w:val="single"/>
        </w:rPr>
        <w:t>dochodzić zwrotu spełnionych przez siebie świadczeń.</w:t>
      </w:r>
    </w:p>
    <w:p w14:paraId="3C0A3E57" w14:textId="77777777" w:rsidR="00D20DDD" w:rsidRPr="00FA0162" w:rsidRDefault="00D20DDD" w:rsidP="00D20DDD">
      <w:pPr>
        <w:spacing w:after="0" w:line="259" w:lineRule="auto"/>
        <w:jc w:val="both"/>
        <w:rPr>
          <w:rFonts w:ascii="Times New Roman" w:eastAsia="Calibri" w:hAnsi="Times New Roman" w:cs="Times New Roman"/>
        </w:rPr>
      </w:pPr>
    </w:p>
    <w:p w14:paraId="70065210" w14:textId="77777777" w:rsidR="00D20DDD" w:rsidRPr="00FA0162" w:rsidRDefault="00D20DDD" w:rsidP="0034579D">
      <w:pPr>
        <w:numPr>
          <w:ilvl w:val="0"/>
          <w:numId w:val="33"/>
        </w:numPr>
        <w:tabs>
          <w:tab w:val="left" w:pos="567"/>
        </w:tabs>
        <w:spacing w:after="0" w:line="259" w:lineRule="auto"/>
        <w:ind w:left="567" w:hanging="567"/>
        <w:contextualSpacing/>
        <w:jc w:val="both"/>
        <w:rPr>
          <w:rFonts w:ascii="Times New Roman" w:eastAsia="Calibri" w:hAnsi="Times New Roman" w:cs="Times New Roman"/>
          <w:b/>
          <w:lang w:eastAsia="pl-PL"/>
        </w:rPr>
      </w:pPr>
      <w:r w:rsidRPr="00FA0162">
        <w:rPr>
          <w:rFonts w:ascii="Times New Roman" w:eastAsia="Calibri" w:hAnsi="Times New Roman" w:cs="Times New Roman"/>
          <w:b/>
          <w:lang w:eastAsia="pl-PL"/>
        </w:rPr>
        <w:t xml:space="preserve">Błędna wykładnia przepisów o bezpodstawnym wzbogaceniu </w:t>
      </w:r>
    </w:p>
    <w:p w14:paraId="5EA34E89" w14:textId="77777777" w:rsidR="00443E3B" w:rsidRPr="00FA0162" w:rsidRDefault="00443E3B" w:rsidP="00443E3B">
      <w:pPr>
        <w:tabs>
          <w:tab w:val="left" w:pos="567"/>
        </w:tabs>
        <w:spacing w:after="0" w:line="259" w:lineRule="auto"/>
        <w:contextualSpacing/>
        <w:jc w:val="both"/>
        <w:rPr>
          <w:rFonts w:ascii="Times New Roman" w:eastAsia="Calibri" w:hAnsi="Times New Roman" w:cs="Times New Roman"/>
          <w:b/>
          <w:lang w:eastAsia="pl-PL"/>
        </w:rPr>
      </w:pPr>
    </w:p>
    <w:p w14:paraId="7C7B61B3" w14:textId="2A08ECC9" w:rsidR="00443E3B" w:rsidRPr="00FA0162" w:rsidRDefault="00443E3B"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Roszczenie powoda ma charakter roszczenia restytucyjnego, związanego z koniecznością zwrotu przez strony wzajemnych świadczeń. Możliwość domagania się roszczeń restytucyjnych objętych żądaniem niniejszego powództwa wynika zarówno z przepisów prawa polskiego regulujących zasady rozliczeń w przypadku bezpodstawnego wzbogacenia (świadczenia nienależnego), jak i z orzecznictwa TSUE, określającego skutki uznania postanowień umów kredytów indeksowanych za abuzywne. W wyroku z </w:t>
      </w:r>
      <w:r w:rsidRPr="00FA0162">
        <w:rPr>
          <w:rFonts w:ascii="Times New Roman" w:eastAsia="Calibri" w:hAnsi="Times New Roman" w:cs="Times New Roman"/>
          <w:bCs/>
          <w:lang w:eastAsia="pl-PL"/>
        </w:rPr>
        <w:lastRenderedPageBreak/>
        <w:t xml:space="preserve">dnia 29 kwietnia 2021 r., C-19/20, TSUE wprost potwierdził możliwość powstania roszczeń restytucyjnych po stronie Banku </w:t>
      </w:r>
      <w:r w:rsidRPr="00FA0162">
        <w:rPr>
          <w:rFonts w:ascii="Times New Roman" w:eastAsia="Calibri" w:hAnsi="Times New Roman" w:cs="Times New Roman"/>
          <w:b/>
          <w:lang w:eastAsia="pl-PL"/>
        </w:rPr>
        <w:t>w przypadku definitywnego upadku umowy wiążącej strony</w:t>
      </w:r>
      <w:r w:rsidRPr="00FA0162">
        <w:rPr>
          <w:rFonts w:ascii="Times New Roman" w:eastAsia="Calibri" w:hAnsi="Times New Roman" w:cs="Times New Roman"/>
          <w:bCs/>
          <w:lang w:eastAsia="pl-PL"/>
        </w:rPr>
        <w:t xml:space="preserve"> co ma miejsce w przedmiotowej sprawie z uwagi na prawomocny wyrok stwierdzający nieważność umowy w sprawie z powództwa Kredytobiorców. Roszczenia restytucyjne objęte żądaniem pozwu pozostają w zgodzie z zasadami ochrony przyznanej konsumentom na mocy Dyrektywy, która zakłada wymóg zastąpienia formalnej równowagi praw i obowiązków stron ustanowionej w umowie równowagą rzeczywistą, która przywraca równość stron, z wyłączeniem możliwości uwzględnienia interesu wyłącznie jednej z nich .</w:t>
      </w:r>
    </w:p>
    <w:p w14:paraId="0C7C072C" w14:textId="77777777" w:rsidR="00B82E69" w:rsidRPr="00FA0162" w:rsidRDefault="00B82E69" w:rsidP="00443E3B">
      <w:pPr>
        <w:tabs>
          <w:tab w:val="left" w:pos="567"/>
        </w:tabs>
        <w:spacing w:after="0" w:line="259" w:lineRule="auto"/>
        <w:contextualSpacing/>
        <w:jc w:val="both"/>
        <w:rPr>
          <w:rFonts w:ascii="Times New Roman" w:eastAsia="Calibri" w:hAnsi="Times New Roman" w:cs="Times New Roman"/>
          <w:bCs/>
          <w:lang w:eastAsia="pl-PL"/>
        </w:rPr>
      </w:pPr>
    </w:p>
    <w:p w14:paraId="65AF9FF6" w14:textId="7A90DBC3" w:rsidR="00B82E69" w:rsidRPr="00FA0162" w:rsidRDefault="00B82E69"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Obowiązek zwrotu udostępnionego kapitału</w:t>
      </w:r>
      <w:r w:rsidR="004B6A6A" w:rsidRPr="00FA0162">
        <w:rPr>
          <w:rFonts w:ascii="Times New Roman" w:eastAsia="Calibri" w:hAnsi="Times New Roman" w:cs="Times New Roman"/>
          <w:bCs/>
          <w:lang w:eastAsia="pl-PL"/>
        </w:rPr>
        <w:t xml:space="preserve"> </w:t>
      </w:r>
      <w:r w:rsidRPr="00FA0162">
        <w:rPr>
          <w:rFonts w:ascii="Times New Roman" w:eastAsia="Calibri" w:hAnsi="Times New Roman" w:cs="Times New Roman"/>
          <w:bCs/>
          <w:lang w:eastAsia="pl-PL"/>
        </w:rPr>
        <w:t xml:space="preserve">względem Banku okolicznością bezsporną i ma bezpośrednie umocowanie w art. 405 w zw. z art. 410 k.c. Jeśli bowiem Umowa Kredytu – wskutek zawarcia w niej klauzul abuzywnych – </w:t>
      </w:r>
      <w:r w:rsidRPr="00FA0162">
        <w:rPr>
          <w:rFonts w:ascii="Times New Roman" w:eastAsia="Calibri" w:hAnsi="Times New Roman" w:cs="Times New Roman"/>
          <w:b/>
          <w:lang w:eastAsia="pl-PL"/>
        </w:rPr>
        <w:t>zostanie uznana za trwale bezskuteczną (nieważną), to wszystkie spełnione na jej podstawie świadczenia: zarówno Banku, jak i Kredytobiorcy, podlegają zwrotowi jako nienależne.</w:t>
      </w:r>
      <w:r w:rsidR="00522047" w:rsidRPr="00FA0162">
        <w:rPr>
          <w:rFonts w:ascii="Times New Roman" w:eastAsia="Calibri" w:hAnsi="Times New Roman" w:cs="Times New Roman"/>
          <w:b/>
          <w:lang w:eastAsia="pl-PL"/>
        </w:rPr>
        <w:t xml:space="preserve"> </w:t>
      </w:r>
      <w:r w:rsidR="00522047" w:rsidRPr="00FA0162">
        <w:rPr>
          <w:rFonts w:ascii="Times New Roman" w:eastAsia="Calibri" w:hAnsi="Times New Roman" w:cs="Times New Roman"/>
          <w:bCs/>
          <w:lang w:eastAsia="pl-PL"/>
        </w:rPr>
        <w:t xml:space="preserve">Zgodnie z uchwałą Sądu Najwyższego z dnia 16 lutego 2021 r. (III CZP 11/20), w takiej sytuacji świadczeniem nienależnym jest </w:t>
      </w:r>
      <w:r w:rsidR="00522047" w:rsidRPr="00FA0162">
        <w:rPr>
          <w:rFonts w:ascii="Times New Roman" w:eastAsia="Calibri" w:hAnsi="Times New Roman" w:cs="Times New Roman"/>
          <w:bCs/>
          <w:i/>
          <w:iCs/>
          <w:lang w:eastAsia="pl-PL"/>
        </w:rPr>
        <w:t>wypłata środków przez bank, a między bankiem a niedoszłym kredytobiorcą powstają różne zobowiązania restytucyjne: zobowiązanie niedoszłego kredytobiorcy do zwrotu wykorzystanych środków pieniężnych oraz zobowiązania banku do zwrotu uiszczonych płatności  (tzw. teoria dwóch kondykcji).</w:t>
      </w:r>
      <w:r w:rsidR="00522047" w:rsidRPr="00FA0162">
        <w:rPr>
          <w:rFonts w:ascii="Times New Roman" w:eastAsia="Calibri" w:hAnsi="Times New Roman" w:cs="Times New Roman"/>
          <w:bCs/>
          <w:lang w:eastAsia="pl-PL"/>
        </w:rPr>
        <w:t xml:space="preserve"> Potwierdza to również uchwała składu siedmiu sędziów Sądu Najwyższego z dnia 7 maja 2021 roku (III CZP 6/21)</w:t>
      </w:r>
      <w:r w:rsidR="00F84CEE" w:rsidRPr="00FA0162">
        <w:rPr>
          <w:rFonts w:ascii="Times New Roman" w:eastAsia="Calibri" w:hAnsi="Times New Roman" w:cs="Times New Roman"/>
          <w:bCs/>
          <w:lang w:eastAsia="pl-PL"/>
        </w:rPr>
        <w:t xml:space="preserve"> </w:t>
      </w:r>
    </w:p>
    <w:p w14:paraId="4CF34606" w14:textId="77777777" w:rsidR="00F84CEE" w:rsidRPr="00FA0162" w:rsidRDefault="00F84CEE" w:rsidP="00443E3B">
      <w:pPr>
        <w:tabs>
          <w:tab w:val="left" w:pos="567"/>
        </w:tabs>
        <w:spacing w:after="0" w:line="259" w:lineRule="auto"/>
        <w:contextualSpacing/>
        <w:jc w:val="both"/>
        <w:rPr>
          <w:rFonts w:ascii="Times New Roman" w:eastAsia="Calibri" w:hAnsi="Times New Roman" w:cs="Times New Roman"/>
          <w:bCs/>
          <w:lang w:eastAsia="pl-PL"/>
        </w:rPr>
      </w:pPr>
    </w:p>
    <w:p w14:paraId="390B69B0" w14:textId="39D92073" w:rsidR="00F84CEE" w:rsidRPr="00FA0162" w:rsidRDefault="00F84CEE" w:rsidP="00443E3B">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Sam fakt spełnienia nienależnego świadczenia uzasadnia roszczenie kondykcyjne. Obowiązek zwrotu przez Kredytobiorcę kwoty udostępnionego kapitału w przypadku hipotetycznej trwałej bezskuteczności (nieważności) Umowy Kredytu nie powinien budzić wątpliwości. Z istoty bezpodstawnego wzbogacenia wynika bowiem, iż świadczenie spełnione jako nienależne powinno zostać zwrócone.</w:t>
      </w:r>
    </w:p>
    <w:p w14:paraId="15B2C791" w14:textId="77777777" w:rsidR="00D20DDD" w:rsidRPr="00FA0162" w:rsidRDefault="00D20DDD" w:rsidP="00D20DDD">
      <w:pPr>
        <w:spacing w:after="0" w:line="259" w:lineRule="auto"/>
        <w:jc w:val="both"/>
        <w:rPr>
          <w:rFonts w:ascii="Times New Roman" w:eastAsia="Times New Roman" w:hAnsi="Times New Roman" w:cs="Times New Roman"/>
        </w:rPr>
      </w:pPr>
    </w:p>
    <w:p w14:paraId="0A13E871" w14:textId="77777777" w:rsidR="005244C9" w:rsidRPr="00FA0162" w:rsidRDefault="00D20DDD" w:rsidP="005244C9">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color w:val="333333"/>
          <w:lang w:eastAsia="pl-PL"/>
        </w:rPr>
        <w:t>Jak wskazano w post. SN z 29</w:t>
      </w:r>
      <w:r w:rsidRPr="00FA0162">
        <w:rPr>
          <w:rFonts w:ascii="Times New Roman" w:eastAsia="Times New Roman" w:hAnsi="Times New Roman" w:cs="Times New Roman"/>
          <w:lang w:eastAsia="pl-PL"/>
        </w:rPr>
        <w:t>.7.2021 r. (I CSKP 146/21), k.c. ujmuje nienależne świadczenie jako jeden z wypadków bezpodstawnego wzbogacenia. Świadczenie nienależne jest źródłem roszczenia zwrotnego. W świetle art. 410 § 1 k.c. ogólne przesłanki bezpodstawnego wzbogacenia muszą być spełnione także wobec nienależnego świadczenia, dotyczy to w szczególności wzbogacenia i zubożenia (ich majątkowego charakteru), jednak zarówno w orzecznictwie, jak i w doktrynie wyjaśniono, że przesłanki bezpodstawnego wzbogacenia należy rozumieć specyficznie w przypadku nienależnego świadczenia. Sam fakt spełnienia nienależnego świadczenia uzasadnia roszczenie kondykcyjne. W takim też przypadku nie zachodzi potrzeba badania, czy i w jakim zakresie spełnione świadczenie wzbogaciło osobę, na rzecz której świadczenie zostało spełnione (</w:t>
      </w:r>
      <w:r w:rsidRPr="00FA0162">
        <w:rPr>
          <w:rFonts w:ascii="Times New Roman" w:eastAsia="Times New Roman" w:hAnsi="Times New Roman" w:cs="Times New Roman"/>
          <w:i/>
          <w:iCs/>
          <w:lang w:eastAsia="pl-PL"/>
        </w:rPr>
        <w:t>accipiensa</w:t>
      </w:r>
      <w:r w:rsidRPr="00FA0162">
        <w:rPr>
          <w:rFonts w:ascii="Times New Roman" w:eastAsia="Times New Roman" w:hAnsi="Times New Roman" w:cs="Times New Roman"/>
          <w:lang w:eastAsia="pl-PL"/>
        </w:rPr>
        <w:t>), jak również, czy majątek spełniającego świadczenie (</w:t>
      </w:r>
      <w:r w:rsidRPr="00FA0162">
        <w:rPr>
          <w:rFonts w:ascii="Times New Roman" w:eastAsia="Times New Roman" w:hAnsi="Times New Roman" w:cs="Times New Roman"/>
          <w:i/>
          <w:iCs/>
          <w:lang w:eastAsia="pl-PL"/>
        </w:rPr>
        <w:t>solvensa</w:t>
      </w:r>
      <w:r w:rsidRPr="00FA0162">
        <w:rPr>
          <w:rFonts w:ascii="Times New Roman" w:eastAsia="Times New Roman" w:hAnsi="Times New Roman" w:cs="Times New Roman"/>
          <w:lang w:eastAsia="pl-PL"/>
        </w:rPr>
        <w:t xml:space="preserve">) uległ zmniejszeniu. </w:t>
      </w:r>
      <w:r w:rsidRPr="00FA0162">
        <w:rPr>
          <w:rFonts w:ascii="Times New Roman" w:eastAsia="Times New Roman" w:hAnsi="Times New Roman" w:cs="Times New Roman"/>
          <w:b/>
          <w:bCs/>
          <w:lang w:eastAsia="pl-PL"/>
        </w:rPr>
        <w:t xml:space="preserve">Uzyskanie nienależnego świadczenia wypełnia przesłankę wzbogacenia, a spełnienie tego świadczenia przesłankę zubożenia. Ustalenie, że wzbogacenie nastąpiło kosztem świadczącego, sprowadza się więc do stwierdzenia, czy doszło do spełnienia świadczenia nienależnego. Innymi słowy, przy roszczeniu określonym w art. 410 k.c. nie </w:t>
      </w:r>
      <w:r w:rsidRPr="00FA0162">
        <w:rPr>
          <w:rFonts w:ascii="Times New Roman" w:eastAsia="Times New Roman" w:hAnsi="Times New Roman" w:cs="Times New Roman"/>
          <w:b/>
          <w:bCs/>
          <w:color w:val="333333"/>
          <w:lang w:eastAsia="pl-PL"/>
        </w:rPr>
        <w:t>ma potrzeby ustalania niczego innego, w tym, czy wzbogaciło odbiorcę albo czy majątek świadczącego uległ zmniejszeniu, gdyż przesłanki te wynikają z samego pojęcia świadczenia nienależnego</w:t>
      </w:r>
      <w:r w:rsidRPr="00FA0162">
        <w:rPr>
          <w:rFonts w:ascii="Times New Roman" w:eastAsia="Times New Roman" w:hAnsi="Times New Roman" w:cs="Times New Roman"/>
          <w:color w:val="333333"/>
          <w:lang w:eastAsia="pl-PL"/>
        </w:rPr>
        <w:t>. Z chwilą też spełnienia świadczenia nienależnego powstaje roszczenie kondykcyjne, którego treścią jest obowiązek dokonania czynności faktycznej lub prawnej, stanowiącej świadczenie przeciwne do spełnionego.</w:t>
      </w:r>
    </w:p>
    <w:p w14:paraId="0F3EAA31" w14:textId="77777777" w:rsidR="005244C9" w:rsidRPr="00FA0162" w:rsidRDefault="005244C9" w:rsidP="005244C9">
      <w:pPr>
        <w:spacing w:after="0" w:line="259" w:lineRule="auto"/>
        <w:jc w:val="both"/>
        <w:rPr>
          <w:rFonts w:ascii="Times New Roman" w:eastAsia="Times New Roman" w:hAnsi="Times New Roman" w:cs="Times New Roman"/>
        </w:rPr>
      </w:pPr>
    </w:p>
    <w:p w14:paraId="45BDE60E" w14:textId="38C8ED26" w:rsidR="00D20DDD" w:rsidRPr="00FA0162" w:rsidRDefault="00D20DDD" w:rsidP="005244C9">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color w:val="333333"/>
          <w:lang w:eastAsia="pl-PL"/>
        </w:rPr>
        <w:t>Kwestia ograniczenia badania do spełnienia świadczeń w relacji</w:t>
      </w:r>
      <w:r w:rsidR="005244C9" w:rsidRPr="00FA0162">
        <w:rPr>
          <w:rFonts w:ascii="Times New Roman" w:eastAsia="Times New Roman" w:hAnsi="Times New Roman" w:cs="Times New Roman"/>
          <w:color w:val="333333"/>
          <w:lang w:eastAsia="pl-PL"/>
        </w:rPr>
        <w:t xml:space="preserve"> </w:t>
      </w:r>
      <w:r w:rsidRPr="00FA0162">
        <w:rPr>
          <w:rFonts w:ascii="Times New Roman" w:eastAsia="Times New Roman" w:hAnsi="Times New Roman" w:cs="Times New Roman"/>
          <w:color w:val="333333"/>
          <w:lang w:eastAsia="pl-PL"/>
        </w:rPr>
        <w:t>pomiędzy </w:t>
      </w:r>
      <w:r w:rsidRPr="00FA0162">
        <w:rPr>
          <w:rFonts w:ascii="Times New Roman" w:eastAsia="Times New Roman" w:hAnsi="Times New Roman" w:cs="Times New Roman"/>
          <w:i/>
          <w:iCs/>
          <w:color w:val="333333"/>
          <w:lang w:eastAsia="pl-PL"/>
        </w:rPr>
        <w:t>solvensem </w:t>
      </w:r>
      <w:r w:rsidRPr="00FA0162">
        <w:rPr>
          <w:rFonts w:ascii="Times New Roman" w:eastAsia="Times New Roman" w:hAnsi="Times New Roman" w:cs="Times New Roman"/>
          <w:color w:val="333333"/>
          <w:lang w:eastAsia="pl-PL"/>
        </w:rPr>
        <w:t>i</w:t>
      </w:r>
      <w:r w:rsidRPr="00FA0162">
        <w:rPr>
          <w:rFonts w:ascii="Times New Roman" w:eastAsia="Times New Roman" w:hAnsi="Times New Roman" w:cs="Times New Roman"/>
          <w:i/>
          <w:iCs/>
          <w:color w:val="333333"/>
          <w:lang w:eastAsia="pl-PL"/>
        </w:rPr>
        <w:t> accipiensem </w:t>
      </w:r>
      <w:r w:rsidRPr="00FA0162">
        <w:rPr>
          <w:rFonts w:ascii="Times New Roman" w:eastAsia="Times New Roman" w:hAnsi="Times New Roman" w:cs="Times New Roman"/>
          <w:color w:val="333333"/>
          <w:lang w:eastAsia="pl-PL"/>
        </w:rPr>
        <w:t>nie budzi wątpliwości w typowych sytuacjach, gdy nie ma potrzeby dokonania wyceny spełnionych świadczeń. Natomiast te świadczenia, których zwrot w naturze nie jest możliwy, muszą być oceniane wg specyficznych reguł.</w:t>
      </w:r>
    </w:p>
    <w:p w14:paraId="752C90B0" w14:textId="6DCF09F2" w:rsidR="00081627" w:rsidRPr="00FA0162" w:rsidRDefault="00D20DDD" w:rsidP="00D20DDD">
      <w:pPr>
        <w:shd w:val="clear" w:color="auto" w:fill="FFFFFF"/>
        <w:spacing w:after="0" w:line="259" w:lineRule="auto"/>
        <w:jc w:val="both"/>
        <w:rPr>
          <w:rFonts w:ascii="Times New Roman" w:eastAsia="Times New Roman" w:hAnsi="Times New Roman" w:cs="Times New Roman"/>
          <w:b/>
          <w:bCs/>
          <w:color w:val="808080"/>
          <w:lang w:eastAsia="pl-PL"/>
        </w:rPr>
      </w:pPr>
      <w:r w:rsidRPr="00FA0162">
        <w:rPr>
          <w:rFonts w:ascii="Times New Roman" w:eastAsia="Times New Roman" w:hAnsi="Times New Roman" w:cs="Times New Roman"/>
          <w:b/>
          <w:bCs/>
          <w:color w:val="808080"/>
          <w:lang w:eastAsia="pl-PL"/>
        </w:rPr>
        <w:t> </w:t>
      </w:r>
    </w:p>
    <w:p w14:paraId="5D9C6476" w14:textId="77777777" w:rsidR="00D20DDD" w:rsidRPr="00FA0162" w:rsidRDefault="00D20DDD" w:rsidP="00D20DDD">
      <w:pPr>
        <w:shd w:val="clear" w:color="auto" w:fill="FFFFFF"/>
        <w:spacing w:after="0" w:line="259" w:lineRule="auto"/>
        <w:jc w:val="both"/>
        <w:rPr>
          <w:rFonts w:ascii="Times New Roman" w:eastAsia="Times New Roman" w:hAnsi="Times New Roman" w:cs="Times New Roman"/>
          <w:b/>
          <w:bCs/>
          <w:color w:val="808080"/>
          <w:lang w:eastAsia="pl-PL"/>
        </w:rPr>
      </w:pPr>
      <w:r w:rsidRPr="00FA0162">
        <w:rPr>
          <w:rFonts w:ascii="Times New Roman" w:eastAsia="Times New Roman" w:hAnsi="Times New Roman" w:cs="Times New Roman"/>
          <w:color w:val="333333"/>
          <w:lang w:eastAsia="pl-PL"/>
        </w:rPr>
        <w:lastRenderedPageBreak/>
        <w:t>Ciągłość zobowiązania wynikającego z umowy kredytu jest istotna w zakresie określenia skutków prawnych ewentualnego unieważnienia takiej umowy. Zwrot świadczeń musi uwzględniać tu bowiem czynnik czasu, który jest elementem tych świadczeń. Analizując dopuszczalność i skutki sankcji nieważności bezwzględnej stosunku zobowiązaniowego o charakterze ciągłym, w doktrynie polskiej wskazano, że nawet upadek i stwierdzenie nieważności umowy kreującej stosunek o charakterze ciągłym następuje </w:t>
      </w:r>
      <w:r w:rsidRPr="00FA0162">
        <w:rPr>
          <w:rFonts w:ascii="Times New Roman" w:eastAsia="Times New Roman" w:hAnsi="Times New Roman" w:cs="Times New Roman"/>
          <w:i/>
          <w:iCs/>
          <w:color w:val="333333"/>
          <w:lang w:eastAsia="pl-PL"/>
        </w:rPr>
        <w:t>ex nunc</w:t>
      </w:r>
      <w:r w:rsidRPr="00FA0162">
        <w:rPr>
          <w:rFonts w:ascii="Times New Roman" w:eastAsia="Times New Roman" w:hAnsi="Times New Roman" w:cs="Times New Roman"/>
          <w:color w:val="333333"/>
          <w:lang w:eastAsia="pl-PL"/>
        </w:rPr>
        <w:t> i nie obejmuje jej skutków z okresu poprzedzającego</w:t>
      </w:r>
      <w:r w:rsidRPr="00FA0162">
        <w:rPr>
          <w:rFonts w:ascii="Times New Roman" w:eastAsia="Times New Roman" w:hAnsi="Times New Roman" w:cs="Times New Roman"/>
          <w:color w:val="333333"/>
          <w:vertAlign w:val="superscript"/>
          <w:lang w:val="en-GB" w:eastAsia="pl-PL"/>
        </w:rPr>
        <w:footnoteReference w:id="1"/>
      </w:r>
      <w:r w:rsidRPr="00FA0162">
        <w:rPr>
          <w:rFonts w:ascii="Times New Roman" w:eastAsia="Times New Roman" w:hAnsi="Times New Roman" w:cs="Times New Roman"/>
          <w:color w:val="333333"/>
          <w:lang w:eastAsia="pl-PL"/>
        </w:rPr>
        <w:t>. W tym zakresie ograniczona jest też swoboda stron w zakresie umownego rozwiązania zobowiązania trwałego, które również może nastąpić jedynie ze skutkiem </w:t>
      </w:r>
      <w:r w:rsidRPr="00FA0162">
        <w:rPr>
          <w:rFonts w:ascii="Times New Roman" w:eastAsia="Times New Roman" w:hAnsi="Times New Roman" w:cs="Times New Roman"/>
          <w:i/>
          <w:iCs/>
          <w:color w:val="333333"/>
          <w:lang w:eastAsia="pl-PL"/>
        </w:rPr>
        <w:t>ex nunc</w:t>
      </w:r>
      <w:r w:rsidRPr="00FA0162">
        <w:rPr>
          <w:rFonts w:ascii="Times New Roman" w:eastAsia="Times New Roman" w:hAnsi="Times New Roman" w:cs="Times New Roman"/>
          <w:i/>
          <w:iCs/>
          <w:color w:val="333333"/>
          <w:vertAlign w:val="superscript"/>
          <w:lang w:val="en-GB" w:eastAsia="pl-PL"/>
        </w:rPr>
        <w:footnoteReference w:id="2"/>
      </w:r>
      <w:r w:rsidRPr="00FA0162">
        <w:rPr>
          <w:rFonts w:ascii="Times New Roman" w:eastAsia="Times New Roman" w:hAnsi="Times New Roman" w:cs="Times New Roman"/>
          <w:color w:val="333333"/>
          <w:lang w:eastAsia="pl-PL"/>
        </w:rPr>
        <w:t>. Co więcej, istnieje silnie uzasadniony pogląd, zgodnie z którym w odniesieniu do nieważności czynności prawnej tworzącej zobowiązaniowy stosunek trwały proponuje się utrzymanie w mocy świadczeń spełnionych w jej wykonaniu, ponieważ powstają tego rodzaju zaszłości, które można określić jako nieodwracalnych</w:t>
      </w:r>
      <w:r w:rsidRPr="00FA0162">
        <w:rPr>
          <w:rFonts w:ascii="Times New Roman" w:eastAsia="Times New Roman" w:hAnsi="Times New Roman" w:cs="Times New Roman"/>
          <w:color w:val="333333"/>
          <w:vertAlign w:val="superscript"/>
          <w:lang w:val="en-GB" w:eastAsia="pl-PL"/>
        </w:rPr>
        <w:footnoteReference w:id="3"/>
      </w:r>
      <w:r w:rsidRPr="00FA0162">
        <w:rPr>
          <w:rFonts w:ascii="Times New Roman" w:eastAsia="Times New Roman" w:hAnsi="Times New Roman" w:cs="Times New Roman"/>
          <w:color w:val="333333"/>
          <w:lang w:eastAsia="pl-PL"/>
        </w:rPr>
        <w:t xml:space="preserve">. Oznacza to, że nawet w przypadku ustanowienia na podstawie konkretnych przepisów jednej z katalogu nazwanych sankcji związanej z wadliwością czynności prawnej jej dalsze skutki mogą być uzależnione od rodzaju stosunku prawnego, którego wadliwość ta dotyczy. Na kwestię rozliczeń stron związaną z unieważnieniem umowy kredytu denominowanego lub indeksowanego do waluty obcej wpływać będzie zatem nie tylko specyfika samej sankcji, ale również specyfika samej umowy kredytu. </w:t>
      </w:r>
    </w:p>
    <w:p w14:paraId="48928DD0" w14:textId="355F20FC" w:rsidR="00D20DDD" w:rsidRPr="00FA0162" w:rsidRDefault="00D20DDD" w:rsidP="002678C0">
      <w:pPr>
        <w:shd w:val="clear" w:color="auto" w:fill="FFFFFF"/>
        <w:spacing w:after="0" w:line="259" w:lineRule="auto"/>
        <w:jc w:val="both"/>
        <w:rPr>
          <w:rFonts w:ascii="Times New Roman" w:eastAsia="Times New Roman" w:hAnsi="Times New Roman" w:cs="Times New Roman"/>
          <w:color w:val="333333"/>
          <w:lang w:eastAsia="pl-PL"/>
        </w:rPr>
      </w:pPr>
      <w:r w:rsidRPr="00FA0162">
        <w:rPr>
          <w:rFonts w:ascii="Times New Roman" w:eastAsia="Times New Roman" w:hAnsi="Times New Roman" w:cs="Times New Roman"/>
          <w:b/>
          <w:bCs/>
          <w:color w:val="808080"/>
          <w:lang w:eastAsia="pl-PL"/>
        </w:rPr>
        <w:t> </w:t>
      </w:r>
      <w:r w:rsidRPr="00FA0162">
        <w:rPr>
          <w:rFonts w:ascii="Times New Roman" w:eastAsia="Calibri" w:hAnsi="Times New Roman" w:cs="Times New Roman"/>
        </w:rPr>
        <w:t xml:space="preserve"> </w:t>
      </w:r>
      <w:bookmarkStart w:id="17" w:name="_Hlk112189667"/>
    </w:p>
    <w:p w14:paraId="395736FC" w14:textId="77777777" w:rsidR="00D20DDD" w:rsidRPr="00FA0162" w:rsidRDefault="00D20DDD" w:rsidP="00D20DDD">
      <w:pPr>
        <w:spacing w:after="0" w:line="259" w:lineRule="auto"/>
        <w:jc w:val="both"/>
        <w:rPr>
          <w:rFonts w:ascii="Times New Roman" w:eastAsia="Calibri" w:hAnsi="Times New Roman" w:cs="Times New Roman"/>
        </w:rPr>
      </w:pPr>
      <w:r w:rsidRPr="00FA0162">
        <w:rPr>
          <w:rFonts w:ascii="Times New Roman" w:eastAsia="Calibri" w:hAnsi="Times New Roman" w:cs="Times New Roman"/>
        </w:rPr>
        <w:t>Podkreślenia wymaga, że w razie nieważności stosunku zobowiązaniowego o charakterze ciągłym wzbogacenie istnieje i nie ma podstaw do zastosowania art. 409 k.c. jako przesłanki uznania, że ten, kto już skorzystał z rzeczy lub stał się beneficjentem usługi, nie jest wzbogacony. Jego wzbogacenie polega bowiem na tym, że w toku używania rzeczy lub stawania się beneficjentem usługi nie był on zmuszony do ponoszenia kosztów używania rzeczy cudzej lub płacenia wynagrodzenia. Podobne stanowisko zajął Sąd Najwyższy, uznając, iż: „</w:t>
      </w:r>
      <w:r w:rsidRPr="00FA0162">
        <w:rPr>
          <w:rFonts w:ascii="Times New Roman" w:eastAsia="Calibri" w:hAnsi="Times New Roman" w:cs="Times New Roman"/>
          <w:i/>
          <w:iCs/>
        </w:rPr>
        <w:t>Ten, kto otrzymał pieniądze od innej osoby, które zakwalifikowane zostały jako nienależne świadczenie, i zużył je na spłacenie swego długu, wprawdzie pieniędzy tych już nie ma, ale mimo to jego wzbogacenie trwa nadal. Przez zapłatę bowiem długu zmniejszyły się jego pasywa, tym samym więc nastąpił wzrost majątku</w:t>
      </w:r>
      <w:r w:rsidRPr="00FA0162">
        <w:rPr>
          <w:rFonts w:ascii="Times New Roman" w:eastAsia="Calibri" w:hAnsi="Times New Roman" w:cs="Times New Roman"/>
        </w:rPr>
        <w:t>”</w:t>
      </w:r>
      <w:r w:rsidRPr="00FA0162">
        <w:rPr>
          <w:rFonts w:ascii="Times New Roman" w:eastAsia="Calibri" w:hAnsi="Times New Roman" w:cs="Times New Roman"/>
          <w:vertAlign w:val="superscript"/>
          <w:lang w:val="en-GB"/>
        </w:rPr>
        <w:footnoteReference w:id="4"/>
      </w:r>
      <w:r w:rsidRPr="00FA0162">
        <w:rPr>
          <w:rFonts w:ascii="Times New Roman" w:eastAsia="Calibri" w:hAnsi="Times New Roman" w:cs="Times New Roman"/>
        </w:rPr>
        <w:t>. Nie można zatem mówić o odpadnięciu wzbogacenia, jeżeli wzbogacony zużył wprawdzie przedmiot wzbogacenia, lecz w ten sposób zaoszczędził sobie wydatku, który w przeciwnym razie zmuszony byłby pokryć ze swojego majątku. Uznać wówczas należy, że wzbogacenie istnieje wtedy nadal w wysokości odpowiadającej wartości owego uniknionego wydatku</w:t>
      </w:r>
      <w:r w:rsidRPr="00FA0162">
        <w:rPr>
          <w:rFonts w:ascii="Times New Roman" w:eastAsia="Calibri" w:hAnsi="Times New Roman" w:cs="Times New Roman"/>
          <w:vertAlign w:val="superscript"/>
          <w:lang w:val="en-GB"/>
        </w:rPr>
        <w:footnoteReference w:id="5"/>
      </w:r>
      <w:r w:rsidRPr="00FA0162">
        <w:rPr>
          <w:rFonts w:ascii="Times New Roman" w:eastAsia="Calibri" w:hAnsi="Times New Roman" w:cs="Times New Roman"/>
        </w:rPr>
        <w:t xml:space="preserve">. </w:t>
      </w:r>
      <w:bookmarkEnd w:id="17"/>
    </w:p>
    <w:p w14:paraId="61E533E4" w14:textId="77777777" w:rsidR="00D20DDD" w:rsidRPr="00FA0162" w:rsidRDefault="00D20DDD" w:rsidP="00D20DDD">
      <w:pPr>
        <w:spacing w:after="0" w:line="259" w:lineRule="auto"/>
        <w:jc w:val="both"/>
        <w:rPr>
          <w:rFonts w:ascii="Times New Roman" w:eastAsia="Calibri" w:hAnsi="Times New Roman" w:cs="Times New Roman"/>
        </w:rPr>
      </w:pPr>
    </w:p>
    <w:p w14:paraId="3104A392" w14:textId="77777777" w:rsidR="00D20DDD" w:rsidRPr="00FA0162" w:rsidRDefault="00D20DDD" w:rsidP="00D20DDD">
      <w:pPr>
        <w:spacing w:after="0" w:line="259" w:lineRule="auto"/>
        <w:jc w:val="both"/>
        <w:rPr>
          <w:rFonts w:ascii="Times New Roman" w:eastAsia="Calibri" w:hAnsi="Times New Roman" w:cs="Times New Roman"/>
          <w:b/>
          <w:bCs/>
        </w:rPr>
      </w:pPr>
      <w:r w:rsidRPr="00FA0162">
        <w:rPr>
          <w:rFonts w:ascii="Times New Roman" w:eastAsia="Calibri" w:hAnsi="Times New Roman" w:cs="Times New Roman"/>
        </w:rPr>
        <w:t xml:space="preserve">Powyższe rozważania, dotyczą sankcji dalej idącej, jaką jest stwierdzenie nieważności, jednak pozostaną aktualne także w przypadku obowiązku dokonania zwrotu świadczeń na podstawie sankcji bezskuteczności zawieszonej (prowadzącej w ostatecznym efekcie do unieważnienia czynności). W każdym przypadku celem roszczenia o wydanie bezpodstawnego wzbogacenia pozostanie bowiem przywrócenie równowagi zachwianej nieuzasadnionym przejściem pewnej wartości z jednego majątku do drugiego. Konieczne pozostanie również ustalenie wartości przysporzenia w ujęciu ekonomicznym, w celu zapewnienia zachowania tej równowagi. Skoro nawet świadczenia ze stosunku </w:t>
      </w:r>
      <w:r w:rsidRPr="00FA0162">
        <w:rPr>
          <w:rFonts w:ascii="Times New Roman" w:eastAsia="Calibri" w:hAnsi="Times New Roman" w:cs="Times New Roman"/>
        </w:rPr>
        <w:lastRenderedPageBreak/>
        <w:t xml:space="preserve">zobowiązaniowego o charakterze ciągłym, zwracane na podstawie orzeczenia deklaratoryjnego mogą w praktyce przybrać inny kształt niż pierwotnie dokonane przysporzenia, </w:t>
      </w:r>
      <w:r w:rsidRPr="00FA0162">
        <w:rPr>
          <w:rFonts w:ascii="Times New Roman" w:eastAsia="Calibri" w:hAnsi="Times New Roman" w:cs="Times New Roman"/>
          <w:i/>
          <w:iCs/>
        </w:rPr>
        <w:t xml:space="preserve">a maiori ad minus </w:t>
      </w:r>
      <w:r w:rsidRPr="00FA0162">
        <w:rPr>
          <w:rFonts w:ascii="Times New Roman" w:eastAsia="Calibri" w:hAnsi="Times New Roman" w:cs="Times New Roman"/>
        </w:rPr>
        <w:t xml:space="preserve">tym bardziej zasadne jest orzeczenie ekonomicznego ekwiwalentu świadczenia, kiedy doszło do późniejszego zakończenia stosunku prawnego w sposób nienaruszający równowagi stron. </w:t>
      </w:r>
      <w:r w:rsidRPr="00FA0162">
        <w:rPr>
          <w:rFonts w:ascii="Times New Roman" w:eastAsia="Calibri" w:hAnsi="Times New Roman" w:cs="Times New Roman"/>
          <w:b/>
          <w:bCs/>
        </w:rPr>
        <w:t>W tym przypadku to nie rodzaj sankcji, a charakter stosunku zobowiązaniowego jest wyznacznikiem skutków prawnych i zakresu roszczeń, przysługujących w przypadku konieczności dokonania rozliczeń wskutek upadku umowy kredytu.</w:t>
      </w:r>
    </w:p>
    <w:p w14:paraId="0A0E8943" w14:textId="77777777" w:rsidR="00D20DDD" w:rsidRPr="00FA0162" w:rsidRDefault="00D20DDD" w:rsidP="00D20DDD">
      <w:pPr>
        <w:spacing w:after="0" w:line="259" w:lineRule="auto"/>
        <w:jc w:val="both"/>
        <w:rPr>
          <w:rFonts w:ascii="Times New Roman" w:eastAsia="Times New Roman" w:hAnsi="Times New Roman" w:cs="Times New Roman"/>
        </w:rPr>
      </w:pPr>
    </w:p>
    <w:p w14:paraId="4FE31B05" w14:textId="19C29C08" w:rsidR="00D20DDD" w:rsidRPr="00FA0162" w:rsidRDefault="00D20DDD" w:rsidP="004A14B2">
      <w:pPr>
        <w:spacing w:after="0" w:line="259" w:lineRule="auto"/>
        <w:jc w:val="both"/>
        <w:rPr>
          <w:rFonts w:ascii="Times New Roman" w:eastAsia="Times New Roman" w:hAnsi="Times New Roman" w:cs="Times New Roman"/>
        </w:rPr>
      </w:pPr>
      <w:r w:rsidRPr="00FA0162">
        <w:rPr>
          <w:rFonts w:ascii="Times New Roman" w:eastAsia="Times New Roman" w:hAnsi="Times New Roman" w:cs="Times New Roman"/>
        </w:rPr>
        <w:t>Warto przy tym zaznaczyć, że celem roszczenia o wydanie bezpodstawnego wzbogacenia jest przywrócenie równowagi zachwianej nieuzasadnionym przejściem jakiejś wartości z jednego majątku do drugiego</w:t>
      </w:r>
      <w:r w:rsidRPr="00FA0162">
        <w:rPr>
          <w:rFonts w:ascii="Times New Roman" w:eastAsia="Times New Roman" w:hAnsi="Times New Roman" w:cs="Times New Roman"/>
          <w:vertAlign w:val="superscript"/>
          <w:lang w:val="en-GB"/>
        </w:rPr>
        <w:footnoteReference w:id="6"/>
      </w:r>
      <w:r w:rsidRPr="00FA0162">
        <w:rPr>
          <w:rFonts w:ascii="Times New Roman" w:eastAsia="Times New Roman" w:hAnsi="Times New Roman" w:cs="Times New Roman"/>
        </w:rPr>
        <w:t>. W orzecznictwie wskazano w tym względzie, że ekwiwalentność świadczeń winna istnieć na dzień dokonania zwrotu, gdyż w przeciwnym razie doszłoby do niesłusznego wzbogacenia jednej ze stron</w:t>
      </w:r>
      <w:r w:rsidRPr="00FA0162">
        <w:rPr>
          <w:rFonts w:ascii="Times New Roman" w:eastAsia="Times New Roman" w:hAnsi="Times New Roman" w:cs="Times New Roman"/>
          <w:vertAlign w:val="superscript"/>
          <w:lang w:val="en-GB"/>
        </w:rPr>
        <w:footnoteReference w:id="7"/>
      </w:r>
      <w:r w:rsidRPr="00FA0162">
        <w:rPr>
          <w:rFonts w:ascii="Times New Roman" w:eastAsia="Times New Roman" w:hAnsi="Times New Roman" w:cs="Times New Roman"/>
        </w:rPr>
        <w:t xml:space="preserve">. </w:t>
      </w:r>
    </w:p>
    <w:p w14:paraId="0313FF39" w14:textId="77777777" w:rsidR="00D20DDD" w:rsidRPr="00FA0162" w:rsidRDefault="00D20DDD" w:rsidP="00D20DDD">
      <w:pPr>
        <w:tabs>
          <w:tab w:val="left" w:pos="567"/>
        </w:tabs>
        <w:spacing w:after="0" w:line="259" w:lineRule="auto"/>
        <w:contextualSpacing/>
        <w:jc w:val="both"/>
        <w:rPr>
          <w:rFonts w:ascii="Times New Roman" w:eastAsia="Times New Roman" w:hAnsi="Times New Roman" w:cs="Times New Roman"/>
        </w:rPr>
      </w:pPr>
    </w:p>
    <w:p w14:paraId="62DD1657" w14:textId="1A9C93B3" w:rsidR="00E2467B" w:rsidRPr="00FA0162" w:rsidRDefault="00E2467B" w:rsidP="00E2467B">
      <w:pPr>
        <w:pStyle w:val="Akapitzlist"/>
        <w:numPr>
          <w:ilvl w:val="0"/>
          <w:numId w:val="33"/>
        </w:numPr>
        <w:spacing w:after="0" w:line="240" w:lineRule="auto"/>
        <w:jc w:val="both"/>
        <w:rPr>
          <w:rFonts w:ascii="Times New Roman" w:eastAsia="Calibri" w:hAnsi="Times New Roman" w:cs="Times New Roman"/>
          <w:b/>
          <w:bCs/>
        </w:rPr>
      </w:pPr>
      <w:r w:rsidRPr="00FA0162">
        <w:rPr>
          <w:rFonts w:ascii="Times New Roman" w:eastAsia="Calibri" w:hAnsi="Times New Roman" w:cs="Times New Roman"/>
          <w:b/>
          <w:bCs/>
        </w:rPr>
        <w:t>Uchybienia w zakresie swobodnej oceny dowodów – zarzut naruszenia art. 233 § 1 k.p.c. w zw. z art. 227 k.p.c.</w:t>
      </w:r>
    </w:p>
    <w:p w14:paraId="56AEFF0A" w14:textId="77777777" w:rsidR="00E2467B" w:rsidRPr="00FA0162" w:rsidRDefault="00E2467B" w:rsidP="00E2467B">
      <w:pPr>
        <w:spacing w:after="0" w:line="240" w:lineRule="auto"/>
        <w:jc w:val="both"/>
        <w:rPr>
          <w:rFonts w:ascii="Times New Roman" w:eastAsia="Calibri" w:hAnsi="Times New Roman" w:cs="Times New Roman"/>
        </w:rPr>
      </w:pPr>
    </w:p>
    <w:p w14:paraId="127B1101"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r w:rsidRPr="00FA0162">
        <w:rPr>
          <w:rFonts w:ascii="Times New Roman" w:eastAsia="Calibri" w:hAnsi="Times New Roman" w:cs="Times New Roman"/>
        </w:rPr>
        <w:t xml:space="preserve">Wyrażona w art. 233 § 1 k.p.c. zasada swobodnej oceny dowodów w postępowaniu cywilnym pozwala sądowi orzekającemu na podstawie całego materiału zgromadzonego w sprawie wysnuć wnioski o prawdziwości faktów, spośród kilku równorzędnych dowodów tylko niektóre uznać za przekonujące, przyznać dowodom pośrednim taką moc dowodową jak dowodom bezpośrednim oraz wysnuć z zebranego materiału procesowego i wyników postępowania dowodowego wnioski, jakich żadna ze stron nie wysnuła. </w:t>
      </w:r>
    </w:p>
    <w:p w14:paraId="16481C32"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p>
    <w:p w14:paraId="676E72EB"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r w:rsidRPr="00FA0162">
        <w:rPr>
          <w:rFonts w:ascii="Times New Roman" w:eastAsia="Calibri" w:hAnsi="Times New Roman" w:cs="Times New Roman"/>
        </w:rPr>
        <w:t>Nie oznacza to jednak, że sąd w sposób dowolny może uznać dany dowód za prawdziwy. Ramy swobodnej oceny dowodów wyznaczone są wymaganiami prawa procesowego, doświadczenia życiowego oraz regułami logicznego myślenia, według których sąd w sposób bezstronny, racjonalny i wszechstronny rozważa materiał dowodowy jako całość, dokonuje wyboru określonych środków dowodowych i, ważąc ich moc oraz wiarygodność, odnosi je do pozostałego materiału dowodowego</w:t>
      </w:r>
      <w:r w:rsidRPr="00FA0162">
        <w:rPr>
          <w:rFonts w:ascii="Times New Roman" w:eastAsia="Calibri" w:hAnsi="Times New Roman" w:cs="Times New Roman"/>
          <w:vertAlign w:val="superscript"/>
        </w:rPr>
        <w:footnoteReference w:id="8"/>
      </w:r>
      <w:r w:rsidRPr="00FA0162">
        <w:rPr>
          <w:rFonts w:ascii="Times New Roman" w:eastAsia="Calibri" w:hAnsi="Times New Roman" w:cs="Times New Roman"/>
        </w:rPr>
        <w:t xml:space="preserve">. </w:t>
      </w:r>
    </w:p>
    <w:p w14:paraId="133B8986" w14:textId="77777777" w:rsidR="00E2467B" w:rsidRPr="00FA0162" w:rsidRDefault="00E2467B" w:rsidP="00E2467B">
      <w:pPr>
        <w:tabs>
          <w:tab w:val="left" w:pos="567"/>
        </w:tabs>
        <w:spacing w:after="0" w:line="240" w:lineRule="auto"/>
        <w:jc w:val="both"/>
        <w:rPr>
          <w:rFonts w:ascii="Times New Roman" w:eastAsia="Calibri" w:hAnsi="Times New Roman" w:cs="Times New Roman"/>
        </w:rPr>
      </w:pPr>
    </w:p>
    <w:p w14:paraId="6E179F96" w14:textId="77777777" w:rsidR="00E2467B" w:rsidRPr="00FA0162" w:rsidRDefault="00E2467B" w:rsidP="00E2467B">
      <w:pPr>
        <w:tabs>
          <w:tab w:val="left" w:pos="567"/>
        </w:tabs>
        <w:spacing w:after="0" w:line="240" w:lineRule="auto"/>
        <w:jc w:val="both"/>
        <w:rPr>
          <w:rFonts w:ascii="Times New Roman" w:eastAsia="Calibri" w:hAnsi="Times New Roman" w:cs="Times New Roman"/>
          <w:b/>
          <w:bCs/>
        </w:rPr>
      </w:pPr>
      <w:r w:rsidRPr="00FA0162">
        <w:rPr>
          <w:rFonts w:ascii="Times New Roman" w:eastAsia="Calibri" w:hAnsi="Times New Roman" w:cs="Times New Roman"/>
          <w:b/>
          <w:bCs/>
        </w:rPr>
        <w:t>Na tle ustaleń dokonanych przez Sąd Okręgowy strona powodowa w pierwszej kolejności zarzuca brak wszechstronnej oceny materiału dowodowego, ewentualnie ocenę dokonaną z rażącym naruszeniem zasad logiki.</w:t>
      </w:r>
    </w:p>
    <w:p w14:paraId="1B522964" w14:textId="77777777" w:rsidR="00E2467B" w:rsidRPr="00FA0162" w:rsidRDefault="00E2467B" w:rsidP="00E2467B">
      <w:pPr>
        <w:tabs>
          <w:tab w:val="left" w:pos="567"/>
        </w:tabs>
        <w:spacing w:after="0" w:line="240" w:lineRule="auto"/>
        <w:jc w:val="both"/>
        <w:rPr>
          <w:rFonts w:ascii="Times New Roman" w:eastAsia="Calibri" w:hAnsi="Times New Roman" w:cs="Times New Roman"/>
          <w:b/>
          <w:bCs/>
        </w:rPr>
      </w:pPr>
    </w:p>
    <w:p w14:paraId="3A0AAA62" w14:textId="77777777" w:rsidR="00E2467B" w:rsidRPr="00FA0162" w:rsidRDefault="00E2467B" w:rsidP="00E2467B">
      <w:pPr>
        <w:tabs>
          <w:tab w:val="left" w:pos="567"/>
        </w:tabs>
        <w:spacing w:after="0" w:line="240" w:lineRule="auto"/>
        <w:jc w:val="both"/>
        <w:rPr>
          <w:rFonts w:ascii="Times New Roman" w:eastAsia="Calibri" w:hAnsi="Times New Roman" w:cs="Times New Roman"/>
          <w:lang w:eastAsia="pl-PL"/>
        </w:rPr>
      </w:pPr>
      <w:r w:rsidRPr="00FA0162">
        <w:rPr>
          <w:rFonts w:ascii="Times New Roman" w:eastAsia="Calibri" w:hAnsi="Times New Roman" w:cs="Times New Roman"/>
        </w:rPr>
        <w:t xml:space="preserve">Powyższe należy w pierwszej kolejności odnieść do wywodu ze strony 8 uzasadnienia zaskarżonego wyroku, w której Sąd Okręgowy wskazał, że nie można z treści pozwu wywnioskować czy kapitał kredytu był udostępniony jednorazowo, a także w jakiej dacie i ilości miała miejsce wypłata transz. </w:t>
      </w:r>
    </w:p>
    <w:p w14:paraId="46374F43"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52E89920"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Należy zaznaczyć, że fakty rzekomo niewykazane przez stronę powodową były objęte wnioskami dowodowymi. Istotą niniejszego postępowania jest przede wszystkim twierdzenie powoda, że w związku z wykonaną przez niego usługą przysługuje mu roszczenie w wysokości 280 500,21 zł. Na poparcie tak skonstruowanego roszczenia powód przedstawił szereg twierdzeń i dokumentów. Przede wszystkim wskazał, że przekazał pozwanemu łączną kwotę 452 052,99 zł w 4 transzach Powód zaoferował również materiał dokumentowy w postaci dyspozycji wypłaty (załącznik nr 7) oraz zaświadczenia bankowego (załącznik nr 9), w których wyraźnie wskazano datę i wysokość poszczególnych transz kredytu. W przypadku wszechstronnej oceny materiału dowodowego Sąd Okręgowy nie powinien przedstawiać zarzutów zakresie uchybień powoda na tym tle.</w:t>
      </w:r>
    </w:p>
    <w:p w14:paraId="40474E05"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0A88F727"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lastRenderedPageBreak/>
        <w:t>Tak samo Sąd Okręgowy błędnie wskazuje, że z materiału zaoferowanego przez powoda nie wynika wysokość marż obowiązujących w okresie relatywnym dla sporu. Zarówno te wartości, jak i indeksu WIBOR 3M zostały ujęte w kalkulacji roszczenia, która stanowi dozwolony środek dowodowy. Sąd Okręgowy również w odniesieniu do tej części materiału naruszył dyrektywę wszechstronnego rozważenia wszystkich okoliczności sprawy.</w:t>
      </w:r>
    </w:p>
    <w:p w14:paraId="437E44C5"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5E211CD8" w14:textId="77777777" w:rsidR="00E2467B" w:rsidRPr="00FA0162" w:rsidRDefault="00E2467B" w:rsidP="00E2467B">
      <w:pPr>
        <w:spacing w:after="0" w:line="240" w:lineRule="auto"/>
        <w:jc w:val="both"/>
        <w:rPr>
          <w:rFonts w:ascii="Times New Roman" w:eastAsia="Calibri" w:hAnsi="Times New Roman" w:cs="Times New Roman"/>
          <w:b/>
          <w:lang w:eastAsia="pl-PL"/>
        </w:rPr>
      </w:pPr>
      <w:r w:rsidRPr="00FA0162">
        <w:rPr>
          <w:rFonts w:ascii="Times New Roman" w:eastAsia="Calibri" w:hAnsi="Times New Roman" w:cs="Times New Roman"/>
          <w:b/>
          <w:lang w:eastAsia="pl-PL"/>
        </w:rPr>
        <w:t>W dalszej części uzasadnienia Sąd Okręgowy przedstawił wywód, który stanowi uchybienie zasadom logiki. Sąd Okręgowy wskazuje na problematykę uwzględnienia faktu potrącenia i rozliczenia pomiędzy stronami dla oceny wysokości roszczenia. Jakkolwiek Sąd Okręgowy sam wskazuje, że nie wie czy te fakty zostały przez powoda uwzględnione czy nie, to pomimo tej niewiedzy wyprowadza wniosek o nieprawidłowości wyliczenia i niewykazaniu wysokości roszczenia.</w:t>
      </w:r>
    </w:p>
    <w:p w14:paraId="375C7E29"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7260AFC0"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Należy zaznaczyć, że w przypadku gdyby Sąd Okręgowy dokonał rzetelnej oceny kalkulacji przedstawionej przez powoda, doszedłby przede wszystkim do wniosku, że strona powodowa domaga się wynagrodzenia za korzystanie z kapitału za okres od 30 września 2008 roku (uruchomienie pierwszej transzy kredytu) do dnia 18 października 2021 roku (data wyroku Sądu Apelacyjnego w Warszawie). </w:t>
      </w:r>
    </w:p>
    <w:p w14:paraId="0243562F"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6C4DFF3F"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
          <w:lang w:eastAsia="pl-PL"/>
        </w:rPr>
        <w:t>Sąd Okręgowy poczynił ustalenia faktyczne w odniesieniu do faktów, które miały miejsce po 18 października 2021 roku tj. odnośnie faktu dokonywania pomiędzy stronami potrąceń i rozliczeń wzajemnych roszczeń. Należy zaznaczyć, że skoro wspomniane zdarzenia miały miejsce po 18 października 2021 roku to nie miały miejsca w okresie objętym żądaniem pozwu.</w:t>
      </w:r>
      <w:r w:rsidRPr="00FA0162">
        <w:rPr>
          <w:rFonts w:ascii="Times New Roman" w:eastAsia="Calibri" w:hAnsi="Times New Roman" w:cs="Times New Roman"/>
          <w:bCs/>
          <w:lang w:eastAsia="pl-PL"/>
        </w:rPr>
        <w:t xml:space="preserve"> </w:t>
      </w:r>
      <w:r w:rsidRPr="00FA0162">
        <w:rPr>
          <w:rFonts w:ascii="Times New Roman" w:eastAsia="Calibri" w:hAnsi="Times New Roman" w:cs="Times New Roman"/>
          <w:bCs/>
          <w:u w:val="single"/>
          <w:lang w:eastAsia="pl-PL"/>
        </w:rPr>
        <w:t>Zarzuty Sądu Okręgowego na tle wątpliwości czy fakt potrącenia i rozliczenia był uwzględniony przez powoda jest zatem irracjonalny mając na uwadze, że przy ocenie danego okresu logicznym jest pominięcie zdarzeń, które miały miejsce w okresie późniejszym, albowiem nie wywierają one efektu wstecznego.</w:t>
      </w:r>
      <w:r w:rsidRPr="00FA0162">
        <w:rPr>
          <w:rFonts w:ascii="Times New Roman" w:eastAsia="Calibri" w:hAnsi="Times New Roman" w:cs="Times New Roman"/>
          <w:bCs/>
          <w:lang w:eastAsia="pl-PL"/>
        </w:rPr>
        <w:t xml:space="preserve"> Wbrew twierdzeniu Sądu Okręgowego strona powodowa przedstawiła w sposób wyraźny w ramach materiału dowodowego za jaki okres domaga się swojego roszczenia. Dla oceny wspomnianego okresu, który zamyka się na październiku 2021 roku nie mogą być zatem miarodajne fakty rzekomo błędnie pominięte, a które miały miejsce w okresie późniejszym.</w:t>
      </w:r>
    </w:p>
    <w:p w14:paraId="0745FA3F" w14:textId="77777777" w:rsidR="00E2467B" w:rsidRPr="00FA0162" w:rsidRDefault="00E2467B" w:rsidP="00E2467B">
      <w:pPr>
        <w:spacing w:after="0" w:line="240" w:lineRule="auto"/>
        <w:jc w:val="both"/>
        <w:rPr>
          <w:rFonts w:ascii="Times New Roman" w:eastAsia="Calibri" w:hAnsi="Times New Roman" w:cs="Times New Roman"/>
          <w:bCs/>
          <w:lang w:eastAsia="pl-PL"/>
        </w:rPr>
      </w:pPr>
    </w:p>
    <w:p w14:paraId="229DEBBA" w14:textId="77777777" w:rsidR="00E2467B" w:rsidRPr="00FA0162" w:rsidRDefault="00E2467B" w:rsidP="00E2467B">
      <w:pPr>
        <w:spacing w:after="0" w:line="240" w:lineRule="auto"/>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W podsumowaniu należy zatem wskazać, że pomimo posiadania przez Sąd Okręgowy materiału, z którego było możliwe wyciągnięcie w drodze logiki istotnych faktów dla sprawy doszło do uchybień na tym tle. Konsekwencje wspomnianych uchybień skutkowały po pierwsze pominięciem dowodu z opinii biegłego wobec uznania niedostatecznej podstawy faktycznej. </w:t>
      </w:r>
      <w:r w:rsidRPr="00FA0162">
        <w:rPr>
          <w:rFonts w:ascii="Times New Roman" w:eastAsia="Calibri" w:hAnsi="Times New Roman" w:cs="Times New Roman"/>
          <w:b/>
          <w:lang w:eastAsia="pl-PL"/>
        </w:rPr>
        <w:t>Przede wszystkim prowadziły jednak do oddalenia powództwa, obejmującego roszczenie, którego wysokość mogła być ustalona jedynie w oparciu o kalkulację załączoną do pozwu, a której rzetelnej oceny Sądy Okręgowy po prostu zaniechał.</w:t>
      </w:r>
    </w:p>
    <w:p w14:paraId="635BA7BC"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58F87C89"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415A9CC9" w14:textId="77777777" w:rsidR="00E2467B" w:rsidRPr="00FA0162" w:rsidRDefault="00E2467B" w:rsidP="00D20DDD">
      <w:pPr>
        <w:tabs>
          <w:tab w:val="left" w:pos="567"/>
        </w:tabs>
        <w:spacing w:after="0" w:line="259" w:lineRule="auto"/>
        <w:contextualSpacing/>
        <w:jc w:val="both"/>
        <w:rPr>
          <w:rFonts w:ascii="Times New Roman" w:eastAsia="Calibri" w:hAnsi="Times New Roman" w:cs="Times New Roman"/>
          <w:bCs/>
          <w:lang w:eastAsia="pl-PL"/>
        </w:rPr>
      </w:pPr>
    </w:p>
    <w:p w14:paraId="050FFB1E" w14:textId="160E8E6C" w:rsidR="00D20DDD" w:rsidRPr="00FA0162" w:rsidRDefault="00D20DDD" w:rsidP="004A14B2">
      <w:pPr>
        <w:tabs>
          <w:tab w:val="left" w:pos="567"/>
        </w:tabs>
        <w:spacing w:after="0" w:line="259" w:lineRule="auto"/>
        <w:contextualSpacing/>
        <w:jc w:val="both"/>
        <w:rPr>
          <w:rFonts w:ascii="Times New Roman" w:eastAsia="Calibri" w:hAnsi="Times New Roman" w:cs="Times New Roman"/>
          <w:bCs/>
          <w:lang w:eastAsia="pl-PL"/>
        </w:rPr>
      </w:pPr>
      <w:r w:rsidRPr="00FA0162">
        <w:rPr>
          <w:rFonts w:ascii="Times New Roman" w:eastAsia="Calibri" w:hAnsi="Times New Roman" w:cs="Times New Roman"/>
          <w:bCs/>
          <w:lang w:eastAsia="pl-PL"/>
        </w:rPr>
        <w:t xml:space="preserve">Mając to wszystko na względzie wnoszę i wywodzę jak w </w:t>
      </w:r>
      <w:r w:rsidRPr="00FA0162">
        <w:rPr>
          <w:rFonts w:ascii="Times New Roman" w:eastAsia="Calibri" w:hAnsi="Times New Roman" w:cs="Times New Roman"/>
          <w:bCs/>
          <w:i/>
          <w:iCs/>
          <w:lang w:eastAsia="pl-PL"/>
        </w:rPr>
        <w:t>petitum</w:t>
      </w:r>
      <w:r w:rsidRPr="00FA0162">
        <w:rPr>
          <w:rFonts w:ascii="Times New Roman" w:eastAsia="Calibri" w:hAnsi="Times New Roman" w:cs="Times New Roman"/>
          <w:bCs/>
          <w:lang w:eastAsia="pl-PL"/>
        </w:rPr>
        <w:t xml:space="preserve"> apelacji.</w:t>
      </w:r>
    </w:p>
    <w:p w14:paraId="792FFE4C" w14:textId="77777777" w:rsidR="00D20DDD" w:rsidRPr="00FA0162" w:rsidRDefault="00D20DDD" w:rsidP="00D20DDD">
      <w:pPr>
        <w:spacing w:after="0" w:line="259" w:lineRule="auto"/>
        <w:jc w:val="both"/>
        <w:rPr>
          <w:rFonts w:ascii="Times New Roman" w:eastAsia="Calibri" w:hAnsi="Times New Roman" w:cs="Times New Roman"/>
          <w:i/>
        </w:rPr>
      </w:pPr>
    </w:p>
    <w:p w14:paraId="41EA4C74" w14:textId="77777777" w:rsidR="00D20DDD" w:rsidRPr="00FA0162" w:rsidRDefault="00D20DDD" w:rsidP="00D20DDD">
      <w:pPr>
        <w:spacing w:after="0" w:line="259" w:lineRule="auto"/>
        <w:rPr>
          <w:rFonts w:ascii="Times New Roman" w:eastAsia="Calibri" w:hAnsi="Times New Roman" w:cs="Times New Roman"/>
          <w:b/>
          <w:bCs/>
        </w:rPr>
      </w:pPr>
    </w:p>
    <w:p w14:paraId="5483CD90" w14:textId="77777777" w:rsidR="00D20DDD" w:rsidRPr="00FA0162" w:rsidRDefault="00D20DDD" w:rsidP="00D20DDD">
      <w:pPr>
        <w:spacing w:after="0" w:line="259" w:lineRule="auto"/>
        <w:rPr>
          <w:rFonts w:ascii="Times New Roman" w:eastAsia="Calibri" w:hAnsi="Times New Roman" w:cs="Times New Roman"/>
          <w:b/>
          <w:bCs/>
        </w:rPr>
      </w:pPr>
    </w:p>
    <w:p w14:paraId="5F71FBD5" w14:textId="77777777" w:rsidR="00D20DDD" w:rsidRPr="00FA0162" w:rsidRDefault="00D20DDD" w:rsidP="00D20DDD">
      <w:pPr>
        <w:spacing w:after="0" w:line="259" w:lineRule="auto"/>
        <w:rPr>
          <w:rFonts w:ascii="Times New Roman" w:eastAsia="Calibri" w:hAnsi="Times New Roman" w:cs="Times New Roman"/>
        </w:rPr>
      </w:pPr>
      <w:r w:rsidRPr="00FA0162">
        <w:rPr>
          <w:rFonts w:ascii="Times New Roman" w:eastAsia="Calibri" w:hAnsi="Times New Roman" w:cs="Times New Roman"/>
          <w:b/>
          <w:bCs/>
        </w:rPr>
        <w:t xml:space="preserve">Załączniki: </w:t>
      </w:r>
    </w:p>
    <w:p w14:paraId="32D6F126" w14:textId="77777777" w:rsidR="00D20DDD" w:rsidRPr="00FA0162" w:rsidRDefault="00D20DDD" w:rsidP="00D20DDD">
      <w:pPr>
        <w:spacing w:after="0" w:line="259" w:lineRule="auto"/>
        <w:rPr>
          <w:rFonts w:ascii="Times New Roman" w:eastAsia="Times New Roman" w:hAnsi="Times New Roman" w:cs="Times New Roman"/>
        </w:rPr>
      </w:pPr>
      <w:r w:rsidRPr="00FA0162">
        <w:rPr>
          <w:rFonts w:ascii="Times New Roman" w:eastAsia="Times New Roman" w:hAnsi="Times New Roman" w:cs="Times New Roman"/>
        </w:rPr>
        <w:t>- potwierdzenie uiszczenia opłaty od apelacji,</w:t>
      </w:r>
    </w:p>
    <w:p w14:paraId="7AEDFF51" w14:textId="738BDA08" w:rsidR="00D20DDD" w:rsidRPr="00FA0162" w:rsidRDefault="00D20DDD" w:rsidP="00D20DDD">
      <w:pPr>
        <w:spacing w:after="0" w:line="259" w:lineRule="auto"/>
        <w:rPr>
          <w:rFonts w:ascii="Times New Roman" w:eastAsia="Times New Roman" w:hAnsi="Times New Roman" w:cs="Times New Roman"/>
        </w:rPr>
      </w:pPr>
      <w:r w:rsidRPr="00FA0162">
        <w:rPr>
          <w:rFonts w:ascii="Times New Roman" w:eastAsia="Times New Roman" w:hAnsi="Times New Roman" w:cs="Times New Roman"/>
          <w:highlight w:val="yellow"/>
        </w:rPr>
        <w:t>- odpis apelacji</w:t>
      </w:r>
      <w:r w:rsidR="001A6871" w:rsidRPr="00FA0162">
        <w:rPr>
          <w:rFonts w:ascii="Times New Roman" w:eastAsia="Times New Roman" w:hAnsi="Times New Roman" w:cs="Times New Roman"/>
        </w:rPr>
        <w:t>.</w:t>
      </w:r>
    </w:p>
    <w:p w14:paraId="455CACF7" w14:textId="77777777" w:rsidR="0034579D" w:rsidRPr="00FA0162" w:rsidRDefault="0034579D" w:rsidP="002C6655">
      <w:pPr>
        <w:spacing w:after="0"/>
        <w:rPr>
          <w:rFonts w:ascii="Times New Roman" w:hAnsi="Times New Roman" w:cs="Times New Roman"/>
        </w:rPr>
      </w:pPr>
    </w:p>
    <w:sectPr w:rsidR="0034579D" w:rsidRPr="00FA0162" w:rsidSect="00AF4C66">
      <w:headerReference w:type="even" r:id="rId8"/>
      <w:headerReference w:type="default" r:id="rId9"/>
      <w:footerReference w:type="default" r:id="rId10"/>
      <w:headerReference w:type="first" r:id="rId11"/>
      <w:footerReference w:type="first" r:id="rId12"/>
      <w:pgSz w:w="11906" w:h="16838"/>
      <w:pgMar w:top="1417" w:right="1417" w:bottom="1417" w:left="1417" w:header="284" w:footer="1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42B90" w14:textId="77777777" w:rsidR="00B90C17" w:rsidRDefault="00B90C17">
      <w:pPr>
        <w:spacing w:after="0" w:line="240" w:lineRule="auto"/>
      </w:pPr>
      <w:r>
        <w:separator/>
      </w:r>
    </w:p>
  </w:endnote>
  <w:endnote w:type="continuationSeparator" w:id="0">
    <w:p w14:paraId="2D309395" w14:textId="77777777" w:rsidR="00B90C17" w:rsidRDefault="00B90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Candara">
    <w:panose1 w:val="020E0502030303020204"/>
    <w:charset w:val="EE"/>
    <w:family w:val="swiss"/>
    <w:pitch w:val="variable"/>
    <w:sig w:usb0="A00002EF" w:usb1="4000A44B" w:usb2="00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516055" w14:textId="77777777" w:rsidR="004570A6" w:rsidRPr="001A3EB6" w:rsidRDefault="00396F53" w:rsidP="00AF7697">
    <w:pPr>
      <w:pStyle w:val="Stopka"/>
      <w:jc w:val="right"/>
      <w:rPr>
        <w:color w:val="000000"/>
      </w:rPr>
    </w:pPr>
    <w:r w:rsidRPr="001A3EB6">
      <w:rPr>
        <w:color w:val="000000"/>
      </w:rPr>
      <w:t xml:space="preserve">Strona </w:t>
    </w:r>
    <w:r w:rsidRPr="001A3EB6">
      <w:rPr>
        <w:color w:val="000000"/>
      </w:rPr>
      <w:fldChar w:fldCharType="begin"/>
    </w:r>
    <w:r w:rsidRPr="001A3EB6">
      <w:rPr>
        <w:color w:val="000000"/>
      </w:rPr>
      <w:instrText>PAGE  \* Arabic  \* MERGEFORMAT</w:instrText>
    </w:r>
    <w:r w:rsidRPr="001A3EB6">
      <w:rPr>
        <w:color w:val="000000"/>
      </w:rPr>
      <w:fldChar w:fldCharType="separate"/>
    </w:r>
    <w:r>
      <w:rPr>
        <w:noProof/>
        <w:color w:val="000000"/>
      </w:rPr>
      <w:t>67</w:t>
    </w:r>
    <w:r w:rsidRPr="001A3EB6">
      <w:rPr>
        <w:color w:val="000000"/>
      </w:rPr>
      <w:fldChar w:fldCharType="end"/>
    </w:r>
    <w:r w:rsidRPr="001A3EB6">
      <w:rPr>
        <w:color w:val="000000"/>
      </w:rPr>
      <w:t xml:space="preserve"> z </w:t>
    </w:r>
    <w:r w:rsidRPr="001A3EB6">
      <w:rPr>
        <w:color w:val="000000"/>
      </w:rPr>
      <w:fldChar w:fldCharType="begin"/>
    </w:r>
    <w:r w:rsidRPr="001A3EB6">
      <w:rPr>
        <w:color w:val="000000"/>
      </w:rPr>
      <w:instrText>NUMPAGES \ * arabskie \ * MERGEFORMAT</w:instrText>
    </w:r>
    <w:r w:rsidRPr="001A3EB6">
      <w:rPr>
        <w:color w:val="000000"/>
      </w:rPr>
      <w:fldChar w:fldCharType="separate"/>
    </w:r>
    <w:r>
      <w:rPr>
        <w:noProof/>
        <w:color w:val="000000"/>
      </w:rPr>
      <w:t>67</w:t>
    </w:r>
    <w:r w:rsidRPr="001A3EB6">
      <w:rPr>
        <w:color w:val="000000"/>
      </w:rPr>
      <w:fldChar w:fldCharType="end"/>
    </w:r>
  </w:p>
  <w:p w14:paraId="5BE97511" w14:textId="77777777" w:rsidR="004570A6" w:rsidRPr="00B42392" w:rsidRDefault="004570A6" w:rsidP="00765214">
    <w:pPr>
      <w:pStyle w:val="Stopka"/>
      <w:rPr>
        <w:sz w:val="10"/>
        <w:szCs w:val="1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8973" w:type="dxa"/>
      <w:tblBorders>
        <w:insideH w:val="single" w:sz="12" w:space="0" w:color="C00000"/>
        <w:insideV w:val="single" w:sz="12" w:space="0" w:color="E60000"/>
      </w:tblBorders>
      <w:tblCellMar>
        <w:left w:w="115" w:type="dxa"/>
        <w:right w:w="115" w:type="dxa"/>
      </w:tblCellMar>
      <w:tblLook w:val="01E0" w:firstRow="1" w:lastRow="1" w:firstColumn="1" w:lastColumn="1" w:noHBand="0" w:noVBand="0"/>
    </w:tblPr>
    <w:tblGrid>
      <w:gridCol w:w="4521"/>
      <w:gridCol w:w="4452"/>
    </w:tblGrid>
    <w:tr w:rsidR="000A5C9E" w:rsidRPr="00AF7697" w14:paraId="425A48EA" w14:textId="77777777" w:rsidTr="00AD6D3D">
      <w:trPr>
        <w:trHeight w:val="568"/>
      </w:trPr>
      <w:tc>
        <w:tcPr>
          <w:tcW w:w="4521" w:type="dxa"/>
        </w:tcPr>
        <w:p w14:paraId="17F43D69" w14:textId="77777777" w:rsidR="004570A6" w:rsidRPr="00DD54D4" w:rsidRDefault="00396F53" w:rsidP="00A1443C">
          <w:pPr>
            <w:spacing w:after="0"/>
            <w:rPr>
              <w:rFonts w:ascii="Candara" w:hAnsi="Candara"/>
              <w:color w:val="404040"/>
              <w:sz w:val="10"/>
              <w:szCs w:val="10"/>
              <w:lang w:val="en-US"/>
            </w:rPr>
          </w:pPr>
          <w:r w:rsidRPr="00DD54D4">
            <w:rPr>
              <w:rFonts w:ascii="Candara" w:hAnsi="Candara"/>
              <w:color w:val="404040"/>
              <w:sz w:val="16"/>
              <w:szCs w:val="16"/>
              <w:lang w:val="en-US"/>
            </w:rPr>
            <w:t xml:space="preserve">                                                                           </w:t>
          </w:r>
        </w:p>
        <w:p w14:paraId="0FE49CD2" w14:textId="77777777" w:rsidR="004570A6" w:rsidRPr="00DD54D4" w:rsidRDefault="00396F53" w:rsidP="00A1443C">
          <w:pPr>
            <w:spacing w:after="0"/>
            <w:rPr>
              <w:rFonts w:ascii="Candara" w:hAnsi="Candara"/>
              <w:color w:val="404040"/>
              <w:sz w:val="16"/>
              <w:szCs w:val="16"/>
              <w:lang w:val="en-US"/>
            </w:rPr>
          </w:pPr>
          <w:r w:rsidRPr="00DD54D4">
            <w:rPr>
              <w:rFonts w:ascii="Candara" w:hAnsi="Candara"/>
              <w:color w:val="404040"/>
              <w:sz w:val="16"/>
              <w:szCs w:val="16"/>
              <w:lang w:val="en-US"/>
            </w:rPr>
            <w:t xml:space="preserve">                                                                   </w:t>
          </w:r>
        </w:p>
        <w:p w14:paraId="5060D631" w14:textId="77777777" w:rsidR="004570A6" w:rsidRPr="00DD54D4" w:rsidRDefault="00396F53" w:rsidP="00A1443C">
          <w:pPr>
            <w:spacing w:after="0"/>
            <w:jc w:val="right"/>
            <w:rPr>
              <w:rFonts w:ascii="Candara" w:hAnsi="Candara"/>
              <w:color w:val="404040"/>
              <w:sz w:val="16"/>
              <w:szCs w:val="16"/>
              <w:lang w:val="en-US"/>
            </w:rPr>
          </w:pPr>
          <w:r w:rsidRPr="00DD54D4">
            <w:rPr>
              <w:rFonts w:ascii="Candara" w:hAnsi="Candara"/>
              <w:color w:val="404040"/>
              <w:sz w:val="16"/>
              <w:szCs w:val="16"/>
              <w:lang w:val="en-US"/>
            </w:rPr>
            <w:t xml:space="preserve">                                                                                 tel. + 48 22 378 26 14</w:t>
          </w:r>
        </w:p>
        <w:p w14:paraId="2E05EE98" w14:textId="77777777" w:rsidR="004570A6" w:rsidRPr="00DD54D4" w:rsidRDefault="00396F53" w:rsidP="00A1443C">
          <w:pPr>
            <w:spacing w:after="0"/>
            <w:jc w:val="right"/>
            <w:rPr>
              <w:rFonts w:ascii="Candara" w:hAnsi="Candara"/>
              <w:color w:val="404040"/>
              <w:sz w:val="16"/>
              <w:szCs w:val="16"/>
              <w:lang w:val="en-US"/>
            </w:rPr>
          </w:pPr>
          <w:r w:rsidRPr="00DD54D4">
            <w:rPr>
              <w:rFonts w:ascii="Candara" w:hAnsi="Candara"/>
              <w:color w:val="404040"/>
              <w:sz w:val="16"/>
              <w:szCs w:val="16"/>
              <w:lang w:val="en-US"/>
            </w:rPr>
            <w:t xml:space="preserve">                                                                                 fax + 48 22 213 88 04</w:t>
          </w:r>
        </w:p>
        <w:p w14:paraId="349EFA10" w14:textId="77777777" w:rsidR="004570A6" w:rsidRPr="00AF7697" w:rsidRDefault="00396F53" w:rsidP="00A1443C">
          <w:pPr>
            <w:spacing w:after="0"/>
            <w:jc w:val="right"/>
            <w:rPr>
              <w:rFonts w:ascii="Candara" w:hAnsi="Candara"/>
              <w:color w:val="404040"/>
              <w:sz w:val="16"/>
              <w:szCs w:val="16"/>
              <w:lang w:val="en-US"/>
            </w:rPr>
          </w:pPr>
          <w:r w:rsidRPr="00AF7697">
            <w:rPr>
              <w:rFonts w:ascii="Candara" w:hAnsi="Candara"/>
              <w:color w:val="404040"/>
              <w:sz w:val="16"/>
              <w:szCs w:val="16"/>
              <w:lang w:val="en-US"/>
            </w:rPr>
            <w:t xml:space="preserve">                                                                     sekretariat@warp.com.pl</w:t>
          </w:r>
        </w:p>
        <w:p w14:paraId="51EBFE2B" w14:textId="77777777" w:rsidR="004570A6" w:rsidRPr="00DD54D4" w:rsidRDefault="00396F53" w:rsidP="00A1443C">
          <w:pPr>
            <w:spacing w:after="0"/>
            <w:jc w:val="right"/>
            <w:rPr>
              <w:rFonts w:ascii="Candara" w:hAnsi="Candara"/>
              <w:color w:val="404040"/>
              <w:sz w:val="16"/>
              <w:szCs w:val="16"/>
              <w:lang w:val="en-US"/>
            </w:rPr>
          </w:pPr>
          <w:r w:rsidRPr="00AF7697">
            <w:rPr>
              <w:rFonts w:ascii="Candara" w:hAnsi="Candara"/>
              <w:color w:val="404040"/>
              <w:sz w:val="16"/>
              <w:szCs w:val="16"/>
              <w:lang w:val="en-US"/>
            </w:rPr>
            <w:t xml:space="preserve">                                                                                   </w:t>
          </w:r>
          <w:r w:rsidRPr="00DD54D4">
            <w:rPr>
              <w:rFonts w:ascii="Candara" w:hAnsi="Candara"/>
              <w:color w:val="404040"/>
              <w:sz w:val="16"/>
              <w:szCs w:val="16"/>
              <w:lang w:val="en-US"/>
            </w:rPr>
            <w:t>www.warp.com.pl</w:t>
          </w:r>
          <w:r w:rsidRPr="00DD54D4">
            <w:rPr>
              <w:rFonts w:ascii="Candara" w:hAnsi="Candara"/>
              <w:color w:val="404040"/>
              <w:sz w:val="16"/>
              <w:szCs w:val="16"/>
              <w:lang w:val="en-US"/>
            </w:rPr>
            <w:br/>
            <w:t>NIP 521-36-00-318</w:t>
          </w:r>
          <w:r w:rsidRPr="00DD54D4">
            <w:rPr>
              <w:rFonts w:ascii="Candara" w:hAnsi="Candara"/>
              <w:color w:val="404040"/>
              <w:sz w:val="16"/>
              <w:szCs w:val="16"/>
              <w:lang w:val="en-US"/>
            </w:rPr>
            <w:br/>
            <w:t>REGON 142214679</w:t>
          </w:r>
        </w:p>
        <w:p w14:paraId="6582A6F6" w14:textId="77777777" w:rsidR="004570A6" w:rsidRPr="00DD54D4" w:rsidRDefault="004570A6" w:rsidP="00A1443C">
          <w:pPr>
            <w:spacing w:after="0"/>
            <w:jc w:val="center"/>
            <w:rPr>
              <w:rFonts w:ascii="Candara" w:hAnsi="Candara"/>
              <w:color w:val="404040"/>
              <w:sz w:val="10"/>
              <w:szCs w:val="10"/>
              <w:lang w:val="en-US"/>
            </w:rPr>
          </w:pPr>
        </w:p>
      </w:tc>
      <w:tc>
        <w:tcPr>
          <w:tcW w:w="4452" w:type="dxa"/>
        </w:tcPr>
        <w:p w14:paraId="604C286C" w14:textId="77777777" w:rsidR="004570A6" w:rsidRPr="00F55F1D" w:rsidRDefault="00396F53" w:rsidP="00A1443C">
          <w:pPr>
            <w:spacing w:after="0"/>
            <w:rPr>
              <w:rFonts w:ascii="Candara" w:hAnsi="Candara"/>
              <w:color w:val="404040"/>
              <w:sz w:val="10"/>
              <w:szCs w:val="10"/>
            </w:rPr>
          </w:pPr>
          <w:r w:rsidRPr="00F55F1D">
            <w:rPr>
              <w:rFonts w:ascii="Candara" w:hAnsi="Candara"/>
              <w:color w:val="404040"/>
              <w:sz w:val="16"/>
              <w:szCs w:val="16"/>
            </w:rPr>
            <w:t xml:space="preserve">    </w:t>
          </w:r>
        </w:p>
        <w:p w14:paraId="64B79724" w14:textId="77777777" w:rsidR="004570A6" w:rsidRPr="00F55F1D" w:rsidRDefault="00396F53" w:rsidP="00A1443C">
          <w:pPr>
            <w:tabs>
              <w:tab w:val="left" w:pos="159"/>
            </w:tabs>
            <w:spacing w:after="0"/>
            <w:rPr>
              <w:rFonts w:ascii="Candara" w:hAnsi="Candara"/>
              <w:color w:val="404040"/>
              <w:sz w:val="16"/>
              <w:szCs w:val="16"/>
            </w:rPr>
          </w:pPr>
          <w:r w:rsidRPr="00F55F1D">
            <w:rPr>
              <w:rFonts w:ascii="Candara" w:hAnsi="Candara"/>
              <w:color w:val="404040"/>
              <w:sz w:val="16"/>
              <w:szCs w:val="16"/>
            </w:rPr>
            <w:t xml:space="preserve">    </w:t>
          </w:r>
        </w:p>
        <w:p w14:paraId="722E2D19" w14:textId="77777777" w:rsidR="004570A6" w:rsidRPr="00B91E76" w:rsidRDefault="00396F53" w:rsidP="00A1443C">
          <w:pPr>
            <w:tabs>
              <w:tab w:val="left" w:pos="159"/>
            </w:tabs>
            <w:spacing w:after="0"/>
            <w:rPr>
              <w:rFonts w:ascii="Candara" w:hAnsi="Candara"/>
              <w:b/>
              <w:color w:val="404040"/>
              <w:sz w:val="16"/>
              <w:szCs w:val="16"/>
            </w:rPr>
          </w:pPr>
          <w:r>
            <w:rPr>
              <w:rFonts w:ascii="Candara" w:hAnsi="Candara"/>
              <w:b/>
              <w:color w:val="404040"/>
              <w:sz w:val="16"/>
              <w:szCs w:val="16"/>
            </w:rPr>
            <w:t xml:space="preserve">KKLW </w:t>
          </w:r>
          <w:r w:rsidRPr="00AF7697">
            <w:rPr>
              <w:rFonts w:ascii="Candara" w:hAnsi="Candara"/>
              <w:b/>
              <w:color w:val="404040"/>
              <w:sz w:val="16"/>
              <w:szCs w:val="16"/>
            </w:rPr>
            <w:t xml:space="preserve">Wierzbicki </w:t>
          </w:r>
          <w:r>
            <w:rPr>
              <w:rFonts w:ascii="Candara" w:hAnsi="Candara"/>
              <w:b/>
              <w:color w:val="404040"/>
              <w:sz w:val="16"/>
              <w:szCs w:val="16"/>
            </w:rPr>
            <w:t>i Wspólnicy</w:t>
          </w:r>
          <w:r w:rsidRPr="00AF7697">
            <w:rPr>
              <w:rFonts w:ascii="Candara" w:hAnsi="Candara"/>
              <w:b/>
              <w:color w:val="404040"/>
              <w:sz w:val="16"/>
              <w:szCs w:val="16"/>
            </w:rPr>
            <w:t xml:space="preserve"> sp. k.</w:t>
          </w:r>
        </w:p>
        <w:p w14:paraId="7084FCEF" w14:textId="77777777" w:rsidR="004570A6" w:rsidRPr="00AF7697" w:rsidRDefault="00396F53" w:rsidP="00A1443C">
          <w:pPr>
            <w:spacing w:after="0"/>
            <w:rPr>
              <w:rFonts w:ascii="Candara" w:hAnsi="Candara"/>
              <w:color w:val="404040"/>
              <w:sz w:val="16"/>
              <w:szCs w:val="16"/>
            </w:rPr>
          </w:pPr>
          <w:r>
            <w:rPr>
              <w:rFonts w:ascii="Candara" w:hAnsi="Candara"/>
              <w:color w:val="404040"/>
              <w:sz w:val="16"/>
              <w:szCs w:val="16"/>
            </w:rPr>
            <w:t>ul. Twarda 2</w:t>
          </w:r>
        </w:p>
        <w:p w14:paraId="38E8498C" w14:textId="77777777" w:rsidR="004570A6" w:rsidRPr="00AF7697" w:rsidRDefault="00396F53" w:rsidP="00A1443C">
          <w:pPr>
            <w:spacing w:after="0"/>
            <w:rPr>
              <w:rFonts w:ascii="Candara" w:hAnsi="Candara"/>
              <w:color w:val="404040"/>
              <w:sz w:val="16"/>
              <w:szCs w:val="16"/>
            </w:rPr>
          </w:pPr>
          <w:r>
            <w:rPr>
              <w:rFonts w:ascii="Candara" w:hAnsi="Candara"/>
              <w:color w:val="404040"/>
              <w:sz w:val="16"/>
              <w:szCs w:val="16"/>
            </w:rPr>
            <w:t>00-105</w:t>
          </w:r>
          <w:r w:rsidRPr="00AF7697">
            <w:rPr>
              <w:rFonts w:ascii="Candara" w:hAnsi="Candara"/>
              <w:color w:val="404040"/>
              <w:sz w:val="16"/>
              <w:szCs w:val="16"/>
            </w:rPr>
            <w:t xml:space="preserve"> Warszawa</w:t>
          </w:r>
        </w:p>
      </w:tc>
    </w:tr>
  </w:tbl>
  <w:p w14:paraId="1CAC16AC" w14:textId="77777777" w:rsidR="004570A6" w:rsidRPr="001A3EB6" w:rsidRDefault="00396F53" w:rsidP="00AF7697">
    <w:pPr>
      <w:pStyle w:val="Stopka"/>
      <w:jc w:val="right"/>
      <w:rPr>
        <w:color w:val="000000"/>
      </w:rPr>
    </w:pPr>
    <w:r w:rsidRPr="001A3EB6">
      <w:rPr>
        <w:color w:val="000000"/>
      </w:rPr>
      <w:t xml:space="preserve">Strona </w:t>
    </w:r>
    <w:r w:rsidRPr="001A3EB6">
      <w:rPr>
        <w:color w:val="000000"/>
      </w:rPr>
      <w:fldChar w:fldCharType="begin"/>
    </w:r>
    <w:r w:rsidRPr="001A3EB6">
      <w:rPr>
        <w:color w:val="000000"/>
      </w:rPr>
      <w:instrText>PAGE  \* Arabic  \* MERGEFORMAT</w:instrText>
    </w:r>
    <w:r w:rsidRPr="001A3EB6">
      <w:rPr>
        <w:color w:val="000000"/>
      </w:rPr>
      <w:fldChar w:fldCharType="separate"/>
    </w:r>
    <w:r>
      <w:rPr>
        <w:noProof/>
        <w:color w:val="000000"/>
      </w:rPr>
      <w:t>1</w:t>
    </w:r>
    <w:r w:rsidRPr="001A3EB6">
      <w:rPr>
        <w:color w:val="000000"/>
      </w:rPr>
      <w:fldChar w:fldCharType="end"/>
    </w:r>
    <w:r w:rsidRPr="001A3EB6">
      <w:rPr>
        <w:color w:val="000000"/>
      </w:rPr>
      <w:t xml:space="preserve"> z </w:t>
    </w:r>
    <w:r w:rsidRPr="001A3EB6">
      <w:rPr>
        <w:color w:val="000000"/>
      </w:rPr>
      <w:fldChar w:fldCharType="begin"/>
    </w:r>
    <w:r w:rsidRPr="001A3EB6">
      <w:rPr>
        <w:color w:val="000000"/>
      </w:rPr>
      <w:instrText>NUMPAGES \ * arabskie \ * MERGEFORMAT</w:instrText>
    </w:r>
    <w:r w:rsidRPr="001A3EB6">
      <w:rPr>
        <w:color w:val="000000"/>
      </w:rPr>
      <w:fldChar w:fldCharType="separate"/>
    </w:r>
    <w:r>
      <w:rPr>
        <w:noProof/>
        <w:color w:val="000000"/>
      </w:rPr>
      <w:t>67</w:t>
    </w:r>
    <w:r w:rsidRPr="001A3EB6">
      <w:rPr>
        <w:color w:val="000000"/>
      </w:rPr>
      <w:fldChar w:fldCharType="end"/>
    </w:r>
  </w:p>
  <w:p w14:paraId="10EE79E9" w14:textId="77777777" w:rsidR="004570A6" w:rsidRPr="00AB22CC" w:rsidRDefault="004570A6" w:rsidP="0076521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ABA9DA" w14:textId="77777777" w:rsidR="00B90C17" w:rsidRDefault="00B90C17">
      <w:pPr>
        <w:spacing w:after="0" w:line="240" w:lineRule="auto"/>
      </w:pPr>
      <w:r>
        <w:separator/>
      </w:r>
    </w:p>
  </w:footnote>
  <w:footnote w:type="continuationSeparator" w:id="0">
    <w:p w14:paraId="10C61C47" w14:textId="77777777" w:rsidR="00B90C17" w:rsidRDefault="00B90C17">
      <w:pPr>
        <w:spacing w:after="0" w:line="240" w:lineRule="auto"/>
      </w:pPr>
      <w:r>
        <w:continuationSeparator/>
      </w:r>
    </w:p>
  </w:footnote>
  <w:footnote w:id="1">
    <w:p w14:paraId="65488415" w14:textId="77777777" w:rsidR="00D20DDD" w:rsidRPr="00CF465F" w:rsidRDefault="00D20DDD" w:rsidP="00D20DDD">
      <w:pPr>
        <w:pStyle w:val="Tekstprzypisudolnego"/>
      </w:pPr>
      <w:r>
        <w:rPr>
          <w:rStyle w:val="Odwoanieprzypisudolnego"/>
        </w:rPr>
        <w:footnoteRef/>
      </w:r>
      <w:r>
        <w:rPr>
          <w:i/>
          <w:iCs/>
        </w:rPr>
        <w:t xml:space="preserve"> </w:t>
      </w:r>
      <w:r w:rsidRPr="006B380E">
        <w:rPr>
          <w:i/>
          <w:iCs/>
        </w:rPr>
        <w:t xml:space="preserve">M. Wrzołek-Romańczuk, Rozwiązanie umownego stosunku prawnego, s. 349; W. Popiołek, w: Pietrzykowski, Komentarz KC, t. II, 2015, art. 498, s. 123 </w:t>
      </w:r>
      <w:r>
        <w:rPr>
          <w:i/>
          <w:iCs/>
        </w:rPr>
        <w:t xml:space="preserve">A. </w:t>
      </w:r>
      <w:r w:rsidRPr="00CF465F">
        <w:rPr>
          <w:i/>
          <w:iCs/>
        </w:rPr>
        <w:t>Koch</w:t>
      </w:r>
      <w:r w:rsidRPr="00CF465F">
        <w:t>, w: </w:t>
      </w:r>
      <w:r>
        <w:t xml:space="preserve">M. </w:t>
      </w:r>
      <w:r w:rsidRPr="00CF465F">
        <w:rPr>
          <w:i/>
          <w:iCs/>
        </w:rPr>
        <w:t>Gutowski</w:t>
      </w:r>
      <w:r w:rsidRPr="00CF465F">
        <w:t>,</w:t>
      </w:r>
      <w:r w:rsidRPr="00CF465F">
        <w:rPr>
          <w:i/>
          <w:iCs/>
        </w:rPr>
        <w:t> </w:t>
      </w:r>
      <w:r w:rsidRPr="00CF465F">
        <w:t>Komentarz, t. II, 2019, </w:t>
      </w:r>
      <w:r>
        <w:t xml:space="preserve">komentarz do </w:t>
      </w:r>
      <w:r w:rsidRPr="00CF465F">
        <w:t>art. 497, Nb 7</w:t>
      </w:r>
      <w:r>
        <w:t>, Legalis.</w:t>
      </w:r>
    </w:p>
  </w:footnote>
  <w:footnote w:id="2">
    <w:p w14:paraId="2A0008E6" w14:textId="77777777" w:rsidR="00D20DDD" w:rsidRPr="00365987" w:rsidRDefault="00D20DDD" w:rsidP="00D20DDD">
      <w:pPr>
        <w:pStyle w:val="Tekstprzypisudolnego"/>
      </w:pPr>
      <w:r>
        <w:rPr>
          <w:rStyle w:val="Odwoanieprzypisudolnego"/>
        </w:rPr>
        <w:footnoteRef/>
      </w:r>
      <w:r>
        <w:t xml:space="preserve"> </w:t>
      </w:r>
      <w:r w:rsidRPr="00365987">
        <w:t>A. Dyoniak, Wygaśnięcie zobowiązania z innych przyczyn, s. 55; K. Kruczalak, Rozwiązanie umownego stosunku zobowiązaniowego, s. 75.</w:t>
      </w:r>
    </w:p>
  </w:footnote>
  <w:footnote w:id="3">
    <w:p w14:paraId="5E622F47" w14:textId="77777777" w:rsidR="00D20DDD" w:rsidRPr="00201295" w:rsidRDefault="00D20DDD" w:rsidP="00D20DDD">
      <w:pPr>
        <w:pStyle w:val="Tekstprzypisudolnego"/>
      </w:pPr>
      <w:r>
        <w:rPr>
          <w:rStyle w:val="Odwoanieprzypisudolnego"/>
        </w:rPr>
        <w:footnoteRef/>
      </w:r>
      <w:r>
        <w:t xml:space="preserve"> </w:t>
      </w:r>
      <w:r w:rsidRPr="00201295">
        <w:rPr>
          <w:i/>
          <w:iCs/>
        </w:rPr>
        <w:t>A. Pyrzyńska</w:t>
      </w:r>
      <w:r w:rsidRPr="00201295">
        <w:t>, Rozwiązanie umowy, s. 127.</w:t>
      </w:r>
    </w:p>
  </w:footnote>
  <w:footnote w:id="4">
    <w:p w14:paraId="006B1E49" w14:textId="77777777" w:rsidR="00D20DDD" w:rsidRPr="00D20DDD" w:rsidRDefault="00D20DDD" w:rsidP="00D20DDD">
      <w:pPr>
        <w:pStyle w:val="przypis"/>
        <w:spacing w:line="240" w:lineRule="auto"/>
        <w:ind w:firstLine="0"/>
        <w:rPr>
          <w:rFonts w:ascii="Calibri" w:hAnsi="Calibri" w:cs="Calibri"/>
          <w:color w:val="auto"/>
          <w:sz w:val="20"/>
          <w:szCs w:val="20"/>
        </w:rPr>
      </w:pPr>
      <w:r w:rsidRPr="00D20DDD">
        <w:rPr>
          <w:rFonts w:ascii="Calibri" w:hAnsi="Calibri" w:cs="Calibri"/>
          <w:color w:val="auto"/>
          <w:sz w:val="20"/>
          <w:szCs w:val="20"/>
          <w:vertAlign w:val="superscript"/>
        </w:rPr>
        <w:footnoteRef/>
      </w:r>
      <w:r w:rsidRPr="00D20DDD">
        <w:rPr>
          <w:rFonts w:ascii="Calibri" w:hAnsi="Calibri" w:cs="Calibri"/>
          <w:color w:val="auto"/>
          <w:sz w:val="20"/>
          <w:szCs w:val="20"/>
        </w:rPr>
        <w:t xml:space="preserve"> </w:t>
      </w:r>
      <w:bookmarkStart w:id="18" w:name="_Hlk112189575"/>
      <w:r w:rsidRPr="00D20DDD">
        <w:rPr>
          <w:rFonts w:ascii="Calibri" w:hAnsi="Calibri" w:cs="Calibri"/>
          <w:color w:val="auto"/>
          <w:sz w:val="20"/>
          <w:szCs w:val="20"/>
        </w:rPr>
        <w:t>Wyr. SN z 10.12.1998 r., I CKN 918/97, Legalis.</w:t>
      </w:r>
      <w:bookmarkEnd w:id="18"/>
    </w:p>
  </w:footnote>
  <w:footnote w:id="5">
    <w:p w14:paraId="287577B7" w14:textId="77777777" w:rsidR="00D20DDD" w:rsidRPr="00D20DDD" w:rsidRDefault="00D20DDD" w:rsidP="00D20DDD">
      <w:pPr>
        <w:pStyle w:val="przypis"/>
        <w:spacing w:line="240" w:lineRule="auto"/>
        <w:ind w:firstLine="0"/>
        <w:rPr>
          <w:rFonts w:ascii="Calibri" w:hAnsi="Calibri" w:cs="Calibri"/>
          <w:color w:val="auto"/>
          <w:sz w:val="20"/>
          <w:szCs w:val="20"/>
        </w:rPr>
      </w:pPr>
      <w:r w:rsidRPr="00D20DDD">
        <w:rPr>
          <w:rFonts w:ascii="Calibri" w:hAnsi="Calibri" w:cs="Calibri"/>
          <w:color w:val="auto"/>
          <w:sz w:val="20"/>
          <w:szCs w:val="20"/>
          <w:vertAlign w:val="superscript"/>
        </w:rPr>
        <w:footnoteRef/>
      </w:r>
      <w:r w:rsidRPr="00D20DDD">
        <w:rPr>
          <w:rFonts w:ascii="Calibri" w:hAnsi="Calibri" w:cs="Calibri"/>
          <w:color w:val="auto"/>
          <w:sz w:val="20"/>
          <w:szCs w:val="20"/>
          <w:vertAlign w:val="superscript"/>
        </w:rPr>
        <w:t xml:space="preserve"> </w:t>
      </w:r>
      <w:bookmarkStart w:id="19" w:name="_Hlk112189608"/>
      <w:r w:rsidRPr="00D20DDD">
        <w:rPr>
          <w:rFonts w:ascii="Calibri" w:hAnsi="Calibri" w:cs="Calibri"/>
          <w:color w:val="auto"/>
          <w:sz w:val="20"/>
          <w:szCs w:val="20"/>
        </w:rPr>
        <w:t>Taki pogląd legł u podstaw uzasadnienia uchw. SN(7) z 25.4.1996 r. (III CZP 153/95, OSNC 1996, Nr 7–8, poz. 90), w której sąd ten uznał, że: „Socjaldemokracja Rzeczypospolitej Polskiej ma obowiązek wydania korzyści lub zwrotu jej wartości (art. 409 KC) uzyskanych ze zbycia mienia Skarbu Państwa określonego w art. 1 ust. 1 i 2 ustawy z 9.11.1990 r. o przejęciu majątku byłej Polskiej Zjednoczonej Partii Robotniczej (Dz.U. Nr 16, poz. 72 ze zm.) także w zakresie ich zużycia na zaspokojenie roszczeń ze stosunków pracy pracowników byłej Polskiej Zjednoczonej Partii Robotniczej”.</w:t>
      </w:r>
      <w:bookmarkEnd w:id="19"/>
    </w:p>
  </w:footnote>
  <w:footnote w:id="6">
    <w:p w14:paraId="44B16C87" w14:textId="77777777" w:rsidR="00D20DDD" w:rsidRPr="00CF0DAB" w:rsidRDefault="00D20DDD" w:rsidP="00D20DDD">
      <w:pPr>
        <w:pStyle w:val="Tekstprzypisudolnego"/>
        <w:jc w:val="both"/>
      </w:pPr>
      <w:r>
        <w:rPr>
          <w:rStyle w:val="Odwoanieprzypisudolnego"/>
        </w:rPr>
        <w:footnoteRef/>
      </w:r>
      <w:r w:rsidRPr="00CF0DAB">
        <w:t xml:space="preserve"> W. Popiołek [w:] K. Pietrzykowski, </w:t>
      </w:r>
      <w:r w:rsidRPr="00CF0DAB">
        <w:rPr>
          <w:i/>
          <w:iCs/>
        </w:rPr>
        <w:t>op.cit.</w:t>
      </w:r>
      <w:r w:rsidRPr="00CF0DAB">
        <w:t>; wyr. SN z 25 lipca 2001 r., I CKN 25/99, Legalis; zob. też wyr. SA w Katowicach z 24 sierpnia 2016 r., I ACa 1189/15, Legalis.</w:t>
      </w:r>
    </w:p>
  </w:footnote>
  <w:footnote w:id="7">
    <w:p w14:paraId="659D5B25" w14:textId="77777777" w:rsidR="00D20DDD" w:rsidRPr="00CF0DAB" w:rsidRDefault="00D20DDD" w:rsidP="00D20DDD">
      <w:pPr>
        <w:pStyle w:val="Tekstprzypisudolnego"/>
        <w:jc w:val="both"/>
      </w:pPr>
      <w:r>
        <w:rPr>
          <w:rStyle w:val="Odwoanieprzypisudolnego"/>
        </w:rPr>
        <w:footnoteRef/>
      </w:r>
      <w:r w:rsidRPr="00CF0DAB">
        <w:t xml:space="preserve"> Wyrok Sądu Apelacyjnego w Katowicach z dnia 24 sierpnia 2016 r., I ACa 1189/15, Legalis.</w:t>
      </w:r>
    </w:p>
  </w:footnote>
  <w:footnote w:id="8">
    <w:p w14:paraId="1811E86C" w14:textId="77777777" w:rsidR="00E2467B" w:rsidRPr="003016CF" w:rsidRDefault="00E2467B" w:rsidP="00E2467B">
      <w:pPr>
        <w:pStyle w:val="Tekstprzypisudolnego"/>
      </w:pPr>
      <w:r w:rsidRPr="003016CF">
        <w:rPr>
          <w:rStyle w:val="Odwoanieprzypisudolnego"/>
        </w:rPr>
        <w:footnoteRef/>
      </w:r>
      <w:r w:rsidRPr="003016CF">
        <w:t xml:space="preserve"> wyrok SN z 10.06.1999 r., II UKN 685/98, OSNAPiUS 2000/17, poz. 655</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987585" w14:textId="77777777" w:rsidR="004570A6" w:rsidRPr="006770F1" w:rsidRDefault="00396F53" w:rsidP="00CB03C9">
    <w:pPr>
      <w:pStyle w:val="Nagwek"/>
    </w:pPr>
    <w:r w:rsidRPr="001A3EB6">
      <w:rPr>
        <w:noProof/>
        <w:color w:val="000000"/>
        <w:lang w:eastAsia="pl-PL"/>
      </w:rPr>
      <w:drawing>
        <wp:anchor distT="0" distB="0" distL="114300" distR="114300" simplePos="0" relativeHeight="251663360" behindDoc="1" locked="0" layoutInCell="1" allowOverlap="1" wp14:anchorId="31521C2E" wp14:editId="360FE8AD">
          <wp:simplePos x="0" y="0"/>
          <wp:positionH relativeFrom="column">
            <wp:posOffset>4262755</wp:posOffset>
          </wp:positionH>
          <wp:positionV relativeFrom="paragraph">
            <wp:posOffset>-8890</wp:posOffset>
          </wp:positionV>
          <wp:extent cx="1569720" cy="609600"/>
          <wp:effectExtent l="0" t="0" r="0" b="0"/>
          <wp:wrapNone/>
          <wp:docPr id="37" name="Obraz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20" cy="609600"/>
                  </a:xfrm>
                  <a:prstGeom prst="rect">
                    <a:avLst/>
                  </a:prstGeom>
                </pic:spPr>
              </pic:pic>
            </a:graphicData>
          </a:graphic>
        </wp:anchor>
      </w:drawing>
    </w:r>
    <w:r w:rsidRPr="006770F1">
      <w:rPr>
        <w:noProof/>
        <w:lang w:eastAsia="pl-PL"/>
      </w:rPr>
      <w:drawing>
        <wp:anchor distT="0" distB="0" distL="114300" distR="114300" simplePos="0" relativeHeight="251660288" behindDoc="1" locked="0" layoutInCell="1" allowOverlap="1" wp14:anchorId="1B5E1821" wp14:editId="03D07751">
          <wp:simplePos x="0" y="0"/>
          <wp:positionH relativeFrom="column">
            <wp:align>left</wp:align>
          </wp:positionH>
          <wp:positionV relativeFrom="paragraph">
            <wp:posOffset>181610</wp:posOffset>
          </wp:positionV>
          <wp:extent cx="1278000" cy="327600"/>
          <wp:effectExtent l="0" t="0" r="0" b="0"/>
          <wp:wrapNone/>
          <wp:docPr id="38" name="Obraz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6770F1">
      <w:tab/>
    </w:r>
    <w:r w:rsidRPr="006770F1">
      <w:tab/>
    </w:r>
    <w:r w:rsidRPr="006770F1">
      <w:tab/>
    </w:r>
    <w:r w:rsidRPr="006770F1">
      <w:tab/>
    </w:r>
  </w:p>
  <w:p w14:paraId="34E142F0" w14:textId="77777777" w:rsidR="004570A6" w:rsidRDefault="004570A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D305B" w14:textId="77777777" w:rsidR="004570A6" w:rsidRDefault="00396F53">
    <w:pPr>
      <w:pStyle w:val="Nagwek"/>
      <w:jc w:val="center"/>
    </w:pPr>
    <w:r w:rsidRPr="001A3EB6">
      <w:rPr>
        <w:noProof/>
        <w:color w:val="000000"/>
        <w:lang w:eastAsia="pl-PL"/>
      </w:rPr>
      <w:drawing>
        <wp:anchor distT="0" distB="0" distL="114300" distR="114300" simplePos="0" relativeHeight="251664384" behindDoc="1" locked="0" layoutInCell="1" allowOverlap="1" wp14:anchorId="6F7E2348" wp14:editId="551C7E96">
          <wp:simplePos x="0" y="0"/>
          <wp:positionH relativeFrom="column">
            <wp:posOffset>4281805</wp:posOffset>
          </wp:positionH>
          <wp:positionV relativeFrom="paragraph">
            <wp:posOffset>32385</wp:posOffset>
          </wp:positionV>
          <wp:extent cx="1569720" cy="609600"/>
          <wp:effectExtent l="0" t="0" r="0" b="0"/>
          <wp:wrapNone/>
          <wp:docPr id="39" name="Obraz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20" cy="609600"/>
                  </a:xfrm>
                  <a:prstGeom prst="rect">
                    <a:avLst/>
                  </a:prstGeom>
                </pic:spPr>
              </pic:pic>
            </a:graphicData>
          </a:graphic>
        </wp:anchor>
      </w:drawing>
    </w:r>
  </w:p>
  <w:p w14:paraId="79F4E88C" w14:textId="77777777" w:rsidR="004570A6" w:rsidRPr="009A70DC" w:rsidRDefault="00396F53" w:rsidP="009A70DC">
    <w:pPr>
      <w:pStyle w:val="Nagwek"/>
      <w:jc w:val="right"/>
    </w:pPr>
    <w:r w:rsidRPr="009A70DC">
      <w:rPr>
        <w:noProof/>
        <w:lang w:eastAsia="pl-PL"/>
      </w:rPr>
      <w:drawing>
        <wp:anchor distT="0" distB="0" distL="114300" distR="114300" simplePos="0" relativeHeight="251661312" behindDoc="1" locked="0" layoutInCell="1" allowOverlap="1" wp14:anchorId="41311D07" wp14:editId="14337BE6">
          <wp:simplePos x="0" y="0"/>
          <wp:positionH relativeFrom="column">
            <wp:posOffset>0</wp:posOffset>
          </wp:positionH>
          <wp:positionV relativeFrom="paragraph">
            <wp:posOffset>57785</wp:posOffset>
          </wp:positionV>
          <wp:extent cx="1278000" cy="327600"/>
          <wp:effectExtent l="0" t="0" r="0" b="0"/>
          <wp:wrapNone/>
          <wp:docPr id="40" name="Obraz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9A70DC">
      <w:tab/>
    </w:r>
    <w:r w:rsidRPr="009A70DC">
      <w:tab/>
    </w:r>
    <w:r w:rsidRPr="009A70DC">
      <w:tab/>
    </w:r>
    <w:r w:rsidRPr="009A70DC">
      <w:tab/>
    </w:r>
  </w:p>
  <w:p w14:paraId="438A4CBA" w14:textId="77777777" w:rsidR="004570A6" w:rsidRDefault="004570A6" w:rsidP="00765214">
    <w:pPr>
      <w:pStyle w:val="Nagwek"/>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0381C0" w14:textId="77777777" w:rsidR="004570A6" w:rsidRPr="001A3EB6" w:rsidRDefault="00396F53" w:rsidP="00CB03C9">
    <w:pPr>
      <w:pStyle w:val="Nagwek"/>
      <w:tabs>
        <w:tab w:val="left" w:pos="4785"/>
        <w:tab w:val="left" w:pos="5175"/>
      </w:tabs>
      <w:rPr>
        <w:color w:val="000000"/>
      </w:rPr>
    </w:pPr>
    <w:r w:rsidRPr="001A3EB6">
      <w:rPr>
        <w:noProof/>
        <w:color w:val="000000"/>
        <w:lang w:eastAsia="pl-PL"/>
      </w:rPr>
      <w:drawing>
        <wp:anchor distT="0" distB="0" distL="114300" distR="114300" simplePos="0" relativeHeight="251662336" behindDoc="1" locked="0" layoutInCell="1" allowOverlap="1" wp14:anchorId="1624DEAE" wp14:editId="1F7F6E90">
          <wp:simplePos x="0" y="0"/>
          <wp:positionH relativeFrom="column">
            <wp:posOffset>4291330</wp:posOffset>
          </wp:positionH>
          <wp:positionV relativeFrom="paragraph">
            <wp:posOffset>19685</wp:posOffset>
          </wp:positionV>
          <wp:extent cx="1569768" cy="609600"/>
          <wp:effectExtent l="0" t="0" r="0" b="0"/>
          <wp:wrapNone/>
          <wp:docPr id="41" name="Obraz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_logo_wspolnicy_transpa.png"/>
                  <pic:cNvPicPr/>
                </pic:nvPicPr>
                <pic:blipFill>
                  <a:blip r:embed="rId1">
                    <a:extLst>
                      <a:ext uri="{28A0092B-C50C-407E-A947-70E740481C1C}">
                        <a14:useLocalDpi xmlns:a14="http://schemas.microsoft.com/office/drawing/2010/main" val="0"/>
                      </a:ext>
                    </a:extLst>
                  </a:blip>
                  <a:stretch>
                    <a:fillRect/>
                  </a:stretch>
                </pic:blipFill>
                <pic:spPr>
                  <a:xfrm>
                    <a:off x="0" y="0"/>
                    <a:ext cx="1569768" cy="609600"/>
                  </a:xfrm>
                  <a:prstGeom prst="rect">
                    <a:avLst/>
                  </a:prstGeom>
                </pic:spPr>
              </pic:pic>
            </a:graphicData>
          </a:graphic>
        </wp:anchor>
      </w:drawing>
    </w:r>
    <w:r w:rsidRPr="001A3EB6">
      <w:rPr>
        <w:noProof/>
        <w:color w:val="000000"/>
        <w:lang w:eastAsia="pl-PL"/>
      </w:rPr>
      <w:drawing>
        <wp:anchor distT="0" distB="0" distL="114300" distR="114300" simplePos="0" relativeHeight="251659264" behindDoc="1" locked="0" layoutInCell="1" allowOverlap="1" wp14:anchorId="76C14A60" wp14:editId="704F2A53">
          <wp:simplePos x="0" y="0"/>
          <wp:positionH relativeFrom="column">
            <wp:align>left</wp:align>
          </wp:positionH>
          <wp:positionV relativeFrom="paragraph">
            <wp:posOffset>181610</wp:posOffset>
          </wp:positionV>
          <wp:extent cx="1278000" cy="327600"/>
          <wp:effectExtent l="0" t="0" r="0" b="0"/>
          <wp:wrapNone/>
          <wp:docPr id="42" name="Obraz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78000" cy="327600"/>
                  </a:xfrm>
                  <a:prstGeom prst="rect">
                    <a:avLst/>
                  </a:prstGeom>
                  <a:noFill/>
                </pic:spPr>
              </pic:pic>
            </a:graphicData>
          </a:graphic>
        </wp:anchor>
      </w:drawing>
    </w:r>
    <w:r w:rsidRPr="001A3EB6">
      <w:rPr>
        <w:color w:val="000000"/>
      </w:rPr>
      <w:tab/>
    </w:r>
    <w:r w:rsidRPr="001A3EB6">
      <w:rPr>
        <w:color w:val="000000"/>
      </w:rPr>
      <w:tab/>
    </w:r>
    <w:r w:rsidRPr="001A3EB6">
      <w:rPr>
        <w:color w:val="000000"/>
      </w:rPr>
      <w:tab/>
    </w:r>
    <w:r w:rsidRPr="001A3EB6">
      <w:rPr>
        <w:color w:val="000000"/>
      </w:rPr>
      <w:tab/>
    </w:r>
  </w:p>
  <w:p w14:paraId="379568BC" w14:textId="77777777" w:rsidR="004570A6" w:rsidRDefault="004570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71702"/>
    <w:multiLevelType w:val="hybridMultilevel"/>
    <w:tmpl w:val="C6C04E6C"/>
    <w:lvl w:ilvl="0" w:tplc="04150017">
      <w:start w:val="1"/>
      <w:numFmt w:val="lowerLetter"/>
      <w:lvlText w:val="%1)"/>
      <w:lvlJc w:val="left"/>
      <w:pPr>
        <w:ind w:left="1210" w:hanging="360"/>
      </w:pPr>
    </w:lvl>
    <w:lvl w:ilvl="1" w:tplc="04150019" w:tentative="1">
      <w:start w:val="1"/>
      <w:numFmt w:val="lowerLetter"/>
      <w:lvlText w:val="%2."/>
      <w:lvlJc w:val="left"/>
      <w:pPr>
        <w:ind w:left="1930" w:hanging="360"/>
      </w:pPr>
    </w:lvl>
    <w:lvl w:ilvl="2" w:tplc="0415001B" w:tentative="1">
      <w:start w:val="1"/>
      <w:numFmt w:val="lowerRoman"/>
      <w:lvlText w:val="%3."/>
      <w:lvlJc w:val="right"/>
      <w:pPr>
        <w:ind w:left="2650" w:hanging="180"/>
      </w:pPr>
    </w:lvl>
    <w:lvl w:ilvl="3" w:tplc="0415000F" w:tentative="1">
      <w:start w:val="1"/>
      <w:numFmt w:val="decimal"/>
      <w:lvlText w:val="%4."/>
      <w:lvlJc w:val="left"/>
      <w:pPr>
        <w:ind w:left="3370" w:hanging="360"/>
      </w:pPr>
    </w:lvl>
    <w:lvl w:ilvl="4" w:tplc="04150019" w:tentative="1">
      <w:start w:val="1"/>
      <w:numFmt w:val="lowerLetter"/>
      <w:lvlText w:val="%5."/>
      <w:lvlJc w:val="left"/>
      <w:pPr>
        <w:ind w:left="4090" w:hanging="360"/>
      </w:pPr>
    </w:lvl>
    <w:lvl w:ilvl="5" w:tplc="0415001B" w:tentative="1">
      <w:start w:val="1"/>
      <w:numFmt w:val="lowerRoman"/>
      <w:lvlText w:val="%6."/>
      <w:lvlJc w:val="right"/>
      <w:pPr>
        <w:ind w:left="4810" w:hanging="180"/>
      </w:pPr>
    </w:lvl>
    <w:lvl w:ilvl="6" w:tplc="0415000F" w:tentative="1">
      <w:start w:val="1"/>
      <w:numFmt w:val="decimal"/>
      <w:lvlText w:val="%7."/>
      <w:lvlJc w:val="left"/>
      <w:pPr>
        <w:ind w:left="5530" w:hanging="360"/>
      </w:pPr>
    </w:lvl>
    <w:lvl w:ilvl="7" w:tplc="04150019" w:tentative="1">
      <w:start w:val="1"/>
      <w:numFmt w:val="lowerLetter"/>
      <w:lvlText w:val="%8."/>
      <w:lvlJc w:val="left"/>
      <w:pPr>
        <w:ind w:left="6250" w:hanging="360"/>
      </w:pPr>
    </w:lvl>
    <w:lvl w:ilvl="8" w:tplc="0415001B" w:tentative="1">
      <w:start w:val="1"/>
      <w:numFmt w:val="lowerRoman"/>
      <w:lvlText w:val="%9."/>
      <w:lvlJc w:val="right"/>
      <w:pPr>
        <w:ind w:left="6970" w:hanging="180"/>
      </w:pPr>
    </w:lvl>
  </w:abstractNum>
  <w:abstractNum w:abstractNumId="1" w15:restartNumberingAfterBreak="0">
    <w:nsid w:val="037F3C8D"/>
    <w:multiLevelType w:val="hybridMultilevel"/>
    <w:tmpl w:val="4CC8FD0C"/>
    <w:lvl w:ilvl="0" w:tplc="8CFE8FEE">
      <w:start w:val="155"/>
      <w:numFmt w:val="decimal"/>
      <w:lvlText w:val="%1."/>
      <w:lvlJc w:val="left"/>
      <w:pPr>
        <w:ind w:left="2204" w:hanging="360"/>
      </w:pPr>
      <w:rPr>
        <w:b w:val="0"/>
        <w:i w:val="0"/>
        <w:sz w:val="22"/>
        <w:vertAlign w:val="baseline"/>
      </w:rPr>
    </w:lvl>
    <w:lvl w:ilvl="1" w:tplc="04150019">
      <w:start w:val="1"/>
      <w:numFmt w:val="lowerLetter"/>
      <w:lvlText w:val="%2."/>
      <w:lvlJc w:val="left"/>
      <w:pPr>
        <w:ind w:left="-2245" w:hanging="360"/>
      </w:pPr>
    </w:lvl>
    <w:lvl w:ilvl="2" w:tplc="0415001B">
      <w:start w:val="1"/>
      <w:numFmt w:val="lowerRoman"/>
      <w:lvlText w:val="%3."/>
      <w:lvlJc w:val="right"/>
      <w:pPr>
        <w:ind w:left="-1525" w:hanging="180"/>
      </w:pPr>
    </w:lvl>
    <w:lvl w:ilvl="3" w:tplc="0415000F">
      <w:start w:val="1"/>
      <w:numFmt w:val="decimal"/>
      <w:lvlText w:val="%4."/>
      <w:lvlJc w:val="left"/>
      <w:pPr>
        <w:ind w:left="-805" w:hanging="360"/>
      </w:pPr>
    </w:lvl>
    <w:lvl w:ilvl="4" w:tplc="04150019">
      <w:start w:val="1"/>
      <w:numFmt w:val="lowerLetter"/>
      <w:lvlText w:val="%5."/>
      <w:lvlJc w:val="left"/>
      <w:pPr>
        <w:ind w:left="-85" w:hanging="360"/>
      </w:pPr>
    </w:lvl>
    <w:lvl w:ilvl="5" w:tplc="0415001B">
      <w:start w:val="1"/>
      <w:numFmt w:val="lowerRoman"/>
      <w:lvlText w:val="%6."/>
      <w:lvlJc w:val="right"/>
      <w:pPr>
        <w:ind w:left="635" w:hanging="180"/>
      </w:pPr>
    </w:lvl>
    <w:lvl w:ilvl="6" w:tplc="04150019">
      <w:start w:val="1"/>
      <w:numFmt w:val="lowerLetter"/>
      <w:lvlText w:val="%7."/>
      <w:lvlJc w:val="left"/>
      <w:pPr>
        <w:ind w:left="1355" w:hanging="360"/>
      </w:pPr>
    </w:lvl>
    <w:lvl w:ilvl="7" w:tplc="04150019">
      <w:start w:val="1"/>
      <w:numFmt w:val="lowerLetter"/>
      <w:lvlText w:val="%8."/>
      <w:lvlJc w:val="left"/>
      <w:pPr>
        <w:ind w:left="2075" w:hanging="360"/>
      </w:pPr>
    </w:lvl>
    <w:lvl w:ilvl="8" w:tplc="0415001B">
      <w:start w:val="1"/>
      <w:numFmt w:val="lowerRoman"/>
      <w:lvlText w:val="%9."/>
      <w:lvlJc w:val="right"/>
      <w:pPr>
        <w:ind w:left="2795" w:hanging="180"/>
      </w:pPr>
    </w:lvl>
  </w:abstractNum>
  <w:abstractNum w:abstractNumId="2" w15:restartNumberingAfterBreak="0">
    <w:nsid w:val="04C368F1"/>
    <w:multiLevelType w:val="hybridMultilevel"/>
    <w:tmpl w:val="4BC4012C"/>
    <w:lvl w:ilvl="0" w:tplc="0152007E">
      <w:start w:val="1"/>
      <w:numFmt w:val="upperRoman"/>
      <w:lvlText w:val="%1."/>
      <w:lvlJc w:val="left"/>
      <w:pPr>
        <w:ind w:left="1571" w:hanging="720"/>
      </w:pPr>
    </w:lvl>
    <w:lvl w:ilvl="1" w:tplc="04150019">
      <w:start w:val="1"/>
      <w:numFmt w:val="lowerLetter"/>
      <w:lvlText w:val="%2."/>
      <w:lvlJc w:val="left"/>
      <w:pPr>
        <w:ind w:left="1790" w:hanging="360"/>
      </w:pPr>
    </w:lvl>
    <w:lvl w:ilvl="2" w:tplc="0415001B">
      <w:start w:val="1"/>
      <w:numFmt w:val="lowerRoman"/>
      <w:lvlText w:val="%3."/>
      <w:lvlJc w:val="right"/>
      <w:pPr>
        <w:ind w:left="2510" w:hanging="180"/>
      </w:pPr>
    </w:lvl>
    <w:lvl w:ilvl="3" w:tplc="0415000F">
      <w:start w:val="1"/>
      <w:numFmt w:val="decimal"/>
      <w:lvlText w:val="%4."/>
      <w:lvlJc w:val="left"/>
      <w:pPr>
        <w:ind w:left="3230" w:hanging="360"/>
      </w:pPr>
    </w:lvl>
    <w:lvl w:ilvl="4" w:tplc="04150019">
      <w:start w:val="1"/>
      <w:numFmt w:val="lowerLetter"/>
      <w:lvlText w:val="%5."/>
      <w:lvlJc w:val="left"/>
      <w:pPr>
        <w:ind w:left="3950" w:hanging="360"/>
      </w:pPr>
    </w:lvl>
    <w:lvl w:ilvl="5" w:tplc="0415001B">
      <w:start w:val="1"/>
      <w:numFmt w:val="lowerRoman"/>
      <w:lvlText w:val="%6."/>
      <w:lvlJc w:val="right"/>
      <w:pPr>
        <w:ind w:left="4670" w:hanging="180"/>
      </w:pPr>
    </w:lvl>
    <w:lvl w:ilvl="6" w:tplc="0415000F">
      <w:start w:val="1"/>
      <w:numFmt w:val="decimal"/>
      <w:lvlText w:val="%7."/>
      <w:lvlJc w:val="left"/>
      <w:pPr>
        <w:ind w:left="5390" w:hanging="360"/>
      </w:pPr>
    </w:lvl>
    <w:lvl w:ilvl="7" w:tplc="04150019">
      <w:start w:val="1"/>
      <w:numFmt w:val="lowerLetter"/>
      <w:lvlText w:val="%8."/>
      <w:lvlJc w:val="left"/>
      <w:pPr>
        <w:ind w:left="6110" w:hanging="360"/>
      </w:pPr>
    </w:lvl>
    <w:lvl w:ilvl="8" w:tplc="0415001B">
      <w:start w:val="1"/>
      <w:numFmt w:val="lowerRoman"/>
      <w:lvlText w:val="%9."/>
      <w:lvlJc w:val="right"/>
      <w:pPr>
        <w:ind w:left="6830" w:hanging="180"/>
      </w:pPr>
    </w:lvl>
  </w:abstractNum>
  <w:abstractNum w:abstractNumId="3" w15:restartNumberingAfterBreak="0">
    <w:nsid w:val="05F66ADF"/>
    <w:multiLevelType w:val="hybridMultilevel"/>
    <w:tmpl w:val="501CAEEA"/>
    <w:lvl w:ilvl="0" w:tplc="DB0E48AE">
      <w:start w:val="1"/>
      <w:numFmt w:val="upperRoman"/>
      <w:lvlText w:val="III.%1."/>
      <w:lvlJc w:val="left"/>
      <w:pPr>
        <w:ind w:left="720" w:hanging="360"/>
      </w:pPr>
      <w:rPr>
        <w:b/>
        <w:bCs w:val="0"/>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4" w15:restartNumberingAfterBreak="0">
    <w:nsid w:val="0C6119B5"/>
    <w:multiLevelType w:val="hybridMultilevel"/>
    <w:tmpl w:val="AB6CE582"/>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5" w15:restartNumberingAfterBreak="0">
    <w:nsid w:val="0FE60C21"/>
    <w:multiLevelType w:val="multilevel"/>
    <w:tmpl w:val="3386EA00"/>
    <w:lvl w:ilvl="0">
      <w:start w:val="1"/>
      <w:numFmt w:val="upperRoman"/>
      <w:lvlText w:val="VII.IV.%1"/>
      <w:lvlJc w:val="left"/>
      <w:pPr>
        <w:ind w:left="3240" w:hanging="360"/>
      </w:pPr>
      <w:rPr>
        <w:b/>
        <w:i w:val="0"/>
      </w:r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1211"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6" w15:restartNumberingAfterBreak="0">
    <w:nsid w:val="15980DA3"/>
    <w:multiLevelType w:val="hybridMultilevel"/>
    <w:tmpl w:val="D8F84D78"/>
    <w:lvl w:ilvl="0" w:tplc="0415000F">
      <w:start w:val="1"/>
      <w:numFmt w:val="decimal"/>
      <w:lvlText w:val="%1."/>
      <w:lvlJc w:val="left"/>
      <w:pPr>
        <w:ind w:left="1440" w:hanging="360"/>
      </w:pPr>
    </w:lvl>
    <w:lvl w:ilvl="1" w:tplc="04150019">
      <w:start w:val="1"/>
      <w:numFmt w:val="lowerLetter"/>
      <w:lvlText w:val="%2."/>
      <w:lvlJc w:val="left"/>
      <w:pPr>
        <w:ind w:left="2160" w:hanging="360"/>
      </w:pPr>
    </w:lvl>
    <w:lvl w:ilvl="2" w:tplc="FB0CBF66">
      <w:start w:val="1"/>
      <w:numFmt w:val="decimal"/>
      <w:lvlText w:val="%3)"/>
      <w:lvlJc w:val="left"/>
      <w:pPr>
        <w:ind w:left="3060" w:hanging="360"/>
      </w:pPr>
      <w:rPr>
        <w:rFonts w:hint="default"/>
      </w:rPr>
    </w:lvl>
    <w:lvl w:ilvl="3" w:tplc="62166514">
      <w:start w:val="2"/>
      <w:numFmt w:val="upperLetter"/>
      <w:lvlText w:val="%4."/>
      <w:lvlJc w:val="left"/>
      <w:pPr>
        <w:ind w:left="3600" w:hanging="360"/>
      </w:pPr>
      <w:rPr>
        <w:rFonts w:hint="default"/>
      </w:rPr>
    </w:lvl>
    <w:lvl w:ilvl="4" w:tplc="04150019" w:tentative="1">
      <w:start w:val="1"/>
      <w:numFmt w:val="lowerLetter"/>
      <w:lvlText w:val="%5."/>
      <w:lvlJc w:val="left"/>
      <w:pPr>
        <w:ind w:left="4320" w:hanging="360"/>
      </w:pPr>
    </w:lvl>
    <w:lvl w:ilvl="5" w:tplc="0415001B" w:tentative="1">
      <w:start w:val="1"/>
      <w:numFmt w:val="lowerRoman"/>
      <w:lvlText w:val="%6."/>
      <w:lvlJc w:val="right"/>
      <w:pPr>
        <w:ind w:left="5040" w:hanging="180"/>
      </w:pPr>
    </w:lvl>
    <w:lvl w:ilvl="6" w:tplc="0415000F" w:tentative="1">
      <w:start w:val="1"/>
      <w:numFmt w:val="decimal"/>
      <w:lvlText w:val="%7."/>
      <w:lvlJc w:val="left"/>
      <w:pPr>
        <w:ind w:left="5760" w:hanging="360"/>
      </w:pPr>
    </w:lvl>
    <w:lvl w:ilvl="7" w:tplc="04150019" w:tentative="1">
      <w:start w:val="1"/>
      <w:numFmt w:val="lowerLetter"/>
      <w:lvlText w:val="%8."/>
      <w:lvlJc w:val="left"/>
      <w:pPr>
        <w:ind w:left="6480" w:hanging="360"/>
      </w:pPr>
    </w:lvl>
    <w:lvl w:ilvl="8" w:tplc="0415001B" w:tentative="1">
      <w:start w:val="1"/>
      <w:numFmt w:val="lowerRoman"/>
      <w:lvlText w:val="%9."/>
      <w:lvlJc w:val="right"/>
      <w:pPr>
        <w:ind w:left="7200" w:hanging="180"/>
      </w:pPr>
    </w:lvl>
  </w:abstractNum>
  <w:abstractNum w:abstractNumId="7" w15:restartNumberingAfterBreak="0">
    <w:nsid w:val="15B3320D"/>
    <w:multiLevelType w:val="hybridMultilevel"/>
    <w:tmpl w:val="BFE8B14E"/>
    <w:lvl w:ilvl="0" w:tplc="E3607E34">
      <w:start w:val="4"/>
      <w:numFmt w:val="upperRoman"/>
      <w:lvlText w:val="III.%1."/>
      <w:lvlJc w:val="left"/>
      <w:pPr>
        <w:ind w:left="502" w:hanging="360"/>
      </w:pPr>
      <w:rPr>
        <w:rFonts w:hint="default"/>
        <w:b/>
        <w:bCs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5FC20E0"/>
    <w:multiLevelType w:val="hybridMultilevel"/>
    <w:tmpl w:val="884AEB14"/>
    <w:lvl w:ilvl="0" w:tplc="A6F8F654">
      <w:start w:val="1"/>
      <w:numFmt w:val="upperRoman"/>
      <w:lvlText w:val="%1."/>
      <w:lvlJc w:val="right"/>
      <w:pPr>
        <w:ind w:left="720" w:hanging="360"/>
      </w:pPr>
      <w:rPr>
        <w:rFonts w:hint="default"/>
        <w:b/>
        <w:bCs w:val="0"/>
      </w:r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FFFFFFF">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CD5ABE"/>
    <w:multiLevelType w:val="hybridMultilevel"/>
    <w:tmpl w:val="06288C04"/>
    <w:lvl w:ilvl="0" w:tplc="1180A09C">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29974D47"/>
    <w:multiLevelType w:val="hybridMultilevel"/>
    <w:tmpl w:val="3566037A"/>
    <w:lvl w:ilvl="0" w:tplc="C2A02C34">
      <w:start w:val="1"/>
      <w:numFmt w:val="decimal"/>
      <w:lvlText w:val="%1."/>
      <w:lvlJc w:val="left"/>
      <w:pPr>
        <w:ind w:left="720" w:hanging="360"/>
      </w:pPr>
      <w:rPr>
        <w:b w:val="0"/>
        <w:bCs/>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1" w15:restartNumberingAfterBreak="0">
    <w:nsid w:val="2BB62376"/>
    <w:multiLevelType w:val="hybridMultilevel"/>
    <w:tmpl w:val="722C7B26"/>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212FC4"/>
    <w:multiLevelType w:val="hybridMultilevel"/>
    <w:tmpl w:val="77A68484"/>
    <w:lvl w:ilvl="0" w:tplc="66203ED8">
      <w:start w:val="1"/>
      <w:numFmt w:val="decimal"/>
      <w:lvlText w:val="%1."/>
      <w:lvlJc w:val="left"/>
      <w:pPr>
        <w:ind w:left="1080" w:hanging="360"/>
      </w:pPr>
      <w:rPr>
        <w:rFonts w:hint="default"/>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3" w15:restartNumberingAfterBreak="0">
    <w:nsid w:val="2DA41829"/>
    <w:multiLevelType w:val="hybridMultilevel"/>
    <w:tmpl w:val="CC9ACF30"/>
    <w:lvl w:ilvl="0" w:tplc="A6F8F654">
      <w:start w:val="1"/>
      <w:numFmt w:val="upperRoman"/>
      <w:lvlText w:val="%1."/>
      <w:lvlJc w:val="right"/>
      <w:pPr>
        <w:ind w:left="720" w:hanging="360"/>
      </w:pPr>
      <w:rPr>
        <w:rFonts w:hint="default"/>
        <w:b/>
        <w:bCs w:val="0"/>
      </w:rPr>
    </w:lvl>
    <w:lvl w:ilvl="1" w:tplc="04150011">
      <w:start w:val="1"/>
      <w:numFmt w:val="decimal"/>
      <w:lvlText w:val="%2)"/>
      <w:lvlJc w:val="left"/>
      <w:pPr>
        <w:ind w:left="1440" w:hanging="360"/>
      </w:pPr>
    </w:lvl>
    <w:lvl w:ilvl="2" w:tplc="04150017">
      <w:start w:val="1"/>
      <w:numFmt w:val="lowerLetter"/>
      <w:lvlText w:val="%3)"/>
      <w:lvlJc w:val="left"/>
      <w:pPr>
        <w:ind w:left="2160" w:hanging="180"/>
      </w:pPr>
    </w:lvl>
    <w:lvl w:ilvl="3" w:tplc="0415001B">
      <w:start w:val="1"/>
      <w:numFmt w:val="lowerRoman"/>
      <w:lvlText w:val="%4."/>
      <w:lvlJc w:val="right"/>
      <w:pPr>
        <w:ind w:left="2880" w:hanging="360"/>
      </w:pPr>
    </w:lvl>
    <w:lvl w:ilvl="4" w:tplc="0415000F">
      <w:start w:val="1"/>
      <w:numFmt w:val="decimal"/>
      <w:lvlText w:val="%5."/>
      <w:lvlJc w:val="left"/>
      <w:pPr>
        <w:ind w:left="501" w:hanging="360"/>
      </w:pPr>
    </w:lvl>
    <w:lvl w:ilvl="5" w:tplc="D8ACD604">
      <w:start w:val="1"/>
      <w:numFmt w:val="lowerLetter"/>
      <w:lvlText w:val="%6."/>
      <w:lvlJc w:val="left"/>
      <w:pPr>
        <w:ind w:left="4500" w:hanging="360"/>
      </w:pPr>
      <w:rPr>
        <w:rFonts w:hint="default"/>
        <w:b/>
        <w:bCs w:val="0"/>
      </w:r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2DE900D3"/>
    <w:multiLevelType w:val="hybridMultilevel"/>
    <w:tmpl w:val="807A5862"/>
    <w:lvl w:ilvl="0" w:tplc="04150017">
      <w:start w:val="1"/>
      <w:numFmt w:val="lowerLetter"/>
      <w:lvlText w:val="%1)"/>
      <w:lvlJc w:val="left"/>
      <w:pPr>
        <w:ind w:left="2220" w:hanging="360"/>
      </w:pPr>
    </w:lvl>
    <w:lvl w:ilvl="1" w:tplc="04150019" w:tentative="1">
      <w:start w:val="1"/>
      <w:numFmt w:val="lowerLetter"/>
      <w:lvlText w:val="%2."/>
      <w:lvlJc w:val="left"/>
      <w:pPr>
        <w:ind w:left="2940" w:hanging="360"/>
      </w:pPr>
    </w:lvl>
    <w:lvl w:ilvl="2" w:tplc="0415001B" w:tentative="1">
      <w:start w:val="1"/>
      <w:numFmt w:val="lowerRoman"/>
      <w:lvlText w:val="%3."/>
      <w:lvlJc w:val="right"/>
      <w:pPr>
        <w:ind w:left="3660" w:hanging="180"/>
      </w:pPr>
    </w:lvl>
    <w:lvl w:ilvl="3" w:tplc="0415000F" w:tentative="1">
      <w:start w:val="1"/>
      <w:numFmt w:val="decimal"/>
      <w:lvlText w:val="%4."/>
      <w:lvlJc w:val="left"/>
      <w:pPr>
        <w:ind w:left="4380" w:hanging="360"/>
      </w:pPr>
    </w:lvl>
    <w:lvl w:ilvl="4" w:tplc="04150019" w:tentative="1">
      <w:start w:val="1"/>
      <w:numFmt w:val="lowerLetter"/>
      <w:lvlText w:val="%5."/>
      <w:lvlJc w:val="left"/>
      <w:pPr>
        <w:ind w:left="5100" w:hanging="360"/>
      </w:pPr>
    </w:lvl>
    <w:lvl w:ilvl="5" w:tplc="0415001B" w:tentative="1">
      <w:start w:val="1"/>
      <w:numFmt w:val="lowerRoman"/>
      <w:lvlText w:val="%6."/>
      <w:lvlJc w:val="right"/>
      <w:pPr>
        <w:ind w:left="5820" w:hanging="180"/>
      </w:pPr>
    </w:lvl>
    <w:lvl w:ilvl="6" w:tplc="0415000F" w:tentative="1">
      <w:start w:val="1"/>
      <w:numFmt w:val="decimal"/>
      <w:lvlText w:val="%7."/>
      <w:lvlJc w:val="left"/>
      <w:pPr>
        <w:ind w:left="6540" w:hanging="360"/>
      </w:pPr>
    </w:lvl>
    <w:lvl w:ilvl="7" w:tplc="04150019" w:tentative="1">
      <w:start w:val="1"/>
      <w:numFmt w:val="lowerLetter"/>
      <w:lvlText w:val="%8."/>
      <w:lvlJc w:val="left"/>
      <w:pPr>
        <w:ind w:left="7260" w:hanging="360"/>
      </w:pPr>
    </w:lvl>
    <w:lvl w:ilvl="8" w:tplc="0415001B" w:tentative="1">
      <w:start w:val="1"/>
      <w:numFmt w:val="lowerRoman"/>
      <w:lvlText w:val="%9."/>
      <w:lvlJc w:val="right"/>
      <w:pPr>
        <w:ind w:left="7980" w:hanging="180"/>
      </w:pPr>
    </w:lvl>
  </w:abstractNum>
  <w:abstractNum w:abstractNumId="15" w15:restartNumberingAfterBreak="0">
    <w:nsid w:val="2ED72352"/>
    <w:multiLevelType w:val="multilevel"/>
    <w:tmpl w:val="96A81B68"/>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6D7E76"/>
    <w:multiLevelType w:val="multilevel"/>
    <w:tmpl w:val="0F30ED40"/>
    <w:lvl w:ilvl="0">
      <w:start w:val="1"/>
      <w:numFmt w:val="decimal"/>
      <w:lvlText w:val="%1."/>
      <w:lvlJc w:val="left"/>
      <w:pPr>
        <w:ind w:left="1440" w:hanging="360"/>
      </w:pPr>
      <w:rPr>
        <w:rFonts w:hint="default"/>
        <w:b w:val="0"/>
        <w:bCs w:val="0"/>
      </w:rPr>
    </w:lvl>
    <w:lvl w:ilvl="1">
      <w:start w:val="29"/>
      <w:numFmt w:val="decimal"/>
      <w:isLgl/>
      <w:lvlText w:val="%1.%2"/>
      <w:lvlJc w:val="left"/>
      <w:pPr>
        <w:ind w:left="1500" w:hanging="420"/>
      </w:pPr>
      <w:rPr>
        <w:rFonts w:hint="default"/>
        <w:color w:val="auto"/>
      </w:rPr>
    </w:lvl>
    <w:lvl w:ilvl="2">
      <w:start w:val="1"/>
      <w:numFmt w:val="decimal"/>
      <w:isLgl/>
      <w:lvlText w:val="%1.%2.%3"/>
      <w:lvlJc w:val="left"/>
      <w:pPr>
        <w:ind w:left="1800" w:hanging="720"/>
      </w:pPr>
      <w:rPr>
        <w:rFonts w:hint="default"/>
        <w:color w:val="auto"/>
      </w:rPr>
    </w:lvl>
    <w:lvl w:ilvl="3">
      <w:start w:val="1"/>
      <w:numFmt w:val="decimal"/>
      <w:isLgl/>
      <w:lvlText w:val="%1.%2.%3.%4"/>
      <w:lvlJc w:val="left"/>
      <w:pPr>
        <w:ind w:left="1800" w:hanging="720"/>
      </w:pPr>
      <w:rPr>
        <w:rFonts w:hint="default"/>
        <w:color w:val="auto"/>
      </w:rPr>
    </w:lvl>
    <w:lvl w:ilvl="4">
      <w:start w:val="1"/>
      <w:numFmt w:val="decimal"/>
      <w:isLgl/>
      <w:lvlText w:val="%1.%2.%3.%4.%5"/>
      <w:lvlJc w:val="left"/>
      <w:pPr>
        <w:ind w:left="2160" w:hanging="1080"/>
      </w:pPr>
      <w:rPr>
        <w:rFonts w:hint="default"/>
        <w:color w:val="auto"/>
      </w:rPr>
    </w:lvl>
    <w:lvl w:ilvl="5">
      <w:start w:val="1"/>
      <w:numFmt w:val="decimal"/>
      <w:isLgl/>
      <w:lvlText w:val="%1.%2.%3.%4.%5.%6"/>
      <w:lvlJc w:val="left"/>
      <w:pPr>
        <w:ind w:left="2160" w:hanging="1080"/>
      </w:pPr>
      <w:rPr>
        <w:rFonts w:hint="default"/>
        <w:color w:val="auto"/>
      </w:rPr>
    </w:lvl>
    <w:lvl w:ilvl="6">
      <w:start w:val="1"/>
      <w:numFmt w:val="decimal"/>
      <w:isLgl/>
      <w:lvlText w:val="%1.%2.%3.%4.%5.%6.%7"/>
      <w:lvlJc w:val="left"/>
      <w:pPr>
        <w:ind w:left="2520" w:hanging="1440"/>
      </w:pPr>
      <w:rPr>
        <w:rFonts w:hint="default"/>
        <w:color w:val="auto"/>
      </w:rPr>
    </w:lvl>
    <w:lvl w:ilvl="7">
      <w:start w:val="1"/>
      <w:numFmt w:val="decimal"/>
      <w:isLgl/>
      <w:lvlText w:val="%1.%2.%3.%4.%5.%6.%7.%8"/>
      <w:lvlJc w:val="left"/>
      <w:pPr>
        <w:ind w:left="2520" w:hanging="1440"/>
      </w:pPr>
      <w:rPr>
        <w:rFonts w:hint="default"/>
        <w:color w:val="auto"/>
      </w:rPr>
    </w:lvl>
    <w:lvl w:ilvl="8">
      <w:start w:val="1"/>
      <w:numFmt w:val="decimal"/>
      <w:isLgl/>
      <w:lvlText w:val="%1.%2.%3.%4.%5.%6.%7.%8.%9"/>
      <w:lvlJc w:val="left"/>
      <w:pPr>
        <w:ind w:left="2880" w:hanging="1800"/>
      </w:pPr>
      <w:rPr>
        <w:rFonts w:hint="default"/>
        <w:color w:val="auto"/>
      </w:rPr>
    </w:lvl>
  </w:abstractNum>
  <w:abstractNum w:abstractNumId="17" w15:restartNumberingAfterBreak="0">
    <w:nsid w:val="368E19D5"/>
    <w:multiLevelType w:val="hybridMultilevel"/>
    <w:tmpl w:val="A69C362C"/>
    <w:lvl w:ilvl="0" w:tplc="E90C0A2C">
      <w:start w:val="4"/>
      <w:numFmt w:val="upperRoman"/>
      <w:lvlText w:val="%1."/>
      <w:lvlJc w:val="left"/>
      <w:pPr>
        <w:ind w:left="1080" w:hanging="720"/>
      </w:pPr>
      <w:rPr>
        <w:rFonts w:hint="default"/>
        <w:b w:val="0"/>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6CB37B3"/>
    <w:multiLevelType w:val="hybridMultilevel"/>
    <w:tmpl w:val="3ADA3D50"/>
    <w:lvl w:ilvl="0" w:tplc="0415000F">
      <w:start w:val="1"/>
      <w:numFmt w:val="decimal"/>
      <w:lvlText w:val="%1."/>
      <w:lvlJc w:val="left"/>
      <w:pPr>
        <w:ind w:left="502"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19" w15:restartNumberingAfterBreak="0">
    <w:nsid w:val="39C0288A"/>
    <w:multiLevelType w:val="hybridMultilevel"/>
    <w:tmpl w:val="884AEB14"/>
    <w:lvl w:ilvl="0" w:tplc="FFFFFFFF">
      <w:start w:val="1"/>
      <w:numFmt w:val="upperRoman"/>
      <w:lvlText w:val="%1."/>
      <w:lvlJc w:val="right"/>
      <w:pPr>
        <w:ind w:left="720" w:hanging="360"/>
      </w:pPr>
      <w:rPr>
        <w:rFonts w:hint="default"/>
        <w:b/>
        <w:bCs w:val="0"/>
      </w:rPr>
    </w:lvl>
    <w:lvl w:ilvl="1" w:tplc="FFFFFFFF">
      <w:start w:val="1"/>
      <w:numFmt w:val="decimal"/>
      <w:lvlText w:val="%2)"/>
      <w:lvlJc w:val="left"/>
      <w:pPr>
        <w:ind w:left="1440" w:hanging="360"/>
      </w:pPr>
    </w:lvl>
    <w:lvl w:ilvl="2" w:tplc="FFFFFFFF">
      <w:start w:val="1"/>
      <w:numFmt w:val="lowerLetter"/>
      <w:lvlText w:val="%3)"/>
      <w:lvlJc w:val="left"/>
      <w:pPr>
        <w:ind w:left="2160" w:hanging="180"/>
      </w:pPr>
    </w:lvl>
    <w:lvl w:ilvl="3" w:tplc="FFFFFFFF">
      <w:start w:val="1"/>
      <w:numFmt w:val="lowerRoman"/>
      <w:lvlText w:val="%4."/>
      <w:lvlJc w:val="righ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B067DD"/>
    <w:multiLevelType w:val="hybridMultilevel"/>
    <w:tmpl w:val="39F871E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443B54D7"/>
    <w:multiLevelType w:val="hybridMultilevel"/>
    <w:tmpl w:val="0A6A0866"/>
    <w:lvl w:ilvl="0" w:tplc="A65ED05E">
      <w:start w:val="1"/>
      <w:numFmt w:val="lowerLetter"/>
      <w:lvlText w:val="%1)"/>
      <w:lvlJc w:val="left"/>
      <w:pPr>
        <w:ind w:left="2160" w:hanging="360"/>
      </w:pPr>
      <w:rPr>
        <w:b/>
        <w:bCs w:val="0"/>
      </w:rPr>
    </w:lvl>
    <w:lvl w:ilvl="1" w:tplc="04150019" w:tentative="1">
      <w:start w:val="1"/>
      <w:numFmt w:val="lowerLetter"/>
      <w:lvlText w:val="%2."/>
      <w:lvlJc w:val="left"/>
      <w:pPr>
        <w:ind w:left="2880" w:hanging="360"/>
      </w:pPr>
    </w:lvl>
    <w:lvl w:ilvl="2" w:tplc="0415001B" w:tentative="1">
      <w:start w:val="1"/>
      <w:numFmt w:val="lowerRoman"/>
      <w:lvlText w:val="%3."/>
      <w:lvlJc w:val="right"/>
      <w:pPr>
        <w:ind w:left="3600" w:hanging="180"/>
      </w:pPr>
    </w:lvl>
    <w:lvl w:ilvl="3" w:tplc="0415000F" w:tentative="1">
      <w:start w:val="1"/>
      <w:numFmt w:val="decimal"/>
      <w:lvlText w:val="%4."/>
      <w:lvlJc w:val="left"/>
      <w:pPr>
        <w:ind w:left="4320" w:hanging="360"/>
      </w:pPr>
    </w:lvl>
    <w:lvl w:ilvl="4" w:tplc="04150019" w:tentative="1">
      <w:start w:val="1"/>
      <w:numFmt w:val="lowerLetter"/>
      <w:lvlText w:val="%5."/>
      <w:lvlJc w:val="left"/>
      <w:pPr>
        <w:ind w:left="5040" w:hanging="360"/>
      </w:pPr>
    </w:lvl>
    <w:lvl w:ilvl="5" w:tplc="0415001B" w:tentative="1">
      <w:start w:val="1"/>
      <w:numFmt w:val="lowerRoman"/>
      <w:lvlText w:val="%6."/>
      <w:lvlJc w:val="right"/>
      <w:pPr>
        <w:ind w:left="5760" w:hanging="180"/>
      </w:pPr>
    </w:lvl>
    <w:lvl w:ilvl="6" w:tplc="0415000F" w:tentative="1">
      <w:start w:val="1"/>
      <w:numFmt w:val="decimal"/>
      <w:lvlText w:val="%7."/>
      <w:lvlJc w:val="left"/>
      <w:pPr>
        <w:ind w:left="6480" w:hanging="360"/>
      </w:pPr>
    </w:lvl>
    <w:lvl w:ilvl="7" w:tplc="04150019" w:tentative="1">
      <w:start w:val="1"/>
      <w:numFmt w:val="lowerLetter"/>
      <w:lvlText w:val="%8."/>
      <w:lvlJc w:val="left"/>
      <w:pPr>
        <w:ind w:left="7200" w:hanging="360"/>
      </w:pPr>
    </w:lvl>
    <w:lvl w:ilvl="8" w:tplc="0415001B" w:tentative="1">
      <w:start w:val="1"/>
      <w:numFmt w:val="lowerRoman"/>
      <w:lvlText w:val="%9."/>
      <w:lvlJc w:val="right"/>
      <w:pPr>
        <w:ind w:left="7920" w:hanging="180"/>
      </w:pPr>
    </w:lvl>
  </w:abstractNum>
  <w:abstractNum w:abstractNumId="22" w15:restartNumberingAfterBreak="0">
    <w:nsid w:val="508A7A78"/>
    <w:multiLevelType w:val="hybridMultilevel"/>
    <w:tmpl w:val="354E7548"/>
    <w:lvl w:ilvl="0" w:tplc="04150017">
      <w:start w:val="1"/>
      <w:numFmt w:val="lowerLetter"/>
      <w:lvlText w:val="%1)"/>
      <w:lvlJc w:val="left"/>
      <w:pPr>
        <w:ind w:left="1287" w:hanging="360"/>
      </w:pPr>
      <w:rPr>
        <w:i w:val="0"/>
        <w:iCs w:val="0"/>
      </w:rPr>
    </w:lvl>
    <w:lvl w:ilvl="1" w:tplc="04150019">
      <w:start w:val="1"/>
      <w:numFmt w:val="lowerLetter"/>
      <w:lvlText w:val="%2."/>
      <w:lvlJc w:val="left"/>
      <w:pPr>
        <w:ind w:left="2007" w:hanging="360"/>
      </w:pPr>
    </w:lvl>
    <w:lvl w:ilvl="2" w:tplc="0415001B">
      <w:start w:val="1"/>
      <w:numFmt w:val="lowerRoman"/>
      <w:lvlText w:val="%3."/>
      <w:lvlJc w:val="right"/>
      <w:pPr>
        <w:ind w:left="2727" w:hanging="180"/>
      </w:pPr>
    </w:lvl>
    <w:lvl w:ilvl="3" w:tplc="0415000F">
      <w:start w:val="1"/>
      <w:numFmt w:val="decimal"/>
      <w:lvlText w:val="%4."/>
      <w:lvlJc w:val="left"/>
      <w:pPr>
        <w:ind w:left="3447" w:hanging="360"/>
      </w:pPr>
    </w:lvl>
    <w:lvl w:ilvl="4" w:tplc="04150019">
      <w:start w:val="1"/>
      <w:numFmt w:val="lowerLetter"/>
      <w:lvlText w:val="%5."/>
      <w:lvlJc w:val="left"/>
      <w:pPr>
        <w:ind w:left="4167" w:hanging="360"/>
      </w:pPr>
    </w:lvl>
    <w:lvl w:ilvl="5" w:tplc="0415001B">
      <w:start w:val="1"/>
      <w:numFmt w:val="lowerRoman"/>
      <w:lvlText w:val="%6."/>
      <w:lvlJc w:val="right"/>
      <w:pPr>
        <w:ind w:left="4887" w:hanging="180"/>
      </w:pPr>
    </w:lvl>
    <w:lvl w:ilvl="6" w:tplc="0415000F">
      <w:start w:val="1"/>
      <w:numFmt w:val="decimal"/>
      <w:lvlText w:val="%7."/>
      <w:lvlJc w:val="left"/>
      <w:pPr>
        <w:ind w:left="5607" w:hanging="360"/>
      </w:pPr>
    </w:lvl>
    <w:lvl w:ilvl="7" w:tplc="04150019">
      <w:start w:val="1"/>
      <w:numFmt w:val="lowerLetter"/>
      <w:lvlText w:val="%8."/>
      <w:lvlJc w:val="left"/>
      <w:pPr>
        <w:ind w:left="6327" w:hanging="360"/>
      </w:pPr>
    </w:lvl>
    <w:lvl w:ilvl="8" w:tplc="0415001B">
      <w:start w:val="1"/>
      <w:numFmt w:val="lowerRoman"/>
      <w:lvlText w:val="%9."/>
      <w:lvlJc w:val="right"/>
      <w:pPr>
        <w:ind w:left="7047" w:hanging="180"/>
      </w:pPr>
    </w:lvl>
  </w:abstractNum>
  <w:abstractNum w:abstractNumId="23" w15:restartNumberingAfterBreak="0">
    <w:nsid w:val="514F0BE0"/>
    <w:multiLevelType w:val="hybridMultilevel"/>
    <w:tmpl w:val="BED46C00"/>
    <w:lvl w:ilvl="0" w:tplc="04150011">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24" w15:restartNumberingAfterBreak="0">
    <w:nsid w:val="5610719A"/>
    <w:multiLevelType w:val="hybridMultilevel"/>
    <w:tmpl w:val="E3609870"/>
    <w:lvl w:ilvl="0" w:tplc="1CA2BC22">
      <w:start w:val="1"/>
      <w:numFmt w:val="decimal"/>
      <w:lvlText w:val="%1)"/>
      <w:lvlJc w:val="left"/>
      <w:pPr>
        <w:ind w:left="1080" w:hanging="360"/>
      </w:pPr>
      <w:rPr>
        <w:rFonts w:hint="default"/>
        <w:sz w:val="20"/>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25" w15:restartNumberingAfterBreak="0">
    <w:nsid w:val="598F7F18"/>
    <w:multiLevelType w:val="hybridMultilevel"/>
    <w:tmpl w:val="1CC8644C"/>
    <w:lvl w:ilvl="0" w:tplc="674AEF9E">
      <w:start w:val="6"/>
      <w:numFmt w:val="lowerRoman"/>
      <w:lvlText w:val="%1."/>
      <w:lvlJc w:val="left"/>
      <w:pPr>
        <w:ind w:left="1080" w:hanging="72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AF76F34"/>
    <w:multiLevelType w:val="hybridMultilevel"/>
    <w:tmpl w:val="52CA9264"/>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5DA55600"/>
    <w:multiLevelType w:val="hybridMultilevel"/>
    <w:tmpl w:val="0242EF02"/>
    <w:lvl w:ilvl="0" w:tplc="D8EA2012">
      <w:start w:val="4"/>
      <w:numFmt w:val="upperRoman"/>
      <w:lvlText w:val="%1."/>
      <w:lvlJc w:val="right"/>
      <w:pPr>
        <w:ind w:left="720" w:hanging="360"/>
      </w:pPr>
      <w:rPr>
        <w:rFonts w:hint="default"/>
        <w:b/>
        <w:bCs/>
        <w:i w:val="0"/>
        <w:iCs w:val="0"/>
      </w:rPr>
    </w:lvl>
    <w:lvl w:ilvl="1" w:tplc="0415000F">
      <w:start w:val="1"/>
      <w:numFmt w:val="decimal"/>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8" w15:restartNumberingAfterBreak="0">
    <w:nsid w:val="60211C52"/>
    <w:multiLevelType w:val="hybridMultilevel"/>
    <w:tmpl w:val="513CC49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62871C1B"/>
    <w:multiLevelType w:val="hybridMultilevel"/>
    <w:tmpl w:val="4962A9A8"/>
    <w:lvl w:ilvl="0" w:tplc="04150011">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28C5A2F"/>
    <w:multiLevelType w:val="hybridMultilevel"/>
    <w:tmpl w:val="CC7E91F8"/>
    <w:lvl w:ilvl="0" w:tplc="CE68165A">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62DA0F5C"/>
    <w:multiLevelType w:val="multilevel"/>
    <w:tmpl w:val="7B90E65A"/>
    <w:lvl w:ilvl="0">
      <w:start w:val="1"/>
      <w:numFmt w:val="none"/>
      <w:pStyle w:val="CourtDoc1"/>
      <w:suff w:val="nothing"/>
      <w:lvlText w:val=""/>
      <w:lvlJc w:val="left"/>
      <w:pPr>
        <w:ind w:left="851" w:hanging="851"/>
      </w:pPr>
    </w:lvl>
    <w:lvl w:ilvl="1">
      <w:start w:val="1"/>
      <w:numFmt w:val="upperRoman"/>
      <w:pStyle w:val="CourtDoc2"/>
      <w:lvlText w:val="%2."/>
      <w:lvlJc w:val="left"/>
      <w:pPr>
        <w:tabs>
          <w:tab w:val="num" w:pos="851"/>
        </w:tabs>
        <w:ind w:left="851" w:hanging="851"/>
      </w:pPr>
      <w:rPr>
        <w:i w:val="0"/>
        <w:iCs w:val="0"/>
        <w:sz w:val="22"/>
      </w:rPr>
    </w:lvl>
    <w:lvl w:ilvl="2">
      <w:start w:val="1"/>
      <w:numFmt w:val="decimal"/>
      <w:pStyle w:val="CourtDoc3"/>
      <w:lvlText w:val="%2.%3."/>
      <w:lvlJc w:val="left"/>
      <w:pPr>
        <w:tabs>
          <w:tab w:val="num" w:pos="851"/>
        </w:tabs>
        <w:ind w:left="851" w:hanging="851"/>
      </w:pPr>
      <w:rPr>
        <w:sz w:val="22"/>
      </w:rPr>
    </w:lvl>
    <w:lvl w:ilvl="3">
      <w:start w:val="1"/>
      <w:numFmt w:val="decimal"/>
      <w:pStyle w:val="CourtDoc4"/>
      <w:lvlText w:val="%2.%3.%4."/>
      <w:lvlJc w:val="left"/>
      <w:pPr>
        <w:tabs>
          <w:tab w:val="num" w:pos="851"/>
        </w:tabs>
        <w:ind w:left="851" w:hanging="851"/>
      </w:pPr>
    </w:lvl>
    <w:lvl w:ilvl="4">
      <w:start w:val="1"/>
      <w:numFmt w:val="lowerLetter"/>
      <w:lvlText w:val="%5."/>
      <w:lvlJc w:val="left"/>
      <w:pPr>
        <w:tabs>
          <w:tab w:val="num" w:pos="1701"/>
        </w:tabs>
        <w:ind w:left="1701" w:hanging="850"/>
      </w:pPr>
    </w:lvl>
    <w:lvl w:ilvl="5">
      <w:start w:val="1"/>
      <w:numFmt w:val="lowerRoman"/>
      <w:pStyle w:val="CourtDoc6"/>
      <w:lvlText w:val="(%6)"/>
      <w:lvlJc w:val="left"/>
      <w:pPr>
        <w:tabs>
          <w:tab w:val="num" w:pos="1701"/>
        </w:tabs>
        <w:ind w:left="1701" w:hanging="850"/>
      </w:pPr>
      <w:rPr>
        <w:b w:val="0"/>
        <w:bCs/>
        <w:i w:val="0"/>
      </w:rPr>
    </w:lvl>
    <w:lvl w:ilvl="6">
      <w:start w:val="1"/>
      <w:numFmt w:val="none"/>
      <w:lvlRestart w:val="0"/>
      <w:pStyle w:val="CourtDoc7"/>
      <w:suff w:val="nothing"/>
      <w:lvlText w:val=""/>
      <w:lvlJc w:val="left"/>
      <w:pPr>
        <w:ind w:left="0" w:firstLine="0"/>
      </w:pPr>
    </w:lvl>
    <w:lvl w:ilvl="7">
      <w:start w:val="1"/>
      <w:numFmt w:val="none"/>
      <w:lvlRestart w:val="0"/>
      <w:pStyle w:val="CourtDoc8"/>
      <w:suff w:val="nothing"/>
      <w:lvlText w:val=""/>
      <w:lvlJc w:val="left"/>
      <w:pPr>
        <w:ind w:left="0" w:firstLine="0"/>
      </w:pPr>
      <w:rPr>
        <w:sz w:val="22"/>
      </w:rPr>
    </w:lvl>
    <w:lvl w:ilvl="8">
      <w:start w:val="1"/>
      <w:numFmt w:val="upperLetter"/>
      <w:pStyle w:val="CourtDoc9"/>
      <w:lvlText w:val="%9."/>
      <w:lvlJc w:val="left"/>
      <w:pPr>
        <w:tabs>
          <w:tab w:val="num" w:pos="851"/>
        </w:tabs>
        <w:ind w:left="851" w:hanging="851"/>
      </w:pPr>
    </w:lvl>
  </w:abstractNum>
  <w:abstractNum w:abstractNumId="32" w15:restartNumberingAfterBreak="0">
    <w:nsid w:val="72EE552B"/>
    <w:multiLevelType w:val="hybridMultilevel"/>
    <w:tmpl w:val="394A560E"/>
    <w:lvl w:ilvl="0" w:tplc="3C969BCA">
      <w:numFmt w:val="decimalZero"/>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77C05BFF"/>
    <w:multiLevelType w:val="hybridMultilevel"/>
    <w:tmpl w:val="627220E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04150011">
      <w:start w:val="1"/>
      <w:numFmt w:val="decimal"/>
      <w:lvlText w:val="%3)"/>
      <w:lvlJc w:val="left"/>
      <w:pPr>
        <w:ind w:left="14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85A6054"/>
    <w:multiLevelType w:val="hybridMultilevel"/>
    <w:tmpl w:val="DA0443B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start w:val="1"/>
      <w:numFmt w:val="decimal"/>
      <w:lvlText w:val="%4."/>
      <w:lvlJc w:val="left"/>
      <w:pPr>
        <w:ind w:left="2880" w:hanging="360"/>
      </w:pPr>
    </w:lvl>
    <w:lvl w:ilvl="4" w:tplc="04150019">
      <w:start w:val="1"/>
      <w:numFmt w:val="lowerLetter"/>
      <w:lvlText w:val="%5."/>
      <w:lvlJc w:val="left"/>
      <w:pPr>
        <w:ind w:left="3600" w:hanging="360"/>
      </w:pPr>
    </w:lvl>
    <w:lvl w:ilvl="5" w:tplc="0415001B">
      <w:start w:val="1"/>
      <w:numFmt w:val="lowerRoman"/>
      <w:lvlText w:val="%6."/>
      <w:lvlJc w:val="right"/>
      <w:pPr>
        <w:ind w:left="4320" w:hanging="180"/>
      </w:pPr>
    </w:lvl>
    <w:lvl w:ilvl="6" w:tplc="0415000F">
      <w:start w:val="1"/>
      <w:numFmt w:val="decimal"/>
      <w:lvlText w:val="%7."/>
      <w:lvlJc w:val="left"/>
      <w:pPr>
        <w:ind w:left="5040" w:hanging="360"/>
      </w:pPr>
    </w:lvl>
    <w:lvl w:ilvl="7" w:tplc="04150019">
      <w:start w:val="1"/>
      <w:numFmt w:val="lowerLetter"/>
      <w:lvlText w:val="%8."/>
      <w:lvlJc w:val="left"/>
      <w:pPr>
        <w:ind w:left="5760" w:hanging="360"/>
      </w:pPr>
    </w:lvl>
    <w:lvl w:ilvl="8" w:tplc="0415001B">
      <w:start w:val="1"/>
      <w:numFmt w:val="lowerRoman"/>
      <w:lvlText w:val="%9."/>
      <w:lvlJc w:val="right"/>
      <w:pPr>
        <w:ind w:left="6480" w:hanging="180"/>
      </w:pPr>
    </w:lvl>
  </w:abstractNum>
  <w:abstractNum w:abstractNumId="35" w15:restartNumberingAfterBreak="0">
    <w:nsid w:val="7AB13440"/>
    <w:multiLevelType w:val="hybridMultilevel"/>
    <w:tmpl w:val="8F506D72"/>
    <w:lvl w:ilvl="0" w:tplc="24145E28">
      <w:start w:val="1"/>
      <w:numFmt w:val="decimal"/>
      <w:lvlText w:val="%1."/>
      <w:lvlJc w:val="left"/>
      <w:pPr>
        <w:ind w:left="394" w:hanging="360"/>
      </w:pPr>
      <w:rPr>
        <w:rFonts w:hint="default"/>
      </w:rPr>
    </w:lvl>
    <w:lvl w:ilvl="1" w:tplc="04150019" w:tentative="1">
      <w:start w:val="1"/>
      <w:numFmt w:val="lowerLetter"/>
      <w:lvlText w:val="%2."/>
      <w:lvlJc w:val="left"/>
      <w:pPr>
        <w:ind w:left="1114" w:hanging="360"/>
      </w:pPr>
    </w:lvl>
    <w:lvl w:ilvl="2" w:tplc="0415001B" w:tentative="1">
      <w:start w:val="1"/>
      <w:numFmt w:val="lowerRoman"/>
      <w:lvlText w:val="%3."/>
      <w:lvlJc w:val="right"/>
      <w:pPr>
        <w:ind w:left="1834" w:hanging="180"/>
      </w:pPr>
    </w:lvl>
    <w:lvl w:ilvl="3" w:tplc="0415000F" w:tentative="1">
      <w:start w:val="1"/>
      <w:numFmt w:val="decimal"/>
      <w:lvlText w:val="%4."/>
      <w:lvlJc w:val="left"/>
      <w:pPr>
        <w:ind w:left="2554" w:hanging="360"/>
      </w:pPr>
    </w:lvl>
    <w:lvl w:ilvl="4" w:tplc="04150019" w:tentative="1">
      <w:start w:val="1"/>
      <w:numFmt w:val="lowerLetter"/>
      <w:lvlText w:val="%5."/>
      <w:lvlJc w:val="left"/>
      <w:pPr>
        <w:ind w:left="3274" w:hanging="360"/>
      </w:pPr>
    </w:lvl>
    <w:lvl w:ilvl="5" w:tplc="0415001B" w:tentative="1">
      <w:start w:val="1"/>
      <w:numFmt w:val="lowerRoman"/>
      <w:lvlText w:val="%6."/>
      <w:lvlJc w:val="right"/>
      <w:pPr>
        <w:ind w:left="3994" w:hanging="180"/>
      </w:pPr>
    </w:lvl>
    <w:lvl w:ilvl="6" w:tplc="0415000F" w:tentative="1">
      <w:start w:val="1"/>
      <w:numFmt w:val="decimal"/>
      <w:lvlText w:val="%7."/>
      <w:lvlJc w:val="left"/>
      <w:pPr>
        <w:ind w:left="4714" w:hanging="360"/>
      </w:pPr>
    </w:lvl>
    <w:lvl w:ilvl="7" w:tplc="04150019" w:tentative="1">
      <w:start w:val="1"/>
      <w:numFmt w:val="lowerLetter"/>
      <w:lvlText w:val="%8."/>
      <w:lvlJc w:val="left"/>
      <w:pPr>
        <w:ind w:left="5434" w:hanging="360"/>
      </w:pPr>
    </w:lvl>
    <w:lvl w:ilvl="8" w:tplc="0415001B" w:tentative="1">
      <w:start w:val="1"/>
      <w:numFmt w:val="lowerRoman"/>
      <w:lvlText w:val="%9."/>
      <w:lvlJc w:val="right"/>
      <w:pPr>
        <w:ind w:left="6154" w:hanging="180"/>
      </w:pPr>
    </w:lvl>
  </w:abstractNum>
  <w:abstractNum w:abstractNumId="36" w15:restartNumberingAfterBreak="0">
    <w:nsid w:val="7DCD048F"/>
    <w:multiLevelType w:val="hybridMultilevel"/>
    <w:tmpl w:val="C9264444"/>
    <w:lvl w:ilvl="0" w:tplc="0616DA4A">
      <w:start w:val="1"/>
      <w:numFmt w:val="decimal"/>
      <w:lvlText w:val="%1)"/>
      <w:lvlJc w:val="left"/>
      <w:pPr>
        <w:ind w:left="927" w:hanging="360"/>
      </w:pPr>
      <w:rPr>
        <w:rFonts w:hint="default"/>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num w:numId="1" w16cid:durableId="1638146066">
    <w:abstractNumId w:val="11"/>
  </w:num>
  <w:num w:numId="2" w16cid:durableId="682363884">
    <w:abstractNumId w:val="12"/>
  </w:num>
  <w:num w:numId="3" w16cid:durableId="1022628082">
    <w:abstractNumId w:val="35"/>
  </w:num>
  <w:num w:numId="4" w16cid:durableId="1686323919">
    <w:abstractNumId w:val="28"/>
  </w:num>
  <w:num w:numId="5" w16cid:durableId="1003316708">
    <w:abstractNumId w:val="24"/>
  </w:num>
  <w:num w:numId="6" w16cid:durableId="1841499893">
    <w:abstractNumId w:val="32"/>
  </w:num>
  <w:num w:numId="7" w16cid:durableId="11169476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452902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24615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13236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3057337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173610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099867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918246034">
    <w:abstractNumId w:val="1"/>
    <w:lvlOverride w:ilvl="0">
      <w:startOverride w:val="15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99906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15991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4396344">
    <w:abstractNumId w:val="3"/>
  </w:num>
  <w:num w:numId="18" w16cid:durableId="468401595">
    <w:abstractNumId w:val="1"/>
  </w:num>
  <w:num w:numId="19" w16cid:durableId="295574569">
    <w:abstractNumId w:val="22"/>
  </w:num>
  <w:num w:numId="20" w16cid:durableId="1208681723">
    <w:abstractNumId w:val="7"/>
  </w:num>
  <w:num w:numId="21" w16cid:durableId="1976638871">
    <w:abstractNumId w:val="13"/>
  </w:num>
  <w:num w:numId="22" w16cid:durableId="1468161077">
    <w:abstractNumId w:val="6"/>
  </w:num>
  <w:num w:numId="23" w16cid:durableId="830831557">
    <w:abstractNumId w:val="26"/>
  </w:num>
  <w:num w:numId="24" w16cid:durableId="152543656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3873651">
    <w:abstractNumId w:val="23"/>
  </w:num>
  <w:num w:numId="26" w16cid:durableId="423500582">
    <w:abstractNumId w:val="15"/>
  </w:num>
  <w:num w:numId="27" w16cid:durableId="635796816">
    <w:abstractNumId w:val="33"/>
  </w:num>
  <w:num w:numId="28" w16cid:durableId="1136484178">
    <w:abstractNumId w:val="9"/>
  </w:num>
  <w:num w:numId="29" w16cid:durableId="1475756388">
    <w:abstractNumId w:val="16"/>
  </w:num>
  <w:num w:numId="30" w16cid:durableId="1678732151">
    <w:abstractNumId w:val="36"/>
  </w:num>
  <w:num w:numId="31" w16cid:durableId="318120133">
    <w:abstractNumId w:val="30"/>
  </w:num>
  <w:num w:numId="32" w16cid:durableId="2073308232">
    <w:abstractNumId w:val="0"/>
  </w:num>
  <w:num w:numId="33" w16cid:durableId="1991859126">
    <w:abstractNumId w:val="8"/>
  </w:num>
  <w:num w:numId="34" w16cid:durableId="334112987">
    <w:abstractNumId w:val="21"/>
  </w:num>
  <w:num w:numId="35" w16cid:durableId="1865752692">
    <w:abstractNumId w:val="14"/>
  </w:num>
  <w:num w:numId="36" w16cid:durableId="606691595">
    <w:abstractNumId w:val="20"/>
  </w:num>
  <w:num w:numId="37" w16cid:durableId="862867508">
    <w:abstractNumId w:val="29"/>
  </w:num>
  <w:num w:numId="38" w16cid:durableId="786460829">
    <w:abstractNumId w:val="27"/>
  </w:num>
  <w:num w:numId="39" w16cid:durableId="1838375237">
    <w:abstractNumId w:val="19"/>
  </w:num>
  <w:num w:numId="40" w16cid:durableId="1100023452">
    <w:abstractNumId w:val="25"/>
  </w:num>
  <w:num w:numId="41" w16cid:durableId="10145748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9E7"/>
    <w:rsid w:val="000016E8"/>
    <w:rsid w:val="00003D02"/>
    <w:rsid w:val="00003DB8"/>
    <w:rsid w:val="00010944"/>
    <w:rsid w:val="000111AE"/>
    <w:rsid w:val="00013671"/>
    <w:rsid w:val="00015C4F"/>
    <w:rsid w:val="00020EE0"/>
    <w:rsid w:val="00021A96"/>
    <w:rsid w:val="00025456"/>
    <w:rsid w:val="00025D79"/>
    <w:rsid w:val="00031613"/>
    <w:rsid w:val="0003167E"/>
    <w:rsid w:val="00033C31"/>
    <w:rsid w:val="000375DD"/>
    <w:rsid w:val="0004287D"/>
    <w:rsid w:val="00044863"/>
    <w:rsid w:val="00044B6B"/>
    <w:rsid w:val="000452CA"/>
    <w:rsid w:val="00053ADB"/>
    <w:rsid w:val="000559DE"/>
    <w:rsid w:val="000568C6"/>
    <w:rsid w:val="00056F22"/>
    <w:rsid w:val="00057515"/>
    <w:rsid w:val="00063835"/>
    <w:rsid w:val="000652E4"/>
    <w:rsid w:val="0006626C"/>
    <w:rsid w:val="00073F21"/>
    <w:rsid w:val="00076D43"/>
    <w:rsid w:val="00081627"/>
    <w:rsid w:val="00082ACE"/>
    <w:rsid w:val="000869FC"/>
    <w:rsid w:val="0009501B"/>
    <w:rsid w:val="0009647D"/>
    <w:rsid w:val="000A50AA"/>
    <w:rsid w:val="000A64E8"/>
    <w:rsid w:val="000A66CC"/>
    <w:rsid w:val="000A7612"/>
    <w:rsid w:val="000B2B1F"/>
    <w:rsid w:val="000B6A9B"/>
    <w:rsid w:val="000C1057"/>
    <w:rsid w:val="000C6F66"/>
    <w:rsid w:val="000D0C80"/>
    <w:rsid w:val="000D1E8B"/>
    <w:rsid w:val="000D48F8"/>
    <w:rsid w:val="000E29D3"/>
    <w:rsid w:val="000E6FC7"/>
    <w:rsid w:val="000E7816"/>
    <w:rsid w:val="000F1A30"/>
    <w:rsid w:val="000F352C"/>
    <w:rsid w:val="000F467B"/>
    <w:rsid w:val="000F5F73"/>
    <w:rsid w:val="00103FC6"/>
    <w:rsid w:val="001120F2"/>
    <w:rsid w:val="00125B7F"/>
    <w:rsid w:val="00126CAE"/>
    <w:rsid w:val="001321E4"/>
    <w:rsid w:val="001345D6"/>
    <w:rsid w:val="00146360"/>
    <w:rsid w:val="00146B25"/>
    <w:rsid w:val="001523D9"/>
    <w:rsid w:val="001654D5"/>
    <w:rsid w:val="0016749C"/>
    <w:rsid w:val="001716EF"/>
    <w:rsid w:val="00187E55"/>
    <w:rsid w:val="0019020C"/>
    <w:rsid w:val="001916C3"/>
    <w:rsid w:val="00191845"/>
    <w:rsid w:val="0019226B"/>
    <w:rsid w:val="0019379C"/>
    <w:rsid w:val="001948E1"/>
    <w:rsid w:val="001A332F"/>
    <w:rsid w:val="001A47CA"/>
    <w:rsid w:val="001A6871"/>
    <w:rsid w:val="001B15E7"/>
    <w:rsid w:val="001B3610"/>
    <w:rsid w:val="001C62C8"/>
    <w:rsid w:val="001C65CC"/>
    <w:rsid w:val="001D2634"/>
    <w:rsid w:val="001D4BF9"/>
    <w:rsid w:val="001E4C79"/>
    <w:rsid w:val="00201B37"/>
    <w:rsid w:val="00204DD2"/>
    <w:rsid w:val="0020602B"/>
    <w:rsid w:val="00210FFC"/>
    <w:rsid w:val="00212788"/>
    <w:rsid w:val="002136F2"/>
    <w:rsid w:val="002205DD"/>
    <w:rsid w:val="00223FF0"/>
    <w:rsid w:val="00226A3F"/>
    <w:rsid w:val="00233E8C"/>
    <w:rsid w:val="002344CA"/>
    <w:rsid w:val="002367AD"/>
    <w:rsid w:val="00237B45"/>
    <w:rsid w:val="0024512D"/>
    <w:rsid w:val="00252B94"/>
    <w:rsid w:val="002530D8"/>
    <w:rsid w:val="00262F53"/>
    <w:rsid w:val="002678C0"/>
    <w:rsid w:val="00276326"/>
    <w:rsid w:val="00277057"/>
    <w:rsid w:val="00277393"/>
    <w:rsid w:val="0027743D"/>
    <w:rsid w:val="002838EE"/>
    <w:rsid w:val="00290161"/>
    <w:rsid w:val="00294E43"/>
    <w:rsid w:val="00295DF2"/>
    <w:rsid w:val="002A0F48"/>
    <w:rsid w:val="002A2051"/>
    <w:rsid w:val="002A24C1"/>
    <w:rsid w:val="002A5407"/>
    <w:rsid w:val="002B0ADD"/>
    <w:rsid w:val="002B5094"/>
    <w:rsid w:val="002C06B7"/>
    <w:rsid w:val="002C1050"/>
    <w:rsid w:val="002C120A"/>
    <w:rsid w:val="002C47A9"/>
    <w:rsid w:val="002C6655"/>
    <w:rsid w:val="002C72F5"/>
    <w:rsid w:val="002D2DC7"/>
    <w:rsid w:val="002D4D80"/>
    <w:rsid w:val="002D4F6E"/>
    <w:rsid w:val="002E2A95"/>
    <w:rsid w:val="002E500C"/>
    <w:rsid w:val="002E5B5C"/>
    <w:rsid w:val="002F5711"/>
    <w:rsid w:val="002F59E7"/>
    <w:rsid w:val="002F66BA"/>
    <w:rsid w:val="00301F0B"/>
    <w:rsid w:val="00310D7A"/>
    <w:rsid w:val="003167A8"/>
    <w:rsid w:val="00322E3A"/>
    <w:rsid w:val="00325A46"/>
    <w:rsid w:val="0033523F"/>
    <w:rsid w:val="00335A75"/>
    <w:rsid w:val="00344352"/>
    <w:rsid w:val="0034579D"/>
    <w:rsid w:val="00345BD0"/>
    <w:rsid w:val="00357437"/>
    <w:rsid w:val="00360E5B"/>
    <w:rsid w:val="00363C56"/>
    <w:rsid w:val="0036449D"/>
    <w:rsid w:val="003645CB"/>
    <w:rsid w:val="00372A1A"/>
    <w:rsid w:val="0038592E"/>
    <w:rsid w:val="00390624"/>
    <w:rsid w:val="00396F53"/>
    <w:rsid w:val="003970A5"/>
    <w:rsid w:val="003A5097"/>
    <w:rsid w:val="003A5496"/>
    <w:rsid w:val="003B098F"/>
    <w:rsid w:val="003B1CEA"/>
    <w:rsid w:val="003B7DE7"/>
    <w:rsid w:val="003D39E7"/>
    <w:rsid w:val="003D54F8"/>
    <w:rsid w:val="003E342B"/>
    <w:rsid w:val="003E497A"/>
    <w:rsid w:val="003E7845"/>
    <w:rsid w:val="003F0BE9"/>
    <w:rsid w:val="003F3452"/>
    <w:rsid w:val="003F5BF0"/>
    <w:rsid w:val="00402EBC"/>
    <w:rsid w:val="004046AA"/>
    <w:rsid w:val="00410884"/>
    <w:rsid w:val="00410BDC"/>
    <w:rsid w:val="00414978"/>
    <w:rsid w:val="00414BA5"/>
    <w:rsid w:val="00423B56"/>
    <w:rsid w:val="00437D8E"/>
    <w:rsid w:val="00443E3B"/>
    <w:rsid w:val="0044475E"/>
    <w:rsid w:val="004447DC"/>
    <w:rsid w:val="00444861"/>
    <w:rsid w:val="004570A6"/>
    <w:rsid w:val="0045756B"/>
    <w:rsid w:val="00460283"/>
    <w:rsid w:val="00461B72"/>
    <w:rsid w:val="00463E75"/>
    <w:rsid w:val="00465FD0"/>
    <w:rsid w:val="004663BE"/>
    <w:rsid w:val="0046643C"/>
    <w:rsid w:val="00467767"/>
    <w:rsid w:val="00472B89"/>
    <w:rsid w:val="00472E71"/>
    <w:rsid w:val="004735EB"/>
    <w:rsid w:val="00486831"/>
    <w:rsid w:val="00492DA7"/>
    <w:rsid w:val="004933CD"/>
    <w:rsid w:val="004936F9"/>
    <w:rsid w:val="00493A7A"/>
    <w:rsid w:val="00494641"/>
    <w:rsid w:val="00494905"/>
    <w:rsid w:val="004964F7"/>
    <w:rsid w:val="004971D2"/>
    <w:rsid w:val="004A053E"/>
    <w:rsid w:val="004A14B2"/>
    <w:rsid w:val="004A15A7"/>
    <w:rsid w:val="004A50FE"/>
    <w:rsid w:val="004A75AA"/>
    <w:rsid w:val="004B6A6A"/>
    <w:rsid w:val="004C04CC"/>
    <w:rsid w:val="004C2DD3"/>
    <w:rsid w:val="004D4AFF"/>
    <w:rsid w:val="004D4D3B"/>
    <w:rsid w:val="004E119B"/>
    <w:rsid w:val="004E64BE"/>
    <w:rsid w:val="004F05A2"/>
    <w:rsid w:val="004F23CC"/>
    <w:rsid w:val="004F2FC0"/>
    <w:rsid w:val="005058CE"/>
    <w:rsid w:val="005059A0"/>
    <w:rsid w:val="00506141"/>
    <w:rsid w:val="0051580B"/>
    <w:rsid w:val="005218C1"/>
    <w:rsid w:val="00522047"/>
    <w:rsid w:val="005240B0"/>
    <w:rsid w:val="0052449C"/>
    <w:rsid w:val="005244C9"/>
    <w:rsid w:val="00524A9F"/>
    <w:rsid w:val="00524C53"/>
    <w:rsid w:val="005300E0"/>
    <w:rsid w:val="00534755"/>
    <w:rsid w:val="00537A3C"/>
    <w:rsid w:val="00540B3C"/>
    <w:rsid w:val="0054169F"/>
    <w:rsid w:val="00542D2F"/>
    <w:rsid w:val="005468DA"/>
    <w:rsid w:val="00552444"/>
    <w:rsid w:val="005628FD"/>
    <w:rsid w:val="005639F9"/>
    <w:rsid w:val="00564C99"/>
    <w:rsid w:val="00581501"/>
    <w:rsid w:val="005830FE"/>
    <w:rsid w:val="005840F5"/>
    <w:rsid w:val="00584F3B"/>
    <w:rsid w:val="00592C2F"/>
    <w:rsid w:val="00595722"/>
    <w:rsid w:val="00597A3E"/>
    <w:rsid w:val="005A0037"/>
    <w:rsid w:val="005A1B25"/>
    <w:rsid w:val="005A34DD"/>
    <w:rsid w:val="005A5287"/>
    <w:rsid w:val="005A594A"/>
    <w:rsid w:val="005A72F2"/>
    <w:rsid w:val="005A768D"/>
    <w:rsid w:val="005B0283"/>
    <w:rsid w:val="005B176C"/>
    <w:rsid w:val="005B1965"/>
    <w:rsid w:val="005B312A"/>
    <w:rsid w:val="005C0712"/>
    <w:rsid w:val="005C07CD"/>
    <w:rsid w:val="005C5955"/>
    <w:rsid w:val="005C65C7"/>
    <w:rsid w:val="005C692F"/>
    <w:rsid w:val="005C6ECF"/>
    <w:rsid w:val="005C7118"/>
    <w:rsid w:val="005D1C98"/>
    <w:rsid w:val="005D3F46"/>
    <w:rsid w:val="005E0BA7"/>
    <w:rsid w:val="005E2BB8"/>
    <w:rsid w:val="005E30E9"/>
    <w:rsid w:val="005F0BAC"/>
    <w:rsid w:val="005F3D26"/>
    <w:rsid w:val="005F5C21"/>
    <w:rsid w:val="005F74C9"/>
    <w:rsid w:val="005F7705"/>
    <w:rsid w:val="006000B7"/>
    <w:rsid w:val="00603867"/>
    <w:rsid w:val="006059B6"/>
    <w:rsid w:val="00607103"/>
    <w:rsid w:val="00614110"/>
    <w:rsid w:val="00614915"/>
    <w:rsid w:val="0061500E"/>
    <w:rsid w:val="00621950"/>
    <w:rsid w:val="00632DE4"/>
    <w:rsid w:val="00636481"/>
    <w:rsid w:val="00643C72"/>
    <w:rsid w:val="006514A3"/>
    <w:rsid w:val="00657C81"/>
    <w:rsid w:val="00662840"/>
    <w:rsid w:val="00665A95"/>
    <w:rsid w:val="00666498"/>
    <w:rsid w:val="0067514B"/>
    <w:rsid w:val="006760C5"/>
    <w:rsid w:val="0068095F"/>
    <w:rsid w:val="006873CD"/>
    <w:rsid w:val="00687F1A"/>
    <w:rsid w:val="006925D0"/>
    <w:rsid w:val="00694FFC"/>
    <w:rsid w:val="006A2AF5"/>
    <w:rsid w:val="006B271F"/>
    <w:rsid w:val="006B424A"/>
    <w:rsid w:val="006B5016"/>
    <w:rsid w:val="006C5750"/>
    <w:rsid w:val="006C5C29"/>
    <w:rsid w:val="006D172B"/>
    <w:rsid w:val="006D4AC6"/>
    <w:rsid w:val="006D7654"/>
    <w:rsid w:val="006E59AA"/>
    <w:rsid w:val="006E6C6E"/>
    <w:rsid w:val="0070656C"/>
    <w:rsid w:val="0070709D"/>
    <w:rsid w:val="00717B57"/>
    <w:rsid w:val="007214DA"/>
    <w:rsid w:val="00721952"/>
    <w:rsid w:val="00721EFF"/>
    <w:rsid w:val="00734768"/>
    <w:rsid w:val="00740EDD"/>
    <w:rsid w:val="00741950"/>
    <w:rsid w:val="00741BF4"/>
    <w:rsid w:val="00743CB9"/>
    <w:rsid w:val="0076656F"/>
    <w:rsid w:val="007715AD"/>
    <w:rsid w:val="00775646"/>
    <w:rsid w:val="00776A1F"/>
    <w:rsid w:val="00781ED9"/>
    <w:rsid w:val="00784660"/>
    <w:rsid w:val="00786321"/>
    <w:rsid w:val="00797C62"/>
    <w:rsid w:val="007A390C"/>
    <w:rsid w:val="007A4CC9"/>
    <w:rsid w:val="007A586F"/>
    <w:rsid w:val="007B1E80"/>
    <w:rsid w:val="007B3763"/>
    <w:rsid w:val="007C4504"/>
    <w:rsid w:val="007D420A"/>
    <w:rsid w:val="007E103A"/>
    <w:rsid w:val="007E23E8"/>
    <w:rsid w:val="007E294F"/>
    <w:rsid w:val="007E5770"/>
    <w:rsid w:val="007E6F35"/>
    <w:rsid w:val="007F7B02"/>
    <w:rsid w:val="007F7CEB"/>
    <w:rsid w:val="00804A03"/>
    <w:rsid w:val="00804C27"/>
    <w:rsid w:val="008055CD"/>
    <w:rsid w:val="00807F76"/>
    <w:rsid w:val="00813FF1"/>
    <w:rsid w:val="0081504C"/>
    <w:rsid w:val="00815EC1"/>
    <w:rsid w:val="00816E4D"/>
    <w:rsid w:val="0081703C"/>
    <w:rsid w:val="00817DBE"/>
    <w:rsid w:val="00820338"/>
    <w:rsid w:val="00825CE2"/>
    <w:rsid w:val="00826646"/>
    <w:rsid w:val="00827B94"/>
    <w:rsid w:val="0083495D"/>
    <w:rsid w:val="00843956"/>
    <w:rsid w:val="00850725"/>
    <w:rsid w:val="00856A88"/>
    <w:rsid w:val="008574A1"/>
    <w:rsid w:val="00860D34"/>
    <w:rsid w:val="008637C8"/>
    <w:rsid w:val="00865837"/>
    <w:rsid w:val="00865D97"/>
    <w:rsid w:val="00865EC3"/>
    <w:rsid w:val="00870828"/>
    <w:rsid w:val="008716F0"/>
    <w:rsid w:val="00873292"/>
    <w:rsid w:val="008741CB"/>
    <w:rsid w:val="00876136"/>
    <w:rsid w:val="008846C3"/>
    <w:rsid w:val="00885684"/>
    <w:rsid w:val="008927EB"/>
    <w:rsid w:val="00892ADC"/>
    <w:rsid w:val="008950C7"/>
    <w:rsid w:val="00897ACC"/>
    <w:rsid w:val="008A3844"/>
    <w:rsid w:val="008A54CC"/>
    <w:rsid w:val="008A7859"/>
    <w:rsid w:val="008A7A9C"/>
    <w:rsid w:val="008B26C6"/>
    <w:rsid w:val="008B3B43"/>
    <w:rsid w:val="008B50C0"/>
    <w:rsid w:val="008B6FF8"/>
    <w:rsid w:val="008B77B5"/>
    <w:rsid w:val="008C2693"/>
    <w:rsid w:val="008D4BD4"/>
    <w:rsid w:val="008F2FA5"/>
    <w:rsid w:val="008F323D"/>
    <w:rsid w:val="00905555"/>
    <w:rsid w:val="009060B1"/>
    <w:rsid w:val="009069C2"/>
    <w:rsid w:val="00920743"/>
    <w:rsid w:val="00921909"/>
    <w:rsid w:val="009237CE"/>
    <w:rsid w:val="00923B0B"/>
    <w:rsid w:val="00927E60"/>
    <w:rsid w:val="00937C79"/>
    <w:rsid w:val="009405D4"/>
    <w:rsid w:val="009417D9"/>
    <w:rsid w:val="009466FF"/>
    <w:rsid w:val="00954298"/>
    <w:rsid w:val="00957120"/>
    <w:rsid w:val="009571D6"/>
    <w:rsid w:val="00960009"/>
    <w:rsid w:val="00965B3D"/>
    <w:rsid w:val="00966090"/>
    <w:rsid w:val="00972D5C"/>
    <w:rsid w:val="00974267"/>
    <w:rsid w:val="0097775B"/>
    <w:rsid w:val="00981F22"/>
    <w:rsid w:val="009829DE"/>
    <w:rsid w:val="0098340C"/>
    <w:rsid w:val="00986353"/>
    <w:rsid w:val="00991217"/>
    <w:rsid w:val="009943EB"/>
    <w:rsid w:val="009A0E9E"/>
    <w:rsid w:val="009A0F4B"/>
    <w:rsid w:val="009A2811"/>
    <w:rsid w:val="009B1384"/>
    <w:rsid w:val="009B398B"/>
    <w:rsid w:val="009B766A"/>
    <w:rsid w:val="009C2CA7"/>
    <w:rsid w:val="009C459B"/>
    <w:rsid w:val="009C4A67"/>
    <w:rsid w:val="009D0554"/>
    <w:rsid w:val="009D1596"/>
    <w:rsid w:val="009D295B"/>
    <w:rsid w:val="009D7FCE"/>
    <w:rsid w:val="009E166E"/>
    <w:rsid w:val="009E1849"/>
    <w:rsid w:val="009E2B77"/>
    <w:rsid w:val="009E7B6A"/>
    <w:rsid w:val="009E7D39"/>
    <w:rsid w:val="009F2FC7"/>
    <w:rsid w:val="009F3477"/>
    <w:rsid w:val="009F358F"/>
    <w:rsid w:val="00A04FDF"/>
    <w:rsid w:val="00A06401"/>
    <w:rsid w:val="00A103D3"/>
    <w:rsid w:val="00A11E73"/>
    <w:rsid w:val="00A135A7"/>
    <w:rsid w:val="00A1443C"/>
    <w:rsid w:val="00A146FD"/>
    <w:rsid w:val="00A22370"/>
    <w:rsid w:val="00A30FD0"/>
    <w:rsid w:val="00A33087"/>
    <w:rsid w:val="00A34596"/>
    <w:rsid w:val="00A36829"/>
    <w:rsid w:val="00A36B70"/>
    <w:rsid w:val="00A41C7C"/>
    <w:rsid w:val="00A42836"/>
    <w:rsid w:val="00A43192"/>
    <w:rsid w:val="00A43D72"/>
    <w:rsid w:val="00A51FFE"/>
    <w:rsid w:val="00A5252E"/>
    <w:rsid w:val="00A52FDE"/>
    <w:rsid w:val="00A61A76"/>
    <w:rsid w:val="00A80EE2"/>
    <w:rsid w:val="00A8525A"/>
    <w:rsid w:val="00A904AF"/>
    <w:rsid w:val="00A920A9"/>
    <w:rsid w:val="00AA22D1"/>
    <w:rsid w:val="00AA2BDF"/>
    <w:rsid w:val="00AA39C7"/>
    <w:rsid w:val="00AA3F8D"/>
    <w:rsid w:val="00AA493D"/>
    <w:rsid w:val="00AA65DB"/>
    <w:rsid w:val="00AA69A2"/>
    <w:rsid w:val="00AA7ACA"/>
    <w:rsid w:val="00AB782A"/>
    <w:rsid w:val="00AC0DA0"/>
    <w:rsid w:val="00AC2885"/>
    <w:rsid w:val="00AC2A82"/>
    <w:rsid w:val="00AC325F"/>
    <w:rsid w:val="00AD4229"/>
    <w:rsid w:val="00AD595A"/>
    <w:rsid w:val="00AD5BFF"/>
    <w:rsid w:val="00AE52F9"/>
    <w:rsid w:val="00AE5773"/>
    <w:rsid w:val="00AE6536"/>
    <w:rsid w:val="00AF47FC"/>
    <w:rsid w:val="00AF4C66"/>
    <w:rsid w:val="00AF5821"/>
    <w:rsid w:val="00AF693C"/>
    <w:rsid w:val="00B00D8C"/>
    <w:rsid w:val="00B064E9"/>
    <w:rsid w:val="00B078DA"/>
    <w:rsid w:val="00B11924"/>
    <w:rsid w:val="00B155E2"/>
    <w:rsid w:val="00B160BA"/>
    <w:rsid w:val="00B20906"/>
    <w:rsid w:val="00B214DC"/>
    <w:rsid w:val="00B263DC"/>
    <w:rsid w:val="00B3057B"/>
    <w:rsid w:val="00B33691"/>
    <w:rsid w:val="00B354D7"/>
    <w:rsid w:val="00B363FD"/>
    <w:rsid w:val="00B41BE0"/>
    <w:rsid w:val="00B4475D"/>
    <w:rsid w:val="00B452FC"/>
    <w:rsid w:val="00B53648"/>
    <w:rsid w:val="00B541EC"/>
    <w:rsid w:val="00B6080C"/>
    <w:rsid w:val="00B678E1"/>
    <w:rsid w:val="00B77209"/>
    <w:rsid w:val="00B82E69"/>
    <w:rsid w:val="00B868FA"/>
    <w:rsid w:val="00B90C17"/>
    <w:rsid w:val="00B91E0F"/>
    <w:rsid w:val="00B97536"/>
    <w:rsid w:val="00BA072F"/>
    <w:rsid w:val="00BA7C83"/>
    <w:rsid w:val="00BB0E24"/>
    <w:rsid w:val="00BB44FE"/>
    <w:rsid w:val="00BB54BB"/>
    <w:rsid w:val="00BC0B19"/>
    <w:rsid w:val="00BC0E46"/>
    <w:rsid w:val="00BC2957"/>
    <w:rsid w:val="00BC3FDE"/>
    <w:rsid w:val="00BC6D37"/>
    <w:rsid w:val="00BD1C58"/>
    <w:rsid w:val="00BD1E42"/>
    <w:rsid w:val="00BD3466"/>
    <w:rsid w:val="00BD588C"/>
    <w:rsid w:val="00BE0D65"/>
    <w:rsid w:val="00BE1563"/>
    <w:rsid w:val="00BE262B"/>
    <w:rsid w:val="00BF0F56"/>
    <w:rsid w:val="00BF5D26"/>
    <w:rsid w:val="00C001D4"/>
    <w:rsid w:val="00C017B0"/>
    <w:rsid w:val="00C16A3C"/>
    <w:rsid w:val="00C202DE"/>
    <w:rsid w:val="00C32322"/>
    <w:rsid w:val="00C34666"/>
    <w:rsid w:val="00C43CC2"/>
    <w:rsid w:val="00C458E1"/>
    <w:rsid w:val="00C46388"/>
    <w:rsid w:val="00C46527"/>
    <w:rsid w:val="00C4790F"/>
    <w:rsid w:val="00C5437E"/>
    <w:rsid w:val="00C66452"/>
    <w:rsid w:val="00C66E91"/>
    <w:rsid w:val="00C71122"/>
    <w:rsid w:val="00C716F5"/>
    <w:rsid w:val="00C71862"/>
    <w:rsid w:val="00C77C32"/>
    <w:rsid w:val="00C816B5"/>
    <w:rsid w:val="00C86967"/>
    <w:rsid w:val="00C86C53"/>
    <w:rsid w:val="00C86DC4"/>
    <w:rsid w:val="00C9380F"/>
    <w:rsid w:val="00CA03A4"/>
    <w:rsid w:val="00CA180F"/>
    <w:rsid w:val="00CA1B42"/>
    <w:rsid w:val="00CA5341"/>
    <w:rsid w:val="00CA6DEC"/>
    <w:rsid w:val="00CB0182"/>
    <w:rsid w:val="00CB0C1E"/>
    <w:rsid w:val="00CC07CD"/>
    <w:rsid w:val="00CC5BC9"/>
    <w:rsid w:val="00CC73A2"/>
    <w:rsid w:val="00CD16E6"/>
    <w:rsid w:val="00CD3F08"/>
    <w:rsid w:val="00CF78EF"/>
    <w:rsid w:val="00D00179"/>
    <w:rsid w:val="00D01220"/>
    <w:rsid w:val="00D0147E"/>
    <w:rsid w:val="00D0195C"/>
    <w:rsid w:val="00D01B5C"/>
    <w:rsid w:val="00D03915"/>
    <w:rsid w:val="00D07BD1"/>
    <w:rsid w:val="00D1124B"/>
    <w:rsid w:val="00D11A9B"/>
    <w:rsid w:val="00D11DC0"/>
    <w:rsid w:val="00D13BBC"/>
    <w:rsid w:val="00D17992"/>
    <w:rsid w:val="00D20DDD"/>
    <w:rsid w:val="00D2146F"/>
    <w:rsid w:val="00D222D4"/>
    <w:rsid w:val="00D22385"/>
    <w:rsid w:val="00D22B81"/>
    <w:rsid w:val="00D2402F"/>
    <w:rsid w:val="00D251DD"/>
    <w:rsid w:val="00D3105A"/>
    <w:rsid w:val="00D33469"/>
    <w:rsid w:val="00D33D5C"/>
    <w:rsid w:val="00D35F85"/>
    <w:rsid w:val="00D466C0"/>
    <w:rsid w:val="00D532FF"/>
    <w:rsid w:val="00D653D2"/>
    <w:rsid w:val="00D704A7"/>
    <w:rsid w:val="00D712C4"/>
    <w:rsid w:val="00D71918"/>
    <w:rsid w:val="00D72F53"/>
    <w:rsid w:val="00D7497A"/>
    <w:rsid w:val="00D767A2"/>
    <w:rsid w:val="00D83126"/>
    <w:rsid w:val="00D94667"/>
    <w:rsid w:val="00D953D4"/>
    <w:rsid w:val="00DA03EB"/>
    <w:rsid w:val="00DB1ABC"/>
    <w:rsid w:val="00DC2B5F"/>
    <w:rsid w:val="00DC30A7"/>
    <w:rsid w:val="00DC49C7"/>
    <w:rsid w:val="00DD6EAE"/>
    <w:rsid w:val="00DD77B3"/>
    <w:rsid w:val="00DE24EB"/>
    <w:rsid w:val="00DE27EB"/>
    <w:rsid w:val="00DE4D7F"/>
    <w:rsid w:val="00DE4F1A"/>
    <w:rsid w:val="00DE7832"/>
    <w:rsid w:val="00DF0494"/>
    <w:rsid w:val="00DF3E1C"/>
    <w:rsid w:val="00DF4490"/>
    <w:rsid w:val="00DF5EAB"/>
    <w:rsid w:val="00E01DF4"/>
    <w:rsid w:val="00E0314C"/>
    <w:rsid w:val="00E0489A"/>
    <w:rsid w:val="00E0756E"/>
    <w:rsid w:val="00E2142B"/>
    <w:rsid w:val="00E23AA0"/>
    <w:rsid w:val="00E2467B"/>
    <w:rsid w:val="00E26324"/>
    <w:rsid w:val="00E4459D"/>
    <w:rsid w:val="00E46FEA"/>
    <w:rsid w:val="00E50637"/>
    <w:rsid w:val="00E53182"/>
    <w:rsid w:val="00E605C3"/>
    <w:rsid w:val="00E62943"/>
    <w:rsid w:val="00E629E4"/>
    <w:rsid w:val="00E62D92"/>
    <w:rsid w:val="00E652AC"/>
    <w:rsid w:val="00E71082"/>
    <w:rsid w:val="00E758E8"/>
    <w:rsid w:val="00E8016C"/>
    <w:rsid w:val="00E850C7"/>
    <w:rsid w:val="00E96115"/>
    <w:rsid w:val="00E97CE1"/>
    <w:rsid w:val="00EA4432"/>
    <w:rsid w:val="00EB0BBA"/>
    <w:rsid w:val="00EB3A61"/>
    <w:rsid w:val="00EB3B5E"/>
    <w:rsid w:val="00EC38F6"/>
    <w:rsid w:val="00EE7A64"/>
    <w:rsid w:val="00EF30CB"/>
    <w:rsid w:val="00EF4A0F"/>
    <w:rsid w:val="00F0016A"/>
    <w:rsid w:val="00F05C19"/>
    <w:rsid w:val="00F06B1F"/>
    <w:rsid w:val="00F10A4C"/>
    <w:rsid w:val="00F13B32"/>
    <w:rsid w:val="00F166B3"/>
    <w:rsid w:val="00F166DC"/>
    <w:rsid w:val="00F23244"/>
    <w:rsid w:val="00F26333"/>
    <w:rsid w:val="00F263B8"/>
    <w:rsid w:val="00F325A8"/>
    <w:rsid w:val="00F373DD"/>
    <w:rsid w:val="00F45D0C"/>
    <w:rsid w:val="00F463C3"/>
    <w:rsid w:val="00F52C6D"/>
    <w:rsid w:val="00F54296"/>
    <w:rsid w:val="00F55F1D"/>
    <w:rsid w:val="00F60720"/>
    <w:rsid w:val="00F64CEF"/>
    <w:rsid w:val="00F74067"/>
    <w:rsid w:val="00F749C2"/>
    <w:rsid w:val="00F74FAC"/>
    <w:rsid w:val="00F77874"/>
    <w:rsid w:val="00F80003"/>
    <w:rsid w:val="00F84CEE"/>
    <w:rsid w:val="00F86864"/>
    <w:rsid w:val="00F95920"/>
    <w:rsid w:val="00FA0162"/>
    <w:rsid w:val="00FA08B0"/>
    <w:rsid w:val="00FA1661"/>
    <w:rsid w:val="00FA1DEF"/>
    <w:rsid w:val="00FB27E7"/>
    <w:rsid w:val="00FB3ABA"/>
    <w:rsid w:val="00FB5A1E"/>
    <w:rsid w:val="00FC1605"/>
    <w:rsid w:val="00FC733A"/>
    <w:rsid w:val="00FD0B75"/>
    <w:rsid w:val="00FD48D4"/>
    <w:rsid w:val="00FD58A5"/>
    <w:rsid w:val="00FE1051"/>
    <w:rsid w:val="00FE35BD"/>
    <w:rsid w:val="00FE3F0D"/>
    <w:rsid w:val="00FE47C8"/>
    <w:rsid w:val="00FE5CFF"/>
    <w:rsid w:val="00FF0D3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E56EF"/>
  <w15:chartTrackingRefBased/>
  <w15:docId w15:val="{D829F1E0-244D-42D2-AB1C-CDB04455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86DC4"/>
    <w:pPr>
      <w:spacing w:after="200" w:line="276" w:lineRule="auto"/>
    </w:p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semiHidden/>
    <w:unhideWhenUsed/>
    <w:rsid w:val="002F59E7"/>
    <w:pPr>
      <w:tabs>
        <w:tab w:val="center" w:pos="4536"/>
        <w:tab w:val="right" w:pos="9072"/>
      </w:tabs>
      <w:spacing w:after="0" w:line="240" w:lineRule="auto"/>
    </w:pPr>
  </w:style>
  <w:style w:type="character" w:customStyle="1" w:styleId="NagwekZnak">
    <w:name w:val="Nagłówek Znak"/>
    <w:basedOn w:val="Domylnaczcionkaakapitu"/>
    <w:link w:val="Nagwek"/>
    <w:uiPriority w:val="99"/>
    <w:semiHidden/>
    <w:rsid w:val="002F59E7"/>
  </w:style>
  <w:style w:type="paragraph" w:styleId="Stopka">
    <w:name w:val="footer"/>
    <w:basedOn w:val="Normalny"/>
    <w:link w:val="StopkaZnak"/>
    <w:uiPriority w:val="99"/>
    <w:unhideWhenUsed/>
    <w:rsid w:val="002F59E7"/>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59E7"/>
  </w:style>
  <w:style w:type="table" w:styleId="Tabela-Siatka">
    <w:name w:val="Table Grid"/>
    <w:basedOn w:val="Standardowy"/>
    <w:uiPriority w:val="59"/>
    <w:rsid w:val="002F59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2F59E7"/>
    <w:rPr>
      <w:color w:val="0563C1" w:themeColor="hyperlink"/>
      <w:u w:val="single"/>
    </w:rPr>
  </w:style>
  <w:style w:type="paragraph" w:styleId="Akapitzlist">
    <w:name w:val="List Paragraph"/>
    <w:aliases w:val="Nag 1,HŁ_Bullet1,lp1,zał,Kolorowa lista — akcent 12,Bullet Number,Body MS Bullet,List Paragraph2,ISCG Numerowanie,Preambuła,Lista PR,Tekst główny"/>
    <w:basedOn w:val="Normalny"/>
    <w:link w:val="AkapitzlistZnak"/>
    <w:uiPriority w:val="34"/>
    <w:qFormat/>
    <w:rsid w:val="002F59E7"/>
    <w:pPr>
      <w:ind w:left="720"/>
      <w:contextualSpacing/>
    </w:pPr>
  </w:style>
  <w:style w:type="paragraph" w:styleId="Tekstprzypisukocowego">
    <w:name w:val="endnote text"/>
    <w:basedOn w:val="Normalny"/>
    <w:link w:val="TekstprzypisukocowegoZnak"/>
    <w:uiPriority w:val="99"/>
    <w:semiHidden/>
    <w:unhideWhenUsed/>
    <w:rsid w:val="003B1CEA"/>
    <w:pPr>
      <w:spacing w:after="0"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3B1CEA"/>
    <w:rPr>
      <w:sz w:val="20"/>
      <w:szCs w:val="20"/>
    </w:rPr>
  </w:style>
  <w:style w:type="character" w:styleId="Odwoanieprzypisukocowego">
    <w:name w:val="endnote reference"/>
    <w:basedOn w:val="Domylnaczcionkaakapitu"/>
    <w:uiPriority w:val="99"/>
    <w:semiHidden/>
    <w:unhideWhenUsed/>
    <w:rsid w:val="003B1CEA"/>
    <w:rPr>
      <w:vertAlign w:val="superscript"/>
    </w:rPr>
  </w:style>
  <w:style w:type="paragraph" w:styleId="NormalnyWeb">
    <w:name w:val="Normal (Web)"/>
    <w:basedOn w:val="Normalny"/>
    <w:uiPriority w:val="99"/>
    <w:semiHidden/>
    <w:unhideWhenUsed/>
    <w:rsid w:val="005C65C7"/>
    <w:rPr>
      <w:rFonts w:ascii="Times New Roman" w:hAnsi="Times New Roman" w:cs="Times New Roman"/>
      <w:sz w:val="24"/>
      <w:szCs w:val="24"/>
    </w:rPr>
  </w:style>
  <w:style w:type="character" w:customStyle="1" w:styleId="TekstprzypisudolnegoZnak">
    <w:name w:val="Tekst przypisu dolnego Znak"/>
    <w:aliases w:val="????? ?????? ???? Znak,Текст сноски Знак Znak,Footnote Znak,Footnote Text Char Znak,Footnote Text Char1 Znak,Footnote Text Char Char Znak,Footnote Text Char1 Char Char Znak,Footnote Text Char Char Char Char Znak,Char Znak"/>
    <w:basedOn w:val="Domylnaczcionkaakapitu"/>
    <w:link w:val="Tekstprzypisudolnego"/>
    <w:uiPriority w:val="99"/>
    <w:qFormat/>
    <w:locked/>
    <w:rsid w:val="005C65C7"/>
    <w:rPr>
      <w:sz w:val="20"/>
      <w:szCs w:val="20"/>
    </w:rPr>
  </w:style>
  <w:style w:type="paragraph" w:styleId="Tekstprzypisudolnego">
    <w:name w:val="footnote text"/>
    <w:aliases w:val="????? ?????? ????,Текст сноски Знак,Footnote,Footnote Text Char,Footnote Text Char1,Footnote Text Char Char,Footnote Text Char1 Char Char,Footnote Text Char Char Char Char,Footnote Text Char Char1 Char,Char Char,Char,Tekst przypis"/>
    <w:basedOn w:val="Normalny"/>
    <w:link w:val="TekstprzypisudolnegoZnak"/>
    <w:uiPriority w:val="99"/>
    <w:unhideWhenUsed/>
    <w:qFormat/>
    <w:rsid w:val="005C65C7"/>
    <w:pPr>
      <w:spacing w:after="0" w:line="240" w:lineRule="auto"/>
    </w:pPr>
    <w:rPr>
      <w:sz w:val="20"/>
      <w:szCs w:val="20"/>
    </w:rPr>
  </w:style>
  <w:style w:type="character" w:customStyle="1" w:styleId="TekstprzypisudolnegoZnak1">
    <w:name w:val="Tekst przypisu dolnego Znak1"/>
    <w:basedOn w:val="Domylnaczcionkaakapitu"/>
    <w:uiPriority w:val="99"/>
    <w:semiHidden/>
    <w:rsid w:val="005C65C7"/>
    <w:rPr>
      <w:sz w:val="20"/>
      <w:szCs w:val="20"/>
    </w:rPr>
  </w:style>
  <w:style w:type="character" w:customStyle="1" w:styleId="AkapitzlistZnak">
    <w:name w:val="Akapit z listą Znak"/>
    <w:aliases w:val="Nag 1 Znak,HŁ_Bullet1 Znak,lp1 Znak,zał Znak,Kolorowa lista — akcent 12 Znak,Bullet Number Znak,Body MS Bullet Znak,List Paragraph2 Znak,ISCG Numerowanie Znak,Preambuła Znak,Lista PR Znak,Tekst główny Znak"/>
    <w:basedOn w:val="Domylnaczcionkaakapitu"/>
    <w:link w:val="Akapitzlist"/>
    <w:uiPriority w:val="34"/>
    <w:locked/>
    <w:rsid w:val="005C65C7"/>
  </w:style>
  <w:style w:type="paragraph" w:customStyle="1" w:styleId="przypis">
    <w:name w:val="przypis"/>
    <w:basedOn w:val="Normalny"/>
    <w:uiPriority w:val="99"/>
    <w:semiHidden/>
    <w:rsid w:val="005C65C7"/>
    <w:pPr>
      <w:widowControl w:val="0"/>
      <w:autoSpaceDE w:val="0"/>
      <w:autoSpaceDN w:val="0"/>
      <w:adjustRightInd w:val="0"/>
      <w:spacing w:after="0" w:line="200" w:lineRule="atLeast"/>
      <w:ind w:firstLine="227"/>
      <w:jc w:val="both"/>
    </w:pPr>
    <w:rPr>
      <w:rFonts w:ascii="Times New Roman" w:eastAsiaTheme="minorEastAsia" w:hAnsi="Times New Roman" w:cs="Times New Roman"/>
      <w:color w:val="000000"/>
      <w:sz w:val="17"/>
      <w:szCs w:val="17"/>
      <w:lang w:eastAsia="pl-PL"/>
    </w:rPr>
  </w:style>
  <w:style w:type="paragraph" w:customStyle="1" w:styleId="CourtDoc2">
    <w:name w:val="Court Doc2"/>
    <w:basedOn w:val="Normalny"/>
    <w:next w:val="Normalny"/>
    <w:uiPriority w:val="99"/>
    <w:semiHidden/>
    <w:rsid w:val="005C65C7"/>
    <w:pPr>
      <w:numPr>
        <w:ilvl w:val="1"/>
        <w:numId w:val="7"/>
      </w:numPr>
      <w:spacing w:after="240" w:line="360" w:lineRule="auto"/>
      <w:jc w:val="both"/>
      <w:outlineLvl w:val="1"/>
    </w:pPr>
    <w:rPr>
      <w:rFonts w:ascii="Times New Roman Bold" w:eastAsia="Times New Roman" w:hAnsi="Times New Roman Bold" w:cs="Times New Roman"/>
      <w:b/>
      <w:szCs w:val="24"/>
    </w:rPr>
  </w:style>
  <w:style w:type="paragraph" w:customStyle="1" w:styleId="CourtDoc1">
    <w:name w:val="Court Doc1"/>
    <w:basedOn w:val="Normalny"/>
    <w:next w:val="CourtDoc2"/>
    <w:uiPriority w:val="99"/>
    <w:semiHidden/>
    <w:rsid w:val="005C65C7"/>
    <w:pPr>
      <w:keepNext/>
      <w:keepLines/>
      <w:numPr>
        <w:numId w:val="7"/>
      </w:numPr>
      <w:tabs>
        <w:tab w:val="left" w:pos="851"/>
      </w:tabs>
      <w:spacing w:before="240" w:after="240" w:line="360" w:lineRule="auto"/>
      <w:ind w:left="1287" w:hanging="360"/>
      <w:jc w:val="center"/>
      <w:outlineLvl w:val="0"/>
    </w:pPr>
    <w:rPr>
      <w:rFonts w:ascii="Times New Roman" w:eastAsia="Times New Roman" w:hAnsi="Times New Roman" w:cs="Times New Roman"/>
      <w:b/>
      <w:caps/>
      <w:szCs w:val="24"/>
    </w:rPr>
  </w:style>
  <w:style w:type="paragraph" w:customStyle="1" w:styleId="CourtDoc3">
    <w:name w:val="Court Doc3"/>
    <w:basedOn w:val="Normalny"/>
    <w:next w:val="Normalny"/>
    <w:uiPriority w:val="99"/>
    <w:semiHidden/>
    <w:rsid w:val="005C65C7"/>
    <w:pPr>
      <w:keepNext/>
      <w:keepLines/>
      <w:numPr>
        <w:ilvl w:val="2"/>
        <w:numId w:val="7"/>
      </w:numPr>
      <w:spacing w:after="240" w:line="360" w:lineRule="auto"/>
      <w:jc w:val="both"/>
      <w:outlineLvl w:val="2"/>
    </w:pPr>
    <w:rPr>
      <w:rFonts w:ascii="Times New Roman" w:eastAsia="Times New Roman" w:hAnsi="Times New Roman" w:cs="Times New Roman"/>
      <w:b/>
      <w:szCs w:val="24"/>
    </w:rPr>
  </w:style>
  <w:style w:type="paragraph" w:customStyle="1" w:styleId="CourtDoc4">
    <w:name w:val="Court Doc4"/>
    <w:basedOn w:val="Normalny"/>
    <w:next w:val="Normalny"/>
    <w:uiPriority w:val="99"/>
    <w:semiHidden/>
    <w:rsid w:val="005C65C7"/>
    <w:pPr>
      <w:numPr>
        <w:ilvl w:val="3"/>
        <w:numId w:val="7"/>
      </w:numPr>
      <w:spacing w:after="240" w:line="360" w:lineRule="auto"/>
      <w:jc w:val="both"/>
      <w:outlineLvl w:val="3"/>
    </w:pPr>
    <w:rPr>
      <w:rFonts w:ascii="Times New Roman" w:eastAsia="Times New Roman" w:hAnsi="Times New Roman" w:cs="Times New Roman"/>
      <w:b/>
      <w:szCs w:val="24"/>
    </w:rPr>
  </w:style>
  <w:style w:type="paragraph" w:customStyle="1" w:styleId="CourtDoc6">
    <w:name w:val="Court Doc6"/>
    <w:basedOn w:val="Normalny"/>
    <w:next w:val="Normalny"/>
    <w:uiPriority w:val="99"/>
    <w:semiHidden/>
    <w:rsid w:val="005C65C7"/>
    <w:pPr>
      <w:numPr>
        <w:ilvl w:val="5"/>
        <w:numId w:val="7"/>
      </w:numPr>
      <w:spacing w:after="240" w:line="360" w:lineRule="auto"/>
      <w:jc w:val="both"/>
      <w:outlineLvl w:val="5"/>
    </w:pPr>
    <w:rPr>
      <w:rFonts w:ascii="Times New Roman" w:eastAsia="Times New Roman" w:hAnsi="Times New Roman" w:cs="Times New Roman"/>
      <w:szCs w:val="24"/>
    </w:rPr>
  </w:style>
  <w:style w:type="paragraph" w:customStyle="1" w:styleId="CourtDoc7">
    <w:name w:val="Court Doc7"/>
    <w:basedOn w:val="Normalny"/>
    <w:next w:val="Normalny"/>
    <w:uiPriority w:val="99"/>
    <w:semiHidden/>
    <w:rsid w:val="005C65C7"/>
    <w:pPr>
      <w:numPr>
        <w:ilvl w:val="6"/>
        <w:numId w:val="7"/>
      </w:numPr>
      <w:spacing w:after="240" w:line="360" w:lineRule="auto"/>
      <w:jc w:val="both"/>
      <w:outlineLvl w:val="6"/>
    </w:pPr>
    <w:rPr>
      <w:rFonts w:ascii="Times New Roman" w:eastAsia="Times New Roman" w:hAnsi="Times New Roman" w:cs="Times New Roman"/>
      <w:szCs w:val="24"/>
    </w:rPr>
  </w:style>
  <w:style w:type="paragraph" w:customStyle="1" w:styleId="CourtDoc8">
    <w:name w:val="Court Doc8"/>
    <w:basedOn w:val="Normalny"/>
    <w:next w:val="Normalny"/>
    <w:uiPriority w:val="99"/>
    <w:semiHidden/>
    <w:rsid w:val="005C65C7"/>
    <w:pPr>
      <w:numPr>
        <w:ilvl w:val="7"/>
        <w:numId w:val="7"/>
      </w:numPr>
      <w:spacing w:after="240" w:line="360" w:lineRule="auto"/>
      <w:jc w:val="both"/>
      <w:outlineLvl w:val="7"/>
    </w:pPr>
    <w:rPr>
      <w:rFonts w:ascii="Times New Roman" w:eastAsia="Times New Roman" w:hAnsi="Times New Roman" w:cs="Times New Roman"/>
      <w:szCs w:val="24"/>
    </w:rPr>
  </w:style>
  <w:style w:type="paragraph" w:customStyle="1" w:styleId="CourtDoc9">
    <w:name w:val="Court Doc9"/>
    <w:basedOn w:val="Normalny"/>
    <w:next w:val="Normalny"/>
    <w:uiPriority w:val="99"/>
    <w:semiHidden/>
    <w:rsid w:val="005C65C7"/>
    <w:pPr>
      <w:numPr>
        <w:ilvl w:val="8"/>
        <w:numId w:val="7"/>
      </w:numPr>
      <w:spacing w:after="240" w:line="360" w:lineRule="auto"/>
      <w:jc w:val="both"/>
      <w:outlineLvl w:val="8"/>
    </w:pPr>
    <w:rPr>
      <w:rFonts w:ascii="Times New Roman" w:eastAsia="Times New Roman" w:hAnsi="Times New Roman" w:cs="Times New Roman"/>
      <w:szCs w:val="24"/>
    </w:rPr>
  </w:style>
  <w:style w:type="character" w:styleId="Odwoanieprzypisudolnego">
    <w:name w:val="footnote reference"/>
    <w:aliases w:val="Odwołanie przypisu,header 3,Footnotemark,Footnotemark1,FR,Footnotemark2,FR1,Footnotemark3,FR2,Footnotemark4,FR3,Footnotemark5,FR4,Footnotemark6,Footnotemark7,Footnotemark8,FR5,Footnotemark11,Footnotemark21,FR11,Footnotemark31"/>
    <w:basedOn w:val="Domylnaczcionkaakapitu"/>
    <w:link w:val="ZnakZnakZnakZnakCharCharZnakZnakZnakZnakZnakZnakCharCharZnakZnak"/>
    <w:unhideWhenUsed/>
    <w:qFormat/>
    <w:rsid w:val="005C65C7"/>
    <w:rPr>
      <w:vertAlign w:val="superscript"/>
    </w:rPr>
  </w:style>
  <w:style w:type="character" w:customStyle="1" w:styleId="Italic">
    <w:name w:val="Italic"/>
    <w:uiPriority w:val="99"/>
    <w:rsid w:val="005C65C7"/>
    <w:rPr>
      <w:i/>
      <w:iCs w:val="0"/>
      <w:strike w:val="0"/>
      <w:dstrike w:val="0"/>
      <w:color w:val="000000"/>
      <w:w w:val="100"/>
      <w:u w:val="none"/>
      <w:effect w:val="none"/>
      <w:vertAlign w:val="baseline"/>
    </w:rPr>
  </w:style>
  <w:style w:type="paragraph" w:customStyle="1" w:styleId="ZnakZnakZnakZnakCharCharZnakZnakZnakZnakZnakZnakCharCharZnakZnak">
    <w:name w:val="Znak Znak Znak Znak Char Char Znak Znak Znak Znak Znak Znak Char Char Znak Znak"/>
    <w:aliases w:val="Znak Znak Znak Znak Char Char Znak Znak Znak Znak Znak Znak Char Char Znak Znak Char Char Char Char Znak Znak Char Char Znak Znak Znak Znak"/>
    <w:basedOn w:val="Normalny"/>
    <w:link w:val="Odwoanieprzypisudolnego"/>
    <w:rsid w:val="00D20DDD"/>
    <w:pPr>
      <w:spacing w:before="240" w:after="160" w:line="240" w:lineRule="exact"/>
    </w:pPr>
    <w:rPr>
      <w:vertAlign w:val="superscript"/>
    </w:rPr>
  </w:style>
  <w:style w:type="character" w:styleId="Nierozpoznanawzmianka">
    <w:name w:val="Unresolved Mention"/>
    <w:basedOn w:val="Domylnaczcionkaakapitu"/>
    <w:uiPriority w:val="99"/>
    <w:semiHidden/>
    <w:unhideWhenUsed/>
    <w:rsid w:val="00125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6592555">
      <w:bodyDiv w:val="1"/>
      <w:marLeft w:val="0"/>
      <w:marRight w:val="0"/>
      <w:marTop w:val="0"/>
      <w:marBottom w:val="0"/>
      <w:divBdr>
        <w:top w:val="none" w:sz="0" w:space="0" w:color="auto"/>
        <w:left w:val="none" w:sz="0" w:space="0" w:color="auto"/>
        <w:bottom w:val="none" w:sz="0" w:space="0" w:color="auto"/>
        <w:right w:val="none" w:sz="0" w:space="0" w:color="auto"/>
      </w:divBdr>
    </w:div>
    <w:div w:id="210799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35BE3-32EC-418B-9D4D-5AF7CEDDB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14</Pages>
  <Words>6636</Words>
  <Characters>39816</Characters>
  <Application>Microsoft Office Word</Application>
  <DocSecurity>0</DocSecurity>
  <Lines>331</Lines>
  <Paragraphs>92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KKLW</dc:creator>
  <cp:keywords/>
  <dc:description/>
  <cp:lastModifiedBy>Dominika Palak</cp:lastModifiedBy>
  <cp:revision>192</cp:revision>
  <cp:lastPrinted>2021-12-29T23:34:00Z</cp:lastPrinted>
  <dcterms:created xsi:type="dcterms:W3CDTF">2023-01-26T13:16:00Z</dcterms:created>
  <dcterms:modified xsi:type="dcterms:W3CDTF">2024-05-20T14:22:00Z</dcterms:modified>
</cp:coreProperties>
</file>