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Theme="minorEastAsia"/>
          <w:lang w:val="en-US" w:eastAsia="zh-CN"/>
        </w:rPr>
      </w:pPr>
      <w:r>
        <w:rPr>
          <w:rFonts w:hint="eastAsia"/>
          <w:lang w:val="en-US" w:eastAsia="zh-CN"/>
        </w:rPr>
        <w:t>Final Project Report</w:t>
      </w:r>
    </w:p>
    <w:p>
      <w:pPr>
        <w:keepNext w:val="0"/>
        <w:keepLines w:val="0"/>
        <w:pageBreakBefore w:val="0"/>
        <w:widowControl w:val="0"/>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pPr>
      <w:r>
        <w:rPr>
          <w:rFonts w:hint="eastAsia"/>
          <w:lang w:val="en-US" w:eastAsia="zh-CN"/>
        </w:rPr>
        <w:t>Introduction of data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The China Household Finance Survey (CHFS) is a sampling survey project conducted by the China Household Finance Survey and Research Center nationwide</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rPr>
        <w:t>aiming to comprehensively characterize the economic and financial behavior of households by collecting information on assets</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 xml:space="preserve"> liabilities, income</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 xml:space="preserve"> consumption and insurance.</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rPr>
        <w:t xml:space="preserve">The data in this </w:t>
      </w:r>
      <w:r>
        <w:rPr>
          <w:rFonts w:hint="eastAsia" w:ascii="Times New Roman" w:hAnsi="Times New Roman" w:eastAsia="宋体" w:cs="Times New Roman"/>
          <w:sz w:val="21"/>
          <w:szCs w:val="21"/>
          <w:lang w:val="en-US" w:eastAsia="zh-CN"/>
        </w:rPr>
        <w:t>project</w:t>
      </w:r>
      <w:r>
        <w:rPr>
          <w:rFonts w:hint="eastAsia" w:ascii="Times New Roman" w:hAnsi="Times New Roman" w:eastAsia="宋体" w:cs="Times New Roman"/>
          <w:sz w:val="21"/>
          <w:szCs w:val="21"/>
        </w:rPr>
        <w:t xml:space="preserve"> is selected based on the latest public survey results of CHFS in 2019.</w:t>
      </w:r>
      <w:r>
        <w:rPr>
          <w:rFonts w:hint="eastAsia" w:ascii="Times New Roman" w:hAnsi="Times New Roman" w:eastAsia="宋体" w:cs="Times New Roman"/>
          <w:sz w:val="21"/>
          <w:szCs w:val="21"/>
          <w:lang w:val="en-US" w:eastAsia="zh-CN"/>
        </w:rPr>
        <w:t xml:space="preserve"> Exclude sample data with obvious errors, such as zero household housing area, zero annual household income, and zero annual expenditure. Finally, this project selected 2831 samples for analysis. </w:t>
      </w:r>
      <w:r>
        <w:rPr>
          <w:rFonts w:hint="eastAsia" w:ascii="Times New Roman" w:hAnsi="Times New Roman" w:eastAsia="宋体" w:cs="Times New Roman"/>
          <w:sz w:val="21"/>
          <w:szCs w:val="21"/>
        </w:rPr>
        <w:t xml:space="preserve">STATA15.0 </w:t>
      </w:r>
      <w:r>
        <w:rPr>
          <w:rFonts w:hint="eastAsia" w:ascii="Times New Roman" w:hAnsi="Times New Roman" w:eastAsia="宋体" w:cs="Times New Roman"/>
          <w:sz w:val="21"/>
          <w:szCs w:val="21"/>
          <w:lang w:val="en-US" w:eastAsia="zh-CN"/>
        </w:rPr>
        <w:t>is</w:t>
      </w:r>
      <w:r>
        <w:rPr>
          <w:rFonts w:hint="eastAsia" w:ascii="Times New Roman" w:hAnsi="Times New Roman" w:eastAsia="宋体" w:cs="Times New Roman"/>
          <w:sz w:val="21"/>
          <w:szCs w:val="21"/>
        </w:rPr>
        <w:t xml:space="preserve"> used for statistical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D</w:t>
      </w:r>
      <w:r>
        <w:rPr>
          <w:rFonts w:hint="eastAsia"/>
        </w:rPr>
        <w:t>escription of the research question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This report</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aim is to </w:t>
      </w:r>
      <w:r>
        <w:rPr>
          <w:rFonts w:hint="default" w:ascii="Times New Roman" w:hAnsi="Times New Roman" w:eastAsia="宋体" w:cs="Times New Roman"/>
          <w:sz w:val="21"/>
          <w:szCs w:val="21"/>
          <w:lang w:val="en-US" w:eastAsia="zh-CN"/>
        </w:rPr>
        <w:t>explore the impact of liquidity constraints measured by debt and the</w:t>
      </w:r>
      <w:r>
        <w:rPr>
          <w:rFonts w:hint="eastAsia" w:ascii="Times New Roman" w:hAnsi="Times New Roman" w:eastAsia="宋体" w:cs="Times New Roman"/>
          <w:sz w:val="21"/>
          <w:szCs w:val="21"/>
          <w:lang w:val="en-US" w:eastAsia="zh-CN"/>
        </w:rPr>
        <w:t xml:space="preserve"> p</w:t>
      </w:r>
      <w:r>
        <w:rPr>
          <w:rFonts w:hint="default" w:ascii="Times New Roman" w:hAnsi="Times New Roman" w:eastAsia="宋体" w:cs="Times New Roman"/>
          <w:sz w:val="21"/>
          <w:szCs w:val="21"/>
          <w:lang w:val="en-US" w:eastAsia="zh-CN"/>
        </w:rPr>
        <w:t>roportion of housing assets in total assets on family consumption and income</w:t>
      </w:r>
      <w:r>
        <w:rPr>
          <w:rFonts w:hint="eastAsia" w:ascii="Times New Roman" w:hAnsi="Times New Roman" w:eastAsia="宋体" w:cs="Times New Roman"/>
          <w:sz w:val="21"/>
          <w:szCs w:val="21"/>
          <w:lang w:val="en-US" w:eastAsia="zh-CN"/>
        </w:rPr>
        <w:t xml:space="preserve">. Furthermore, this report also try to find out the </w:t>
      </w:r>
      <w:r>
        <w:rPr>
          <w:rFonts w:hint="default" w:ascii="Times New Roman" w:hAnsi="Times New Roman" w:eastAsia="宋体" w:cs="Times New Roman"/>
          <w:sz w:val="21"/>
          <w:szCs w:val="21"/>
          <w:lang w:val="en-US" w:eastAsia="zh-CN"/>
        </w:rPr>
        <w:t>interactive effects of family commercial insurance on the impact of liquidity constraints.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Times New Roman" w:hAnsi="Times New Roman" w:eastAsia="宋体" w:cs="Times New Roman"/>
          <w:sz w:val="21"/>
          <w:szCs w:val="21"/>
        </w:rPr>
      </w:pPr>
      <w:r>
        <w:rPr>
          <w:rFonts w:hint="eastAsia"/>
          <w:lang w:val="en-US" w:eastAsia="zh-CN"/>
        </w:rPr>
        <w:t>S</w:t>
      </w:r>
      <w:r>
        <w:rPr>
          <w:rFonts w:hint="eastAsia"/>
        </w:rPr>
        <w:t>ummary of approach and results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D</w:t>
      </w:r>
      <w:r>
        <w:rPr>
          <w:rFonts w:hint="eastAsia" w:ascii="Times New Roman" w:hAnsi="Times New Roman" w:eastAsia="宋体" w:cs="Times New Roman"/>
          <w:sz w:val="21"/>
          <w:szCs w:val="21"/>
        </w:rPr>
        <w:t>escriptive statistics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From a financial perspective, the average annual income of these 2831 families is 94079 yuan, with a range of over 4.5 million yuan, indicating a significant income gap between different families; The average total household debt is 11471 yuan, with a range of over 2 million yuan.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From the perspective of household housing assets, the average housing assets of 2831 households reached 2231000 yuan. Based on the average annual income and average housing area mentioned earlier, households need </w:t>
      </w:r>
      <w:r>
        <w:rPr>
          <w:rFonts w:hint="eastAsia" w:ascii="Times New Roman" w:hAnsi="Times New Roman" w:eastAsia="宋体" w:cs="Times New Roman"/>
          <w:sz w:val="21"/>
          <w:szCs w:val="21"/>
          <w:lang w:val="en-US" w:eastAsia="zh-CN"/>
        </w:rPr>
        <w:t xml:space="preserve">more than </w:t>
      </w:r>
      <w:r>
        <w:rPr>
          <w:rFonts w:hint="eastAsia" w:ascii="Times New Roman" w:hAnsi="Times New Roman" w:eastAsia="宋体" w:cs="Times New Roman"/>
          <w:sz w:val="21"/>
          <w:szCs w:val="21"/>
        </w:rPr>
        <w:t>26 years of income to purchase residential properties.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rPr>
        <w:t>From the perspective of household consumption, the average annual consumption expenditure of the sample households is 24451 yuan, accounting for 25.98% of the average income, which is significantly lower than the world level</w:t>
      </w:r>
      <w:r>
        <w:rPr>
          <w:rFonts w:hint="eastAsia"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rPr>
      </w:pPr>
      <w:r>
        <w:rPr>
          <w:rFonts w:hint="eastAsia"/>
        </w:rPr>
        <w:t>OLS multiple regressio</w:t>
      </w:r>
      <w:r>
        <w:rPr>
          <w:rFonts w:hint="eastAsia"/>
          <w:lang w:val="en-US" w:eastAsia="zh-CN"/>
        </w:rPr>
        <w:t>n</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rPr>
      </w:pPr>
      <w:r>
        <w:rPr>
          <w:rFonts w:hint="eastAsia"/>
        </w:rPr>
        <w:t>Liquidity constraints, housing assets</w:t>
      </w:r>
      <w:r>
        <w:rPr>
          <w:rFonts w:hint="eastAsia"/>
          <w:lang w:val="en-US" w:eastAsia="zh-CN"/>
        </w:rPr>
        <w:t>,</w:t>
      </w:r>
      <w:r>
        <w:rPr>
          <w:rFonts w:hint="eastAsia"/>
        </w:rPr>
        <w:t xml:space="preserve"> and household consumption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In order to study the impact of liquidity constraints and housing assets on household consumption, the model in this section is set as follows: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vertAlign w:val="subscript"/>
        </w:rPr>
      </w:pPr>
      <w:r>
        <w:rPr>
          <w:rFonts w:ascii="Times New Roman" w:hAnsi="Times New Roman" w:eastAsia="宋体" w:cs="Times New Roman"/>
          <w:sz w:val="24"/>
          <w:szCs w:val="24"/>
        </w:rPr>
        <w:t>Consume=β</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Debt</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House</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+e</w:t>
      </w:r>
      <w:r>
        <w:rPr>
          <w:rFonts w:ascii="Times New Roman" w:hAnsi="Times New Roman" w:eastAsia="宋体" w:cs="Times New Roman"/>
          <w:sz w:val="24"/>
          <w:szCs w:val="24"/>
          <w:vertAlign w:val="subscript"/>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From the OLS multiple regression analysis results, it can be seen that when the </w:t>
      </w:r>
      <w:r>
        <w:rPr>
          <w:rFonts w:hint="eastAsia" w:ascii="Times New Roman" w:hAnsi="Times New Roman" w:eastAsia="宋体" w:cs="Times New Roman"/>
          <w:sz w:val="21"/>
          <w:szCs w:val="21"/>
          <w:lang w:val="en-US" w:eastAsia="zh-CN"/>
        </w:rPr>
        <w:t>response</w:t>
      </w:r>
      <w:r>
        <w:rPr>
          <w:rFonts w:hint="eastAsia" w:ascii="Times New Roman" w:hAnsi="Times New Roman" w:eastAsia="宋体" w:cs="Times New Roman"/>
          <w:sz w:val="21"/>
          <w:szCs w:val="21"/>
        </w:rPr>
        <w:t xml:space="preserve"> is set as household consumption, the coefficient of total household debt is -0.043, and the effect is significant at the 95% level. This result means that the more total debt a household has, the deeper its liquidity constraint, and the less its annual consumption expenditure it has. For every 10000 yuan increase in debt, household consumption expenditure decreases by 430 yuan.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The coefficient of household housing assets is extremely negative and significant at the 99% level, which means that the more housing assets a household has, the less consumption expenditure it has.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rPr>
      </w:pPr>
      <w:r>
        <w:rPr>
          <w:rFonts w:hint="eastAsia"/>
        </w:rPr>
        <w:t xml:space="preserve">Liquidity constraints, housing assets, and household </w:t>
      </w:r>
      <w:r>
        <w:rPr>
          <w:rFonts w:hint="eastAsia"/>
          <w:lang w:val="en-US" w:eastAsia="zh-CN"/>
        </w:rPr>
        <w:t>income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In order to study the impact of liquidity constraints and housing assets on household </w:t>
      </w:r>
      <w:r>
        <w:rPr>
          <w:rFonts w:hint="eastAsia" w:ascii="Times New Roman" w:hAnsi="Times New Roman" w:eastAsia="宋体" w:cs="Times New Roman"/>
          <w:sz w:val="21"/>
          <w:szCs w:val="21"/>
          <w:lang w:val="en-US" w:eastAsia="zh-CN"/>
        </w:rPr>
        <w:t>income</w:t>
      </w:r>
      <w:r>
        <w:rPr>
          <w:rFonts w:hint="eastAsia" w:ascii="Times New Roman" w:hAnsi="Times New Roman" w:eastAsia="宋体" w:cs="Times New Roman"/>
          <w:sz w:val="21"/>
          <w:szCs w:val="21"/>
        </w:rPr>
        <w:t>, the model in this section is set as follows: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vertAlign w:val="subscript"/>
        </w:rPr>
      </w:pPr>
      <w:r>
        <w:rPr>
          <w:rFonts w:ascii="Times New Roman" w:hAnsi="Times New Roman" w:eastAsia="宋体" w:cs="Times New Roman"/>
          <w:sz w:val="24"/>
          <w:szCs w:val="24"/>
        </w:rPr>
        <w:t>Income=β</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Debt</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FDebt</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House</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+e</w:t>
      </w:r>
      <w:r>
        <w:rPr>
          <w:rFonts w:ascii="Times New Roman" w:hAnsi="Times New Roman" w:eastAsia="宋体" w:cs="Times New Roman"/>
          <w:sz w:val="24"/>
          <w:szCs w:val="24"/>
          <w:vertAlign w:val="subscript"/>
        </w:rPr>
        <w:t>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sz w:val="21"/>
          <w:szCs w:val="21"/>
          <w:vertAlign w:val="subscript"/>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From the OLS multiple regression analysis results, it can be seen that when the dependent variable is set as household income, the coefficient of total household debt is -0.085, which is significant at the 95% level. This result shows that the more household debt, the higher household income. For every 10000 yuan increase in total household debt, household income increases by 850 yuan. The coefficient of household financial liabilities is positive, but the significance is weak, indicating that there is no significant relationship between financial assets and liabilities and household income.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The coefficient of household housing assets is positive and significant at the 99% level, which means that the higher the household's housing assets, the higher the household income.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ascii="Times New Roman" w:hAnsi="Times New Roman" w:eastAsia="宋体" w:cs="Times New Roman"/>
          <w:sz w:val="21"/>
          <w:szCs w:val="21"/>
        </w:rPr>
      </w:pPr>
      <w:r>
        <w:rPr>
          <w:rFonts w:hint="eastAsia"/>
        </w:rPr>
        <w:t>OLS multiple regression analysis with interaction terms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In order to investigate whether the impact of liquidity constraints on household consumption varies with the purchase of commercial insurance and different amounts of commercial insurance, this paper constructs the following OLS regression model with interaction terms: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vertAlign w:val="subscript"/>
        </w:rPr>
      </w:pPr>
      <w:r>
        <w:rPr>
          <w:rFonts w:ascii="Times New Roman" w:hAnsi="Times New Roman" w:eastAsia="宋体" w:cs="Times New Roman"/>
          <w:sz w:val="24"/>
          <w:szCs w:val="24"/>
        </w:rPr>
        <w:t>Consume=β</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Debt</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2</w:t>
      </w:r>
      <w:r>
        <w:rPr>
          <w:rFonts w:ascii="Times New Roman" w:hAnsi="Times New Roman" w:cs="Times New Roman"/>
          <w:kern w:val="0"/>
          <w:sz w:val="24"/>
          <w:szCs w:val="24"/>
        </w:rPr>
        <w:t>V</w:t>
      </w:r>
      <w:r>
        <w:rPr>
          <w:rFonts w:ascii="Times New Roman" w:hAnsi="Times New Roman" w:eastAsia="宋体" w:cs="Times New Roman"/>
          <w:sz w:val="24"/>
          <w:szCs w:val="24"/>
        </w:rPr>
        <w:t>Ins</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Insurance</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+β</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Debt*Insurance+β</w:t>
      </w:r>
      <w:r>
        <w:rPr>
          <w:rFonts w:ascii="Times New Roman" w:hAnsi="Times New Roman" w:eastAsia="宋体" w:cs="Times New Roman"/>
          <w:sz w:val="24"/>
          <w:szCs w:val="24"/>
          <w:vertAlign w:val="subscript"/>
        </w:rPr>
        <w:t>5</w:t>
      </w:r>
      <w:r>
        <w:rPr>
          <w:rFonts w:ascii="Times New Roman" w:hAnsi="Times New Roman" w:eastAsia="宋体" w:cs="Times New Roman"/>
          <w:sz w:val="24"/>
          <w:szCs w:val="24"/>
        </w:rPr>
        <w:t>House</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+e</w:t>
      </w:r>
      <w:r>
        <w:rPr>
          <w:rFonts w:ascii="Times New Roman" w:hAnsi="Times New Roman" w:eastAsia="宋体" w:cs="Times New Roman"/>
          <w:sz w:val="24"/>
          <w:szCs w:val="24"/>
          <w:vertAlign w:val="subscript"/>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From the regression results, the coefficient of the dummy variable VIns</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 xml:space="preserve"> representing whether households purchase commercial insurance</w:t>
      </w:r>
      <w:r>
        <w:rPr>
          <w:rFonts w:hint="eastAsia"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rPr>
        <w:t xml:space="preserve"> is positive and significant at the 95% level. This result indicates that overall, households who purchase commercial insurance have higher consumption expenditures than those who do not, indicating that purchasing commercial insurance has a promoting effect on household consumption.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The coefficient of the total amount of commercial insurance for households is positive and significant at the 99% level. This result indicates that the higher the total amount of commercial insurance purchased by households, the higher their annual consumption expenditure.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The coefficient of the interaction term between the total amount of household commercial insurance and household debt is also positive and significant at the 95% level, indicating that the interaction term has a weakening effect on the main effect. That is to say, the more the total amount of household commercial insurance, the weaker the negative impact of liquidity constraints represented by the total amount of household debt on household consumption expenditure.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rPr>
      </w:pPr>
      <w:r>
        <w:rPr>
          <w:rFonts w:hint="eastAsia"/>
        </w:rPr>
        <w:t>Robust 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After completing the empirical analysis of the sample data, in order to ensure the reliability of the analysis results, this </w:t>
      </w:r>
      <w:r>
        <w:rPr>
          <w:rFonts w:hint="eastAsia" w:ascii="Times New Roman" w:hAnsi="Times New Roman" w:eastAsia="宋体" w:cs="Times New Roman"/>
          <w:sz w:val="21"/>
          <w:szCs w:val="21"/>
          <w:lang w:val="en-US" w:eastAsia="zh-CN"/>
        </w:rPr>
        <w:t>part</w:t>
      </w:r>
      <w:r>
        <w:rPr>
          <w:rFonts w:hint="eastAsia" w:ascii="Times New Roman" w:hAnsi="Times New Roman" w:eastAsia="宋体" w:cs="Times New Roman"/>
          <w:sz w:val="21"/>
          <w:szCs w:val="21"/>
        </w:rPr>
        <w:t xml:space="preserve"> uses the survey results of the fourth round of China Household Finance Survey (CHFS) in 2017 for robustness analysis.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The results showed that after using 2017 data for OLS multiple regression analysis, the coefficients of total household debt and household housing assets remained negative and significant at the 99% level. The significance of the household housing asset coefficient has increased, which may be related to the more obvious growth trend of housing prices in 2017. The coefficient of household debt and housing assets remains positive. Household debt is significant at the 90% level, although the significance has decreased, it still has statistical significance.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The results of the robustness analysis are consistent with the previous analysis, proving that the analysis results in this </w:t>
      </w:r>
      <w:r>
        <w:rPr>
          <w:rFonts w:hint="eastAsia" w:ascii="Times New Roman" w:hAnsi="Times New Roman" w:eastAsia="宋体" w:cs="Times New Roman"/>
          <w:sz w:val="21"/>
          <w:szCs w:val="21"/>
          <w:lang w:val="en-US" w:eastAsia="zh-CN"/>
        </w:rPr>
        <w:t>project</w:t>
      </w:r>
      <w:r>
        <w:rPr>
          <w:rFonts w:hint="eastAsia" w:ascii="Times New Roman" w:hAnsi="Times New Roman" w:eastAsia="宋体" w:cs="Times New Roman"/>
          <w:sz w:val="21"/>
          <w:szCs w:val="21"/>
        </w:rPr>
        <w:t xml:space="preserve"> are robust.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rPr>
      </w:pPr>
      <w:r>
        <w:rPr>
          <w:rFonts w:hint="eastAsia"/>
        </w:rPr>
        <w:t>Multicollinearity detection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rPr>
        <w:t xml:space="preserve">To test for multicollinearity in the model, this </w:t>
      </w:r>
      <w:r>
        <w:rPr>
          <w:rFonts w:hint="eastAsia" w:ascii="Times New Roman" w:hAnsi="Times New Roman" w:eastAsia="宋体" w:cs="Times New Roman"/>
          <w:sz w:val="21"/>
          <w:szCs w:val="21"/>
          <w:lang w:val="en-US" w:eastAsia="zh-CN"/>
        </w:rPr>
        <w:t>part</w:t>
      </w:r>
      <w:r>
        <w:rPr>
          <w:rFonts w:hint="eastAsia" w:ascii="Times New Roman" w:hAnsi="Times New Roman" w:eastAsia="宋体" w:cs="Times New Roman"/>
          <w:sz w:val="21"/>
          <w:szCs w:val="21"/>
        </w:rPr>
        <w:t xml:space="preserve"> conducts multicollinearity tests on the two core OLS multiple regression models</w:t>
      </w:r>
      <w:r>
        <w:rPr>
          <w:rFonts w:hint="eastAsia" w:ascii="Times New Roman" w:hAnsi="Times New Roman" w:eastAsia="宋体"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 results showed that all the V</w:t>
      </w:r>
      <w:bookmarkStart w:id="0" w:name="_GoBack"/>
      <w:bookmarkEnd w:id="0"/>
      <w:r>
        <w:rPr>
          <w:rFonts w:hint="eastAsia" w:ascii="Times New Roman" w:hAnsi="Times New Roman" w:eastAsia="宋体" w:cs="Times New Roman"/>
          <w:sz w:val="21"/>
          <w:szCs w:val="21"/>
          <w:lang w:val="en-US" w:eastAsia="zh-CN"/>
        </w:rPr>
        <w:t>IFs of two models are all less than 10, which means there is no multicollinearity in these two models.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pPr>
      <w:r>
        <w:rPr>
          <w:rFonts w:hint="eastAsia"/>
          <w:lang w:val="en-US" w:eastAsia="zh-CN"/>
        </w:rPr>
        <w:t>Conclusion</w:t>
      </w:r>
    </w:p>
    <w:p>
      <w:pPr>
        <w:widowControl w:val="0"/>
        <w:numPr>
          <w:ilvl w:val="0"/>
          <w:numId w:val="0"/>
        </w:numPr>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Through OLS multiple regression analysis, it was found that the more household debt or housing assets a household has, the higher their annual income and the lower their annual consumption expenditure. Specifically, for every 10000 yuan increase in total household debt, the annual consumption expenditure of the household decreases by 430 yuan, and the annual income of the household increases by 850 yuan. For every 10000 yuan increase in total household housing assets, the annual consumption expenditure of the household decreases by 10 yuan, and the annual income of the household increases by 10 yuan. And by using survey data from 2017 for robustness and multicollinearity tests, it is proven that the above model in this article does not have multicollinearity, and the analysis results are robust.</w:t>
      </w:r>
    </w:p>
    <w:p>
      <w:pPr>
        <w:widowControl w:val="0"/>
        <w:numPr>
          <w:ilvl w:val="0"/>
          <w:numId w:val="0"/>
        </w:numPr>
        <w:jc w:val="both"/>
        <w:rPr>
          <w:rFonts w:hint="eastAsia" w:ascii="Times New Roman" w:hAnsi="Times New Roman" w:eastAsia="宋体" w:cs="Times New Roman"/>
          <w:sz w:val="21"/>
          <w:szCs w:val="21"/>
          <w:lang w:val="en-US" w:eastAsia="zh-CN"/>
        </w:rPr>
      </w:pPr>
    </w:p>
    <w:p>
      <w:pPr>
        <w:widowControl w:val="0"/>
        <w:numPr>
          <w:ilvl w:val="0"/>
          <w:numId w:val="0"/>
        </w:numPr>
        <w:jc w:val="both"/>
        <w:rPr>
          <w:rFonts w:hint="eastAsia"/>
          <w:lang w:val="en-US" w:eastAsia="zh-CN"/>
        </w:rPr>
      </w:pPr>
      <w:r>
        <w:rPr>
          <w:rFonts w:hint="eastAsia" w:ascii="Times New Roman" w:hAnsi="Times New Roman" w:eastAsia="宋体" w:cs="Times New Roman"/>
          <w:sz w:val="21"/>
          <w:szCs w:val="21"/>
          <w:lang w:val="en-US" w:eastAsia="zh-CN"/>
        </w:rPr>
        <w:t>The OLS multiple regression results with interaction terms indicate that purchasing commercial insurance by households will promote household consumption, and the more total commercial insurance purchased, the more annual household consumption expenditure will be. Specifically, for every 10000 yuan of additional commercial insurance purchased by households, they will increase their annual consumption expenditure by 110 yuan; The interaction coefficient between the total amount of household commercial insurance and the total amount of household debt is positive, while the coefficient of the total amount of household debt is negative. This indicates that household commercial insurance will weaken the negative impact of liquidity constraints on household consumption. The more total amount of household commercial insurance, the weaker the negative impact of liquidity constraints on household consumption.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val="0"/>
        <w:keepLines w:val="0"/>
        <w:widowControl/>
        <w:suppressLineNumbers w:val="0"/>
        <w:shd w:val="clear" w:fill="FFFFFF"/>
        <w:spacing w:before="192" w:beforeAutospacing="0" w:after="192" w:afterAutospacing="0" w:line="15" w:lineRule="atLeast"/>
        <w:ind w:left="0" w:right="0" w:firstLine="0"/>
        <w:jc w:val="center"/>
        <w:rPr>
          <w:rFonts w:hint="eastAsia" w:ascii="Times New Roman" w:hAnsi="Times New Roman" w:eastAsia="宋体" w:cs="Times New Roman"/>
          <w:b w:val="0"/>
          <w:bCs w:val="0"/>
          <w:kern w:val="2"/>
          <w:sz w:val="21"/>
          <w:szCs w:val="21"/>
          <w:lang w:val="en-US" w:eastAsia="zh-CN" w:bidi="ar-SA"/>
        </w:rPr>
      </w:pPr>
      <w:r>
        <w:rPr>
          <w:rFonts w:hint="eastAsia" w:ascii="Times New Roman" w:hAnsi="Times New Roman" w:eastAsia="宋体" w:cs="Times New Roman"/>
          <w:b w:val="0"/>
          <w:bCs w:val="0"/>
          <w:kern w:val="2"/>
          <w:sz w:val="21"/>
          <w:szCs w:val="21"/>
          <w:lang w:val="en-US" w:eastAsia="zh-CN" w:bidi="ar-SA"/>
        </w:rPr>
        <w:t>Appendix</w:t>
      </w:r>
    </w:p>
    <w:p/>
    <w:p>
      <w:pPr>
        <w:autoSpaceDE w:val="0"/>
        <w:autoSpaceDN w:val="0"/>
        <w:adjustRightInd w:val="0"/>
        <w:spacing w:line="360" w:lineRule="auto"/>
        <w:jc w:val="center"/>
        <w:rPr>
          <w:rFonts w:ascii="Times New Roman" w:hAnsi="Times New Roman" w:eastAsia="宋体" w:cs="Times New Roman"/>
          <w:kern w:val="0"/>
          <w:sz w:val="18"/>
          <w:szCs w:val="18"/>
        </w:rPr>
      </w:pPr>
      <w:r>
        <w:rPr>
          <w:rFonts w:ascii="Times New Roman" w:hAnsi="Times New Roman" w:eastAsia="宋体" w:cs="Times New Roman"/>
          <w:sz w:val="24"/>
          <w:szCs w:val="24"/>
        </w:rPr>
        <w:tab/>
      </w:r>
      <w:r>
        <w:rPr>
          <w:rFonts w:ascii="Times New Roman" w:hAnsi="Times New Roman" w:eastAsia="宋体" w:cs="Times New Roman"/>
          <w:kern w:val="0"/>
          <w:sz w:val="18"/>
          <w:szCs w:val="18"/>
        </w:rPr>
        <w:t xml:space="preserve"> </w:t>
      </w:r>
      <w:r>
        <w:rPr>
          <w:rFonts w:hint="eastAsia" w:ascii="Times New Roman" w:hAnsi="Times New Roman" w:eastAsia="宋体" w:cs="Times New Roman"/>
          <w:kern w:val="0"/>
          <w:sz w:val="18"/>
          <w:szCs w:val="18"/>
          <w:lang w:val="en-US" w:eastAsia="zh-CN"/>
        </w:rPr>
        <w:t xml:space="preserve">Table </w:t>
      </w:r>
      <w:r>
        <w:rPr>
          <w:rFonts w:ascii="Times New Roman" w:hAnsi="Times New Roman" w:eastAsia="宋体" w:cs="Times New Roman"/>
          <w:kern w:val="0"/>
          <w:sz w:val="18"/>
          <w:szCs w:val="18"/>
        </w:rPr>
        <w:t xml:space="preserve">1 </w:t>
      </w:r>
      <w:r>
        <w:rPr>
          <w:rFonts w:hint="eastAsia" w:ascii="Times New Roman" w:hAnsi="Times New Roman" w:eastAsia="宋体" w:cs="Times New Roman"/>
          <w:kern w:val="0"/>
          <w:sz w:val="18"/>
          <w:szCs w:val="18"/>
        </w:rPr>
        <w:t>Descriptive statistics</w:t>
      </w:r>
    </w:p>
    <w:tbl>
      <w:tblPr>
        <w:tblStyle w:val="6"/>
        <w:tblW w:w="8080" w:type="dxa"/>
        <w:jc w:val="center"/>
        <w:tblLayout w:type="fixed"/>
        <w:tblCellMar>
          <w:top w:w="0" w:type="dxa"/>
          <w:left w:w="75" w:type="dxa"/>
          <w:bottom w:w="0" w:type="dxa"/>
          <w:right w:w="75" w:type="dxa"/>
        </w:tblCellMar>
      </w:tblPr>
      <w:tblGrid>
        <w:gridCol w:w="2268"/>
        <w:gridCol w:w="709"/>
        <w:gridCol w:w="1559"/>
        <w:gridCol w:w="1276"/>
        <w:gridCol w:w="992"/>
        <w:gridCol w:w="1276"/>
      </w:tblGrid>
      <w:tr>
        <w:tblPrEx>
          <w:tblCellMar>
            <w:top w:w="0" w:type="dxa"/>
            <w:left w:w="75" w:type="dxa"/>
            <w:bottom w:w="0" w:type="dxa"/>
            <w:right w:w="75" w:type="dxa"/>
          </w:tblCellMar>
        </w:tblPrEx>
        <w:trPr>
          <w:jc w:val="center"/>
        </w:trPr>
        <w:tc>
          <w:tcPr>
            <w:tcW w:w="2268"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709"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559"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276"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w:t>
            </w:r>
            <w:r>
              <w:rPr>
                <w:rFonts w:ascii="Times New Roman" w:hAnsi="Times New Roman" w:cs="Times New Roman"/>
                <w:kern w:val="0"/>
                <w:sz w:val="24"/>
                <w:szCs w:val="24"/>
              </w:rPr>
              <w:t>3)</w:t>
            </w:r>
          </w:p>
        </w:tc>
        <w:tc>
          <w:tcPr>
            <w:tcW w:w="992"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w:t>
            </w:r>
            <w:r>
              <w:rPr>
                <w:rFonts w:ascii="Times New Roman" w:hAnsi="Times New Roman" w:cs="Times New Roman"/>
                <w:kern w:val="0"/>
                <w:sz w:val="24"/>
                <w:szCs w:val="24"/>
              </w:rPr>
              <w:t>4)</w:t>
            </w:r>
          </w:p>
        </w:tc>
        <w:tc>
          <w:tcPr>
            <w:tcW w:w="1276"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r>
      <w:tr>
        <w:tblPrEx>
          <w:tblCellMar>
            <w:top w:w="0" w:type="dxa"/>
            <w:left w:w="75" w:type="dxa"/>
            <w:bottom w:w="0" w:type="dxa"/>
            <w:right w:w="75" w:type="dxa"/>
          </w:tblCellMar>
        </w:tblPrEx>
        <w:trPr>
          <w:jc w:val="center"/>
        </w:trPr>
        <w:tc>
          <w:tcPr>
            <w:tcW w:w="2268"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709"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N</w:t>
            </w:r>
          </w:p>
        </w:tc>
        <w:tc>
          <w:tcPr>
            <w:tcW w:w="1559"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mean</w:t>
            </w:r>
          </w:p>
        </w:tc>
        <w:tc>
          <w:tcPr>
            <w:tcW w:w="127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w:t>
            </w:r>
            <w:r>
              <w:rPr>
                <w:rFonts w:hint="eastAsia" w:ascii="Times New Roman" w:hAnsi="Times New Roman" w:cs="Times New Roman"/>
                <w:kern w:val="0"/>
                <w:sz w:val="24"/>
                <w:szCs w:val="24"/>
              </w:rPr>
              <w:t>d</w:t>
            </w:r>
          </w:p>
        </w:tc>
        <w:tc>
          <w:tcPr>
            <w:tcW w:w="992"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min</w:t>
            </w:r>
          </w:p>
        </w:tc>
        <w:tc>
          <w:tcPr>
            <w:tcW w:w="127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max</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Income</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94,079</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r>
              <w:rPr>
                <w:rFonts w:ascii="Times New Roman" w:hAnsi="Times New Roman" w:cs="Times New Roman"/>
                <w:kern w:val="0"/>
                <w:sz w:val="24"/>
                <w:szCs w:val="24"/>
              </w:rPr>
              <w:t>64,657</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4.500e+06</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11,471</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7</w:t>
            </w:r>
            <w:r>
              <w:rPr>
                <w:rFonts w:ascii="Times New Roman" w:hAnsi="Times New Roman" w:cs="Times New Roman"/>
                <w:kern w:val="0"/>
                <w:sz w:val="24"/>
                <w:szCs w:val="24"/>
              </w:rPr>
              <w:t>3,746</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0</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2.000e+06</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2.231e+06</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1.265e+07</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3</w:t>
            </w:r>
            <w:r>
              <w:rPr>
                <w:rFonts w:ascii="Times New Roman" w:hAnsi="Times New Roman" w:cs="Times New Roman"/>
                <w:kern w:val="0"/>
                <w:sz w:val="24"/>
                <w:szCs w:val="24"/>
              </w:rPr>
              <w:t>0</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3.613e+08</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Price</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35,242</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188,124</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5.000e+06</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Bldg</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1.078</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0.344</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9</w:t>
            </w:r>
          </w:p>
        </w:tc>
      </w:tr>
      <w:tr>
        <w:tblPrEx>
          <w:tblCellMar>
            <w:top w:w="0" w:type="dxa"/>
            <w:left w:w="75" w:type="dxa"/>
            <w:bottom w:w="0" w:type="dxa"/>
            <w:right w:w="75" w:type="dxa"/>
          </w:tblCellMar>
        </w:tblPrEx>
        <w:trPr>
          <w:jc w:val="center"/>
        </w:trPr>
        <w:tc>
          <w:tcPr>
            <w:tcW w:w="2268" w:type="dxa"/>
            <w:tcBorders>
              <w:top w:val="nil"/>
              <w:left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Consume</w:t>
            </w:r>
          </w:p>
        </w:tc>
        <w:tc>
          <w:tcPr>
            <w:tcW w:w="709"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c>
          <w:tcPr>
            <w:tcW w:w="1559"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24,451</w:t>
            </w:r>
          </w:p>
        </w:tc>
        <w:tc>
          <w:tcPr>
            <w:tcW w:w="1276"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43,500</w:t>
            </w:r>
          </w:p>
        </w:tc>
        <w:tc>
          <w:tcPr>
            <w:tcW w:w="992"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r>
              <w:rPr>
                <w:rFonts w:ascii="Times New Roman" w:hAnsi="Times New Roman" w:cs="Times New Roman"/>
                <w:kern w:val="0"/>
                <w:sz w:val="24"/>
                <w:szCs w:val="24"/>
              </w:rPr>
              <w:t>5</w:t>
            </w:r>
          </w:p>
        </w:tc>
        <w:tc>
          <w:tcPr>
            <w:tcW w:w="1276"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832,200</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Food</w:t>
            </w:r>
          </w:p>
        </w:tc>
        <w:tc>
          <w:tcPr>
            <w:tcW w:w="70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2,801</w:t>
            </w:r>
          </w:p>
        </w:tc>
        <w:tc>
          <w:tcPr>
            <w:tcW w:w="1559"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2,195</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2,401</w:t>
            </w:r>
          </w:p>
        </w:tc>
        <w:tc>
          <w:tcPr>
            <w:tcW w:w="992"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0</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60,000</w:t>
            </w:r>
          </w:p>
        </w:tc>
      </w:tr>
      <w:tr>
        <w:tblPrEx>
          <w:tblCellMar>
            <w:top w:w="0" w:type="dxa"/>
            <w:left w:w="75" w:type="dxa"/>
            <w:bottom w:w="0" w:type="dxa"/>
            <w:right w:w="75" w:type="dxa"/>
          </w:tblCellMar>
        </w:tblPrEx>
        <w:trPr>
          <w:jc w:val="center"/>
        </w:trPr>
        <w:tc>
          <w:tcPr>
            <w:tcW w:w="2268" w:type="dxa"/>
            <w:tcBorders>
              <w:top w:val="nil"/>
              <w:left w:val="nil"/>
              <w:bottom w:val="single" w:color="auto" w:sz="4"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w:t>
            </w:r>
          </w:p>
        </w:tc>
        <w:tc>
          <w:tcPr>
            <w:tcW w:w="709"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2,782</w:t>
            </w:r>
          </w:p>
        </w:tc>
        <w:tc>
          <w:tcPr>
            <w:tcW w:w="1559"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53,157</w:t>
            </w:r>
          </w:p>
        </w:tc>
        <w:tc>
          <w:tcPr>
            <w:tcW w:w="1276"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332,498</w:t>
            </w:r>
          </w:p>
        </w:tc>
        <w:tc>
          <w:tcPr>
            <w:tcW w:w="992"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1276"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6.100e+06</w:t>
            </w:r>
          </w:p>
        </w:tc>
      </w:tr>
    </w:tbl>
    <w:p>
      <w:pPr>
        <w:widowControl w:val="0"/>
        <w:numPr>
          <w:ilvl w:val="0"/>
          <w:numId w:val="0"/>
        </w:numPr>
        <w:jc w:val="both"/>
        <w:rPr>
          <w:rFonts w:hint="eastAsia"/>
          <w:lang w:val="en-US" w:eastAsia="zh-CN"/>
        </w:rPr>
      </w:pPr>
    </w:p>
    <w:p>
      <w:pPr>
        <w:spacing w:line="360" w:lineRule="auto"/>
        <w:jc w:val="cente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Table </w:t>
      </w:r>
      <w:r>
        <w:rPr>
          <w:rFonts w:ascii="Times New Roman" w:hAnsi="Times New Roman" w:eastAsia="宋体" w:cs="Times New Roman"/>
          <w:sz w:val="18"/>
          <w:szCs w:val="18"/>
        </w:rPr>
        <w:t>2</w:t>
      </w:r>
      <w:r>
        <w:rPr>
          <w:rFonts w:hint="eastAsia" w:ascii="Times New Roman" w:hAnsi="Times New Roman" w:eastAsia="宋体" w:cs="Times New Roman"/>
          <w:sz w:val="18"/>
          <w:szCs w:val="18"/>
          <w:lang w:val="en-US" w:eastAsia="zh-CN"/>
        </w:rPr>
        <w:t xml:space="preserve"> Correlation analysis of major variables</w:t>
      </w:r>
    </w:p>
    <w:tbl>
      <w:tblPr>
        <w:tblStyle w:val="6"/>
        <w:tblW w:w="9356" w:type="dxa"/>
        <w:jc w:val="center"/>
        <w:tblLayout w:type="fixed"/>
        <w:tblCellMar>
          <w:top w:w="0" w:type="dxa"/>
          <w:left w:w="75" w:type="dxa"/>
          <w:bottom w:w="0" w:type="dxa"/>
          <w:right w:w="75" w:type="dxa"/>
        </w:tblCellMar>
      </w:tblPr>
      <w:tblGrid>
        <w:gridCol w:w="2268"/>
        <w:gridCol w:w="1276"/>
        <w:gridCol w:w="1134"/>
        <w:gridCol w:w="1134"/>
        <w:gridCol w:w="1134"/>
        <w:gridCol w:w="1134"/>
        <w:gridCol w:w="1276"/>
      </w:tblGrid>
      <w:tr>
        <w:tblPrEx>
          <w:tblCellMar>
            <w:top w:w="0" w:type="dxa"/>
            <w:left w:w="75" w:type="dxa"/>
            <w:bottom w:w="0" w:type="dxa"/>
            <w:right w:w="75" w:type="dxa"/>
          </w:tblCellMar>
        </w:tblPrEx>
        <w:trPr>
          <w:jc w:val="center"/>
        </w:trPr>
        <w:tc>
          <w:tcPr>
            <w:tcW w:w="2268" w:type="dxa"/>
            <w:tcBorders>
              <w:top w:val="single" w:color="auto" w:sz="6" w:space="0"/>
              <w:left w:val="nil"/>
              <w:bottom w:val="single" w:color="auto" w:sz="4" w:space="0"/>
            </w:tcBorders>
          </w:tcPr>
          <w:p>
            <w:pPr>
              <w:autoSpaceDE w:val="0"/>
              <w:autoSpaceDN w:val="0"/>
              <w:adjustRightInd w:val="0"/>
              <w:spacing w:line="360" w:lineRule="auto"/>
              <w:jc w:val="left"/>
              <w:rPr>
                <w:rFonts w:ascii="Times New Roman" w:hAnsi="Times New Roman" w:cs="Times New Roman"/>
                <w:kern w:val="0"/>
                <w:sz w:val="24"/>
                <w:szCs w:val="24"/>
              </w:rPr>
            </w:pPr>
          </w:p>
        </w:tc>
        <w:tc>
          <w:tcPr>
            <w:tcW w:w="1276" w:type="dxa"/>
            <w:tcBorders>
              <w:top w:val="single" w:color="auto" w:sz="6" w:space="0"/>
              <w:left w:val="nil"/>
              <w:bottom w:val="single" w:color="auto" w:sz="4" w:space="0"/>
              <w:right w:val="nil"/>
            </w:tcBorders>
          </w:tcPr>
          <w:p>
            <w:pPr>
              <w:autoSpaceDE w:val="0"/>
              <w:autoSpaceDN w:val="0"/>
              <w:adjustRightInd w:val="0"/>
              <w:spacing w:line="360" w:lineRule="auto"/>
              <w:ind w:firstLine="240" w:firstLineChars="100"/>
              <w:rPr>
                <w:rFonts w:ascii="Times New Roman" w:hAnsi="Times New Roman" w:cs="Times New Roman"/>
                <w:kern w:val="0"/>
                <w:sz w:val="24"/>
                <w:szCs w:val="24"/>
              </w:rPr>
            </w:pPr>
            <w:r>
              <w:rPr>
                <w:rFonts w:ascii="Times New Roman" w:hAnsi="Times New Roman" w:cs="Times New Roman"/>
                <w:kern w:val="0"/>
                <w:sz w:val="24"/>
                <w:szCs w:val="24"/>
              </w:rPr>
              <w:t>Income</w:t>
            </w:r>
          </w:p>
        </w:tc>
        <w:tc>
          <w:tcPr>
            <w:tcW w:w="1134" w:type="dxa"/>
            <w:tcBorders>
              <w:top w:val="single" w:color="auto" w:sz="6" w:space="0"/>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Debt</w:t>
            </w:r>
          </w:p>
        </w:tc>
        <w:tc>
          <w:tcPr>
            <w:tcW w:w="1134" w:type="dxa"/>
            <w:tcBorders>
              <w:top w:val="single" w:color="auto" w:sz="6" w:space="0"/>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Fdebt</w:t>
            </w:r>
          </w:p>
        </w:tc>
        <w:tc>
          <w:tcPr>
            <w:tcW w:w="1134" w:type="dxa"/>
            <w:tcBorders>
              <w:top w:val="single" w:color="auto" w:sz="6" w:space="0"/>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1134" w:type="dxa"/>
            <w:tcBorders>
              <w:top w:val="single" w:color="auto" w:sz="6" w:space="0"/>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Consume</w:t>
            </w:r>
          </w:p>
        </w:tc>
        <w:tc>
          <w:tcPr>
            <w:tcW w:w="1276" w:type="dxa"/>
            <w:tcBorders>
              <w:top w:val="single" w:color="auto" w:sz="6" w:space="0"/>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w:t>
            </w:r>
            <w:r>
              <w:rPr>
                <w:rFonts w:hint="eastAsia" w:ascii="Times New Roman" w:hAnsi="Times New Roman" w:cs="Times New Roman"/>
                <w:kern w:val="0"/>
                <w:sz w:val="24"/>
                <w:szCs w:val="24"/>
              </w:rPr>
              <w:t>nsurance</w:t>
            </w:r>
          </w:p>
        </w:tc>
      </w:tr>
      <w:tr>
        <w:tblPrEx>
          <w:tblCellMar>
            <w:top w:w="0" w:type="dxa"/>
            <w:left w:w="75" w:type="dxa"/>
            <w:bottom w:w="0" w:type="dxa"/>
            <w:right w:w="75" w:type="dxa"/>
          </w:tblCellMar>
        </w:tblPrEx>
        <w:trPr>
          <w:trHeight w:val="167" w:hRule="atLeast"/>
          <w:jc w:val="center"/>
        </w:trPr>
        <w:tc>
          <w:tcPr>
            <w:tcW w:w="2268" w:type="dxa"/>
            <w:tcBorders>
              <w:top w:val="single" w:color="auto" w:sz="4" w:space="0"/>
              <w:lef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Income</w:t>
            </w:r>
          </w:p>
        </w:tc>
        <w:tc>
          <w:tcPr>
            <w:tcW w:w="1276"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134"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276" w:type="dxa"/>
            <w:tcBorders>
              <w:top w:val="single" w:color="auto" w:sz="4" w:space="0"/>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0.042**</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Fdebt</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0.00800</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0.074***</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0.064***</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0.059***</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0.00200</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134"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c>
          <w:tcPr>
            <w:tcW w:w="127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Consume</w:t>
            </w:r>
          </w:p>
        </w:tc>
        <w:tc>
          <w:tcPr>
            <w:tcW w:w="1276"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0.327***</w:t>
            </w:r>
          </w:p>
        </w:tc>
        <w:tc>
          <w:tcPr>
            <w:tcW w:w="1134"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c>
          <w:tcPr>
            <w:tcW w:w="1134"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0.046**</w:t>
            </w:r>
          </w:p>
        </w:tc>
        <w:tc>
          <w:tcPr>
            <w:tcW w:w="1134"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-0.037**</w:t>
            </w:r>
          </w:p>
        </w:tc>
        <w:tc>
          <w:tcPr>
            <w:tcW w:w="1134"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p>
        </w:tc>
        <w:tc>
          <w:tcPr>
            <w:tcW w:w="1276" w:type="dxa"/>
            <w:tcBorders>
              <w:top w:val="nil"/>
              <w:left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single" w:color="auto" w:sz="4" w:space="0"/>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w:t>
            </w:r>
            <w:r>
              <w:rPr>
                <w:rFonts w:hint="eastAsia" w:ascii="Times New Roman" w:hAnsi="Times New Roman" w:cs="Times New Roman"/>
                <w:kern w:val="0"/>
                <w:sz w:val="24"/>
                <w:szCs w:val="24"/>
              </w:rPr>
              <w:t>nsurance</w:t>
            </w:r>
          </w:p>
        </w:tc>
        <w:tc>
          <w:tcPr>
            <w:tcW w:w="1276"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0.154***</w:t>
            </w:r>
          </w:p>
        </w:tc>
        <w:tc>
          <w:tcPr>
            <w:tcW w:w="1134"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0.035*</w:t>
            </w:r>
          </w:p>
        </w:tc>
        <w:tc>
          <w:tcPr>
            <w:tcW w:w="1134"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0.044**</w:t>
            </w:r>
          </w:p>
        </w:tc>
        <w:tc>
          <w:tcPr>
            <w:tcW w:w="1134"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-0.00300</w:t>
            </w:r>
          </w:p>
        </w:tc>
        <w:tc>
          <w:tcPr>
            <w:tcW w:w="1134"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0.125***</w:t>
            </w:r>
          </w:p>
        </w:tc>
        <w:tc>
          <w:tcPr>
            <w:tcW w:w="1276" w:type="dxa"/>
            <w:tcBorders>
              <w:top w:val="nil"/>
              <w:left w:val="nil"/>
              <w:bottom w:val="single" w:color="auto" w:sz="4"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hint="eastAsia" w:ascii="Times New Roman" w:hAnsi="Times New Roman" w:cs="Times New Roman"/>
                <w:kern w:val="0"/>
                <w:sz w:val="24"/>
                <w:szCs w:val="24"/>
              </w:rPr>
              <w:t>1</w:t>
            </w:r>
          </w:p>
        </w:tc>
      </w:tr>
    </w:tbl>
    <w:p>
      <w:pPr>
        <w:spacing w:line="360" w:lineRule="auto"/>
        <w:jc w:val="center"/>
        <w:rPr>
          <w:rFonts w:ascii="Times New Roman" w:hAnsi="Times New Roman" w:eastAsia="宋体" w:cs="Times New Roman"/>
          <w:sz w:val="18"/>
          <w:szCs w:val="18"/>
        </w:rPr>
      </w:pPr>
    </w:p>
    <w:p>
      <w:pPr>
        <w:spacing w:line="36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lang w:val="en-US" w:eastAsia="zh-CN"/>
        </w:rPr>
        <w:t xml:space="preserve">Table </w:t>
      </w:r>
      <w:r>
        <w:rPr>
          <w:rFonts w:ascii="Times New Roman" w:hAnsi="Times New Roman" w:eastAsia="宋体" w:cs="Times New Roman"/>
          <w:sz w:val="18"/>
          <w:szCs w:val="18"/>
        </w:rPr>
        <w:t>3</w:t>
      </w:r>
      <w:r>
        <w:rPr>
          <w:rFonts w:hint="eastAsia" w:ascii="Times New Roman" w:hAnsi="Times New Roman" w:eastAsia="宋体" w:cs="Times New Roman"/>
          <w:sz w:val="18"/>
          <w:szCs w:val="18"/>
          <w:lang w:val="en-US" w:eastAsia="zh-CN"/>
        </w:rPr>
        <w:t xml:space="preserve"> </w:t>
      </w:r>
      <w:r>
        <w:rPr>
          <w:rFonts w:hint="eastAsia" w:ascii="Times New Roman" w:hAnsi="Times New Roman" w:eastAsia="宋体" w:cs="Times New Roman"/>
          <w:sz w:val="18"/>
          <w:szCs w:val="18"/>
        </w:rPr>
        <w:t>Liquidity constraints, housing assets, and household consumption</w:t>
      </w:r>
    </w:p>
    <w:tbl>
      <w:tblPr>
        <w:tblStyle w:val="6"/>
        <w:tblW w:w="0" w:type="auto"/>
        <w:jc w:val="center"/>
        <w:tblLayout w:type="fixed"/>
        <w:tblCellMar>
          <w:top w:w="0" w:type="dxa"/>
          <w:left w:w="75" w:type="dxa"/>
          <w:bottom w:w="0" w:type="dxa"/>
          <w:right w:w="75" w:type="dxa"/>
        </w:tblCellMar>
      </w:tblPr>
      <w:tblGrid>
        <w:gridCol w:w="1947"/>
        <w:gridCol w:w="2016"/>
      </w:tblGrid>
      <w:tr>
        <w:tblPrEx>
          <w:tblCellMar>
            <w:top w:w="0" w:type="dxa"/>
            <w:left w:w="75" w:type="dxa"/>
            <w:bottom w:w="0" w:type="dxa"/>
            <w:right w:w="75" w:type="dxa"/>
          </w:tblCellMar>
        </w:tblPrEx>
        <w:trPr>
          <w:jc w:val="center"/>
        </w:trPr>
        <w:tc>
          <w:tcPr>
            <w:tcW w:w="1947"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-0.043**</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(-2.34)</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(-4.16)</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20,587.306***</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(16.71)</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1,063</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0.021</w:t>
            </w:r>
          </w:p>
        </w:tc>
      </w:tr>
    </w:tbl>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pPr>
        <w:widowControl w:val="0"/>
        <w:numPr>
          <w:ilvl w:val="0"/>
          <w:numId w:val="0"/>
        </w:numPr>
        <w:jc w:val="both"/>
        <w:rPr>
          <w:rFonts w:hint="eastAsia"/>
          <w:lang w:val="en-US" w:eastAsia="zh-CN"/>
        </w:rPr>
      </w:pPr>
    </w:p>
    <w:p>
      <w:pPr>
        <w:spacing w:line="36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lang w:val="en-US" w:eastAsia="zh-CN"/>
        </w:rPr>
        <w:t>Table</w:t>
      </w:r>
      <w:r>
        <w:rPr>
          <w:rFonts w:ascii="Times New Roman" w:hAnsi="Times New Roman" w:eastAsia="宋体" w:cs="Times New Roman"/>
          <w:sz w:val="18"/>
          <w:szCs w:val="18"/>
        </w:rPr>
        <w:t xml:space="preserve"> 4 </w:t>
      </w:r>
      <w:r>
        <w:rPr>
          <w:rFonts w:hint="eastAsia" w:ascii="Times New Roman" w:hAnsi="Times New Roman" w:eastAsia="宋体" w:cs="Times New Roman"/>
          <w:sz w:val="18"/>
          <w:szCs w:val="18"/>
        </w:rPr>
        <w:t>Liquidity constraints, housing assets, and household income</w:t>
      </w:r>
    </w:p>
    <w:tbl>
      <w:tblPr>
        <w:tblStyle w:val="6"/>
        <w:tblW w:w="0" w:type="auto"/>
        <w:jc w:val="center"/>
        <w:tblLayout w:type="fixed"/>
        <w:tblCellMar>
          <w:top w:w="0" w:type="dxa"/>
          <w:left w:w="75" w:type="dxa"/>
          <w:bottom w:w="0" w:type="dxa"/>
          <w:right w:w="75" w:type="dxa"/>
        </w:tblCellMar>
      </w:tblPr>
      <w:tblGrid>
        <w:gridCol w:w="1947"/>
        <w:gridCol w:w="2016"/>
      </w:tblGrid>
      <w:tr>
        <w:tblPrEx>
          <w:tblCellMar>
            <w:top w:w="0" w:type="dxa"/>
            <w:left w:w="75" w:type="dxa"/>
            <w:bottom w:w="0" w:type="dxa"/>
            <w:right w:w="75" w:type="dxa"/>
          </w:tblCellMar>
        </w:tblPrEx>
        <w:trPr>
          <w:jc w:val="center"/>
        </w:trPr>
        <w:tc>
          <w:tcPr>
            <w:tcW w:w="1947"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0.085**</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(2.02)</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Fdebt</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0.274</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(0.26)</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(3.29)</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91,277.129***</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(28.81)</w:t>
            </w: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2,831</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bl>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pPr>
        <w:widowControl w:val="0"/>
        <w:numPr>
          <w:ilvl w:val="0"/>
          <w:numId w:val="0"/>
        </w:numPr>
        <w:jc w:val="both"/>
        <w:rPr>
          <w:rFonts w:hint="eastAsia"/>
          <w:lang w:val="en-US" w:eastAsia="zh-CN"/>
        </w:rPr>
      </w:pPr>
    </w:p>
    <w:p>
      <w:pPr>
        <w:spacing w:line="360" w:lineRule="auto"/>
        <w:jc w:val="cente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Table </w:t>
      </w:r>
      <w:r>
        <w:rPr>
          <w:rFonts w:ascii="Times New Roman" w:hAnsi="Times New Roman" w:eastAsia="宋体" w:cs="Times New Roman"/>
          <w:sz w:val="18"/>
          <w:szCs w:val="18"/>
        </w:rPr>
        <w:t xml:space="preserve">6 </w:t>
      </w:r>
      <w:r>
        <w:rPr>
          <w:rFonts w:hint="eastAsia" w:ascii="Times New Roman" w:hAnsi="Times New Roman" w:eastAsia="宋体" w:cs="Times New Roman"/>
          <w:sz w:val="18"/>
          <w:szCs w:val="18"/>
          <w:lang w:val="en-US" w:eastAsia="zh-CN"/>
        </w:rPr>
        <w:t>OLS multiple regression analysis with interaction terms</w:t>
      </w:r>
    </w:p>
    <w:tbl>
      <w:tblPr>
        <w:tblStyle w:val="6"/>
        <w:tblW w:w="0" w:type="auto"/>
        <w:jc w:val="center"/>
        <w:tblLayout w:type="fixed"/>
        <w:tblCellMar>
          <w:top w:w="0" w:type="dxa"/>
          <w:left w:w="75" w:type="dxa"/>
          <w:bottom w:w="0" w:type="dxa"/>
          <w:right w:w="75" w:type="dxa"/>
        </w:tblCellMar>
      </w:tblPr>
      <w:tblGrid>
        <w:gridCol w:w="2268"/>
        <w:gridCol w:w="1695"/>
      </w:tblGrid>
      <w:tr>
        <w:tblPrEx>
          <w:tblCellMar>
            <w:top w:w="0" w:type="dxa"/>
            <w:left w:w="75" w:type="dxa"/>
            <w:bottom w:w="0" w:type="dxa"/>
            <w:right w:w="75" w:type="dxa"/>
          </w:tblCellMar>
        </w:tblPrEx>
        <w:trPr>
          <w:jc w:val="center"/>
        </w:trPr>
        <w:tc>
          <w:tcPr>
            <w:tcW w:w="2268"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tblPrEx>
          <w:tblCellMar>
            <w:top w:w="0" w:type="dxa"/>
            <w:left w:w="75" w:type="dxa"/>
            <w:bottom w:w="0" w:type="dxa"/>
            <w:right w:w="75" w:type="dxa"/>
          </w:tblCellMar>
        </w:tblPrEx>
        <w:trPr>
          <w:jc w:val="center"/>
        </w:trPr>
        <w:tc>
          <w:tcPr>
            <w:tcW w:w="2268"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695"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-0.016</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(-0.81)</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VIns</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9,045.960**</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(1.99)</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0.011***</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(2.68)</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Di</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(2.38)</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(-4.20)</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19,290.110***</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(15.18)</w:t>
            </w: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2268" w:type="dxa"/>
            <w:tcBorders>
              <w:top w:val="nil"/>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695" w:type="dxa"/>
            <w:tcBorders>
              <w:top w:val="nil"/>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1,063</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2268"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695"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0.051</w:t>
            </w:r>
          </w:p>
        </w:tc>
      </w:tr>
    </w:tbl>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pPr>
        <w:spacing w:line="360" w:lineRule="auto"/>
        <w:rPr>
          <w:rFonts w:ascii="Times New Roman" w:hAnsi="Times New Roman" w:eastAsia="宋体" w:cs="Times New Roman"/>
          <w:sz w:val="24"/>
          <w:szCs w:val="24"/>
        </w:rPr>
      </w:pPr>
    </w:p>
    <w:p>
      <w:pPr>
        <w:spacing w:line="360" w:lineRule="auto"/>
        <w:jc w:val="center"/>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Table </w:t>
      </w:r>
      <w:r>
        <w:rPr>
          <w:rFonts w:ascii="Times New Roman" w:hAnsi="Times New Roman" w:eastAsia="宋体" w:cs="Times New Roman"/>
          <w:sz w:val="18"/>
          <w:szCs w:val="18"/>
        </w:rPr>
        <w:t xml:space="preserve">7 </w:t>
      </w:r>
      <w:r>
        <w:rPr>
          <w:rFonts w:hint="eastAsia" w:ascii="Times New Roman" w:hAnsi="Times New Roman" w:eastAsia="宋体" w:cs="Times New Roman"/>
          <w:sz w:val="18"/>
          <w:szCs w:val="18"/>
          <w:lang w:val="en-US" w:eastAsia="zh-CN"/>
        </w:rPr>
        <w:t>Robust Test for consumption</w:t>
      </w:r>
    </w:p>
    <w:tbl>
      <w:tblPr>
        <w:tblStyle w:val="6"/>
        <w:tblW w:w="0" w:type="auto"/>
        <w:jc w:val="center"/>
        <w:tblLayout w:type="fixed"/>
        <w:tblCellMar>
          <w:top w:w="0" w:type="dxa"/>
          <w:left w:w="75" w:type="dxa"/>
          <w:bottom w:w="0" w:type="dxa"/>
          <w:right w:w="75" w:type="dxa"/>
        </w:tblCellMar>
      </w:tblPr>
      <w:tblGrid>
        <w:gridCol w:w="1947"/>
        <w:gridCol w:w="2016"/>
      </w:tblGrid>
      <w:tr>
        <w:tblPrEx>
          <w:tblCellMar>
            <w:top w:w="0" w:type="dxa"/>
            <w:left w:w="75" w:type="dxa"/>
            <w:bottom w:w="0" w:type="dxa"/>
            <w:right w:w="75" w:type="dxa"/>
          </w:tblCellMar>
        </w:tblPrEx>
        <w:trPr>
          <w:jc w:val="center"/>
        </w:trPr>
        <w:tc>
          <w:tcPr>
            <w:tcW w:w="1947"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r>
              <w:rPr>
                <w:rFonts w:hint="eastAsia" w:ascii="宋体" w:hAnsi="宋体" w:eastAsia="宋体" w:cs="Times New Roman"/>
                <w:kern w:val="0"/>
                <w:sz w:val="18"/>
                <w:szCs w:val="18"/>
              </w:rPr>
              <w:t>（总负债）</w:t>
            </w: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-0.221***</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(-8.40)</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r>
              <w:rPr>
                <w:rFonts w:hint="eastAsia" w:ascii="宋体" w:hAnsi="宋体" w:eastAsia="宋体" w:cs="Times New Roman"/>
                <w:kern w:val="0"/>
                <w:sz w:val="18"/>
                <w:szCs w:val="18"/>
              </w:rPr>
              <w:t>（住房资产）</w:t>
            </w: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-0.001***</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(-6.91)</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17,623.668***</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(17.00)</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1,096</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2016"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0.101</w:t>
            </w:r>
          </w:p>
        </w:tc>
      </w:tr>
    </w:tbl>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t-statistics in parentheses</w:t>
      </w:r>
    </w:p>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pPr>
        <w:widowControl w:val="0"/>
        <w:numPr>
          <w:ilvl w:val="0"/>
          <w:numId w:val="0"/>
        </w:numPr>
        <w:jc w:val="both"/>
        <w:rPr>
          <w:rFonts w:hint="eastAsia"/>
          <w:lang w:val="en-US" w:eastAsia="zh-CN"/>
        </w:rPr>
      </w:pPr>
    </w:p>
    <w:p>
      <w:pPr>
        <w:autoSpaceDE w:val="0"/>
        <w:autoSpaceDN w:val="0"/>
        <w:adjustRightInd w:val="0"/>
        <w:spacing w:line="360" w:lineRule="auto"/>
        <w:jc w:val="center"/>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Table 8 Robust Test for income</w:t>
      </w:r>
    </w:p>
    <w:tbl>
      <w:tblPr>
        <w:tblStyle w:val="6"/>
        <w:tblW w:w="0" w:type="auto"/>
        <w:jc w:val="center"/>
        <w:tblLayout w:type="fixed"/>
        <w:tblCellMar>
          <w:top w:w="0" w:type="dxa"/>
          <w:left w:w="75" w:type="dxa"/>
          <w:bottom w:w="0" w:type="dxa"/>
          <w:right w:w="75" w:type="dxa"/>
        </w:tblCellMar>
      </w:tblPr>
      <w:tblGrid>
        <w:gridCol w:w="1947"/>
        <w:gridCol w:w="1872"/>
      </w:tblGrid>
      <w:tr>
        <w:tblPrEx>
          <w:tblCellMar>
            <w:top w:w="0" w:type="dxa"/>
            <w:left w:w="75" w:type="dxa"/>
            <w:bottom w:w="0" w:type="dxa"/>
            <w:right w:w="75" w:type="dxa"/>
          </w:tblCellMar>
        </w:tblPrEx>
        <w:trPr>
          <w:jc w:val="center"/>
        </w:trPr>
        <w:tc>
          <w:tcPr>
            <w:tcW w:w="1947" w:type="dxa"/>
            <w:tcBorders>
              <w:top w:val="single" w:color="auto" w:sz="6" w:space="0"/>
              <w:left w:val="nil"/>
              <w:bottom w:val="nil"/>
              <w:right w:val="nil"/>
            </w:tcBorders>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Borders>
              <w:top w:val="single" w:color="auto" w:sz="6" w:space="0"/>
              <w:left w:val="nil"/>
              <w:bottom w:val="nil"/>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1872"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Debt</w:t>
            </w:r>
            <w:r>
              <w:rPr>
                <w:rFonts w:hint="eastAsia" w:ascii="宋体" w:hAnsi="宋体" w:eastAsia="宋体" w:cs="Times New Roman"/>
                <w:kern w:val="0"/>
                <w:sz w:val="18"/>
                <w:szCs w:val="18"/>
              </w:rPr>
              <w:t>（总负债）</w:t>
            </w: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(1.42)</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House</w:t>
            </w:r>
            <w:r>
              <w:rPr>
                <w:rFonts w:hint="eastAsia" w:ascii="宋体" w:hAnsi="宋体" w:eastAsia="宋体" w:cs="Times New Roman"/>
                <w:kern w:val="0"/>
                <w:sz w:val="18"/>
                <w:szCs w:val="18"/>
              </w:rPr>
              <w:t>（住房资产）</w:t>
            </w: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0.000***</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(7.95)</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4,913.105***</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(28.10)</w:t>
            </w: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p>
        </w:tc>
      </w:tr>
      <w:tr>
        <w:tblPrEx>
          <w:tblCellMar>
            <w:top w:w="0" w:type="dxa"/>
            <w:left w:w="75" w:type="dxa"/>
            <w:bottom w:w="0" w:type="dxa"/>
            <w:right w:w="75" w:type="dxa"/>
          </w:tblCellMar>
        </w:tblPrEx>
        <w:trPr>
          <w:jc w:val="center"/>
        </w:trPr>
        <w:tc>
          <w:tcPr>
            <w:tcW w:w="1947"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872" w:type="dxa"/>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1,096</w:t>
            </w:r>
          </w:p>
        </w:tc>
      </w:tr>
      <w:tr>
        <w:tblPrEx>
          <w:tblCellMar>
            <w:top w:w="0" w:type="dxa"/>
            <w:left w:w="75" w:type="dxa"/>
            <w:bottom w:w="0" w:type="dxa"/>
            <w:right w:w="75" w:type="dxa"/>
          </w:tblCellMar>
        </w:tblPrEx>
        <w:trPr>
          <w:jc w:val="center"/>
        </w:trPr>
        <w:tc>
          <w:tcPr>
            <w:tcW w:w="1947" w:type="dxa"/>
            <w:tcBorders>
              <w:top w:val="nil"/>
              <w:left w:val="nil"/>
              <w:bottom w:val="single" w:color="auto" w:sz="6" w:space="0"/>
              <w:right w:val="nil"/>
            </w:tcBorders>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872" w:type="dxa"/>
            <w:tcBorders>
              <w:top w:val="nil"/>
              <w:left w:val="nil"/>
              <w:bottom w:val="single" w:color="auto" w:sz="6" w:space="0"/>
              <w:right w:val="nil"/>
            </w:tcBorders>
          </w:tcPr>
          <w:p>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0.057</w:t>
            </w:r>
          </w:p>
        </w:tc>
      </w:tr>
    </w:tbl>
    <w:p>
      <w:pPr>
        <w:widowControl w:val="0"/>
        <w:numPr>
          <w:ilvl w:val="0"/>
          <w:numId w:val="0"/>
        </w:numPr>
        <w:jc w:val="both"/>
        <w:rPr>
          <w:rFonts w:hint="eastAsia"/>
          <w:lang w:val="en-US" w:eastAsia="zh-CN"/>
        </w:rPr>
      </w:pPr>
    </w:p>
    <w:p>
      <w:pPr>
        <w:autoSpaceDE w:val="0"/>
        <w:autoSpaceDN w:val="0"/>
        <w:adjustRightInd w:val="0"/>
        <w:spacing w:line="360" w:lineRule="auto"/>
        <w:jc w:val="center"/>
        <w:rPr>
          <w:rFonts w:hint="default"/>
          <w:lang w:val="en-US" w:eastAsia="zh-CN"/>
        </w:rPr>
      </w:pPr>
      <w:r>
        <w:rPr>
          <w:rFonts w:hint="eastAsia" w:ascii="Times New Roman" w:hAnsi="Times New Roman" w:eastAsia="宋体" w:cs="Times New Roman"/>
          <w:sz w:val="18"/>
          <w:szCs w:val="18"/>
          <w:lang w:val="en-US" w:eastAsia="zh-CN"/>
        </w:rPr>
        <w:t>Table 9 VIFs for consumption</w:t>
      </w:r>
    </w:p>
    <w:tbl>
      <w:tblPr>
        <w:tblStyle w:val="6"/>
        <w:tblW w:w="0" w:type="auto"/>
        <w:jc w:val="center"/>
        <w:tblLayout w:type="fixed"/>
        <w:tblCellMar>
          <w:top w:w="0" w:type="dxa"/>
          <w:left w:w="75" w:type="dxa"/>
          <w:bottom w:w="0" w:type="dxa"/>
          <w:right w:w="75" w:type="dxa"/>
        </w:tblCellMar>
      </w:tblPr>
      <w:tblGrid>
        <w:gridCol w:w="1947"/>
        <w:gridCol w:w="2016"/>
        <w:gridCol w:w="2016"/>
      </w:tblGrid>
      <w:tr>
        <w:tblPrEx>
          <w:tblCellMar>
            <w:top w:w="0" w:type="dxa"/>
            <w:left w:w="75" w:type="dxa"/>
            <w:bottom w:w="0" w:type="dxa"/>
            <w:right w:w="75" w:type="dxa"/>
          </w:tblCellMar>
        </w:tblPrEx>
        <w:trPr>
          <w:jc w:val="center"/>
        </w:trPr>
        <w:tc>
          <w:tcPr>
            <w:tcW w:w="1947" w:type="dxa"/>
            <w:tcBorders>
              <w:top w:val="nil"/>
              <w:left w:val="nil"/>
              <w:bottom w:val="single" w:color="000000" w:sz="4" w:space="0"/>
              <w:right w:val="single" w:color="auto" w:sz="4" w:space="0"/>
            </w:tcBorders>
          </w:tcPr>
          <w:p>
            <w:pPr>
              <w:tabs>
                <w:tab w:val="center" w:pos="898"/>
              </w:tabs>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ascii="Times New Roman" w:hAnsi="Times New Roman" w:cs="Times New Roman"/>
                <w:kern w:val="0"/>
                <w:sz w:val="24"/>
                <w:szCs w:val="24"/>
              </w:rPr>
              <w:t>V</w:t>
            </w:r>
            <w:r>
              <w:rPr>
                <w:rFonts w:hint="eastAsia" w:ascii="Times New Roman" w:hAnsi="Times New Roman" w:cs="Times New Roman"/>
                <w:kern w:val="0"/>
                <w:sz w:val="24"/>
                <w:szCs w:val="24"/>
                <w:lang w:val="en-US" w:eastAsia="zh-CN"/>
              </w:rPr>
              <w:t>ARIABLES</w:t>
            </w:r>
          </w:p>
        </w:tc>
        <w:tc>
          <w:tcPr>
            <w:tcW w:w="2016" w:type="dxa"/>
            <w:tcBorders>
              <w:top w:val="nil"/>
              <w:left w:val="single" w:color="auto" w:sz="4" w:space="0"/>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VIF</w:t>
            </w:r>
          </w:p>
        </w:tc>
        <w:tc>
          <w:tcPr>
            <w:tcW w:w="2016" w:type="dxa"/>
            <w:tcBorders>
              <w:top w:val="nil"/>
              <w:left w:val="nil"/>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1/VIF</w:t>
            </w:r>
          </w:p>
        </w:tc>
      </w:tr>
      <w:tr>
        <w:tblPrEx>
          <w:tblCellMar>
            <w:top w:w="0" w:type="dxa"/>
            <w:left w:w="75" w:type="dxa"/>
            <w:bottom w:w="0" w:type="dxa"/>
            <w:right w:w="75" w:type="dxa"/>
          </w:tblCellMar>
        </w:tblPrEx>
        <w:trPr>
          <w:jc w:val="center"/>
        </w:trPr>
        <w:tc>
          <w:tcPr>
            <w:tcW w:w="1947" w:type="dxa"/>
            <w:tcBorders>
              <w:top w:val="single" w:color="000000" w:sz="4" w:space="0"/>
              <w:left w:val="nil"/>
              <w:bottom w:val="nil"/>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Debt</w:t>
            </w:r>
          </w:p>
        </w:tc>
        <w:tc>
          <w:tcPr>
            <w:tcW w:w="2016" w:type="dxa"/>
            <w:tcBorders>
              <w:top w:val="single" w:color="000000" w:sz="4" w:space="0"/>
              <w:left w:val="single" w:color="auto" w:sz="4" w:space="0"/>
              <w:bottom w:val="nil"/>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1.00</w:t>
            </w:r>
          </w:p>
        </w:tc>
        <w:tc>
          <w:tcPr>
            <w:tcW w:w="2016" w:type="dxa"/>
            <w:tcBorders>
              <w:top w:val="single" w:color="000000" w:sz="4" w:space="0"/>
              <w:left w:val="nil"/>
              <w:bottom w:val="nil"/>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0.996479</w:t>
            </w:r>
          </w:p>
        </w:tc>
      </w:tr>
      <w:tr>
        <w:tblPrEx>
          <w:tblCellMar>
            <w:top w:w="0" w:type="dxa"/>
            <w:left w:w="75" w:type="dxa"/>
            <w:bottom w:w="0" w:type="dxa"/>
            <w:right w:w="75" w:type="dxa"/>
          </w:tblCellMar>
        </w:tblPrEx>
        <w:trPr>
          <w:jc w:val="center"/>
        </w:trPr>
        <w:tc>
          <w:tcPr>
            <w:tcW w:w="1947" w:type="dxa"/>
            <w:tcBorders>
              <w:top w:val="nil"/>
              <w:left w:val="nil"/>
              <w:bottom w:val="single" w:color="000000" w:sz="4" w:space="0"/>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House</w:t>
            </w:r>
          </w:p>
        </w:tc>
        <w:tc>
          <w:tcPr>
            <w:tcW w:w="2016" w:type="dxa"/>
            <w:tcBorders>
              <w:top w:val="nil"/>
              <w:left w:val="single" w:color="auto" w:sz="4" w:space="0"/>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1.00</w:t>
            </w:r>
          </w:p>
        </w:tc>
        <w:tc>
          <w:tcPr>
            <w:tcW w:w="2016" w:type="dxa"/>
            <w:tcBorders>
              <w:top w:val="nil"/>
              <w:left w:val="nil"/>
              <w:bottom w:val="single" w:color="000000" w:sz="4" w:space="0"/>
              <w:right w:val="nil"/>
            </w:tcBorders>
          </w:tcPr>
          <w:p>
            <w:pPr>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lang w:val="en-US" w:eastAsia="zh-CN"/>
              </w:rPr>
              <w:t>0.996479</w:t>
            </w:r>
          </w:p>
        </w:tc>
      </w:tr>
      <w:tr>
        <w:tblPrEx>
          <w:tblCellMar>
            <w:top w:w="0" w:type="dxa"/>
            <w:left w:w="75" w:type="dxa"/>
            <w:bottom w:w="0" w:type="dxa"/>
            <w:right w:w="75" w:type="dxa"/>
          </w:tblCellMar>
        </w:tblPrEx>
        <w:trPr>
          <w:jc w:val="center"/>
        </w:trPr>
        <w:tc>
          <w:tcPr>
            <w:tcW w:w="1947" w:type="dxa"/>
            <w:tcBorders>
              <w:top w:val="single" w:color="000000" w:sz="4" w:space="0"/>
              <w:left w:val="nil"/>
              <w:bottom w:val="single" w:color="000000" w:sz="4" w:space="0"/>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Mean</w:t>
            </w:r>
          </w:p>
        </w:tc>
        <w:tc>
          <w:tcPr>
            <w:tcW w:w="2016" w:type="dxa"/>
            <w:tcBorders>
              <w:top w:val="single" w:color="000000" w:sz="4" w:space="0"/>
              <w:left w:val="single" w:color="auto" w:sz="4" w:space="0"/>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1.00</w:t>
            </w:r>
          </w:p>
        </w:tc>
        <w:tc>
          <w:tcPr>
            <w:tcW w:w="2016" w:type="dxa"/>
            <w:tcBorders>
              <w:top w:val="single" w:color="000000" w:sz="4" w:space="0"/>
              <w:left w:val="nil"/>
              <w:bottom w:val="single" w:color="000000" w:sz="4" w:space="0"/>
              <w:right w:val="nil"/>
            </w:tcBorders>
          </w:tcPr>
          <w:p>
            <w:pPr>
              <w:autoSpaceDE w:val="0"/>
              <w:autoSpaceDN w:val="0"/>
              <w:adjustRightInd w:val="0"/>
              <w:jc w:val="center"/>
              <w:rPr>
                <w:rFonts w:ascii="Times New Roman" w:hAnsi="Times New Roman" w:cs="Times New Roman"/>
                <w:kern w:val="0"/>
                <w:sz w:val="24"/>
                <w:szCs w:val="24"/>
              </w:rPr>
            </w:pPr>
          </w:p>
        </w:tc>
      </w:tr>
    </w:tbl>
    <w:p>
      <w:pPr>
        <w:autoSpaceDE w:val="0"/>
        <w:autoSpaceDN w:val="0"/>
        <w:adjustRightInd w:val="0"/>
        <w:spacing w:line="360" w:lineRule="auto"/>
        <w:jc w:val="both"/>
        <w:rPr>
          <w:rFonts w:hint="eastAsia" w:ascii="Times New Roman" w:hAnsi="Times New Roman" w:eastAsia="宋体" w:cs="Times New Roman"/>
          <w:sz w:val="18"/>
          <w:szCs w:val="18"/>
          <w:lang w:val="en-US" w:eastAsia="zh-CN"/>
        </w:rPr>
      </w:pPr>
    </w:p>
    <w:p>
      <w:pPr>
        <w:autoSpaceDE w:val="0"/>
        <w:autoSpaceDN w:val="0"/>
        <w:adjustRightInd w:val="0"/>
        <w:spacing w:line="360" w:lineRule="auto"/>
        <w:jc w:val="center"/>
        <w:rPr>
          <w:rFonts w:hint="default"/>
          <w:color w:val="FF0000"/>
          <w:lang w:val="en-US"/>
        </w:rPr>
      </w:pPr>
      <w:r>
        <w:rPr>
          <w:rFonts w:hint="eastAsia" w:ascii="Times New Roman" w:hAnsi="Times New Roman" w:eastAsia="宋体" w:cs="Times New Roman"/>
          <w:sz w:val="18"/>
          <w:szCs w:val="18"/>
          <w:lang w:val="en-US" w:eastAsia="zh-CN"/>
        </w:rPr>
        <w:t>Table 10 VIFs for income</w:t>
      </w:r>
    </w:p>
    <w:tbl>
      <w:tblPr>
        <w:tblStyle w:val="6"/>
        <w:tblW w:w="0" w:type="auto"/>
        <w:jc w:val="center"/>
        <w:tblLayout w:type="fixed"/>
        <w:tblCellMar>
          <w:top w:w="0" w:type="dxa"/>
          <w:left w:w="75" w:type="dxa"/>
          <w:bottom w:w="0" w:type="dxa"/>
          <w:right w:w="75" w:type="dxa"/>
        </w:tblCellMar>
      </w:tblPr>
      <w:tblGrid>
        <w:gridCol w:w="1947"/>
        <w:gridCol w:w="2016"/>
        <w:gridCol w:w="2016"/>
      </w:tblGrid>
      <w:tr>
        <w:trPr>
          <w:jc w:val="center"/>
        </w:trPr>
        <w:tc>
          <w:tcPr>
            <w:tcW w:w="1947" w:type="dxa"/>
            <w:tcBorders>
              <w:top w:val="nil"/>
              <w:left w:val="nil"/>
              <w:bottom w:val="single" w:color="000000" w:sz="4" w:space="0"/>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ascii="Times New Roman" w:hAnsi="Times New Roman" w:cs="Times New Roman"/>
                <w:kern w:val="0"/>
                <w:sz w:val="24"/>
                <w:szCs w:val="24"/>
              </w:rPr>
              <w:t>V</w:t>
            </w:r>
            <w:r>
              <w:rPr>
                <w:rFonts w:hint="eastAsia" w:ascii="Times New Roman" w:hAnsi="Times New Roman" w:cs="Times New Roman"/>
                <w:kern w:val="0"/>
                <w:sz w:val="24"/>
                <w:szCs w:val="24"/>
                <w:lang w:val="en-US" w:eastAsia="zh-CN"/>
              </w:rPr>
              <w:t>ARIABLES</w:t>
            </w:r>
          </w:p>
        </w:tc>
        <w:tc>
          <w:tcPr>
            <w:tcW w:w="2016" w:type="dxa"/>
            <w:tcBorders>
              <w:top w:val="nil"/>
              <w:left w:val="single" w:color="auto" w:sz="4" w:space="0"/>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VIF</w:t>
            </w:r>
          </w:p>
        </w:tc>
        <w:tc>
          <w:tcPr>
            <w:tcW w:w="2016" w:type="dxa"/>
            <w:tcBorders>
              <w:top w:val="nil"/>
              <w:left w:val="nil"/>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1/VIF</w:t>
            </w:r>
          </w:p>
        </w:tc>
      </w:tr>
      <w:tr>
        <w:tblPrEx>
          <w:tblCellMar>
            <w:top w:w="0" w:type="dxa"/>
            <w:left w:w="75" w:type="dxa"/>
            <w:bottom w:w="0" w:type="dxa"/>
            <w:right w:w="75" w:type="dxa"/>
          </w:tblCellMar>
        </w:tblPrEx>
        <w:trPr>
          <w:jc w:val="center"/>
        </w:trPr>
        <w:tc>
          <w:tcPr>
            <w:tcW w:w="1947" w:type="dxa"/>
            <w:tcBorders>
              <w:top w:val="single" w:color="000000" w:sz="4" w:space="0"/>
              <w:left w:val="nil"/>
              <w:bottom w:val="nil"/>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Debt</w:t>
            </w:r>
          </w:p>
        </w:tc>
        <w:tc>
          <w:tcPr>
            <w:tcW w:w="2016" w:type="dxa"/>
            <w:tcBorders>
              <w:top w:val="single" w:color="000000" w:sz="4" w:space="0"/>
              <w:left w:val="single" w:color="auto" w:sz="4" w:space="0"/>
              <w:bottom w:val="nil"/>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1.01</w:t>
            </w:r>
          </w:p>
        </w:tc>
        <w:tc>
          <w:tcPr>
            <w:tcW w:w="2016" w:type="dxa"/>
            <w:tcBorders>
              <w:top w:val="single" w:color="000000" w:sz="4" w:space="0"/>
              <w:left w:val="nil"/>
              <w:bottom w:val="nil"/>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0.990993</w:t>
            </w:r>
          </w:p>
        </w:tc>
      </w:tr>
      <w:tr>
        <w:tblPrEx>
          <w:tblCellMar>
            <w:top w:w="0" w:type="dxa"/>
            <w:left w:w="75" w:type="dxa"/>
            <w:bottom w:w="0" w:type="dxa"/>
            <w:right w:w="75" w:type="dxa"/>
          </w:tblCellMar>
        </w:tblPrEx>
        <w:trPr>
          <w:jc w:val="center"/>
        </w:trPr>
        <w:tc>
          <w:tcPr>
            <w:tcW w:w="1947" w:type="dxa"/>
            <w:tcBorders>
              <w:top w:val="nil"/>
              <w:left w:val="nil"/>
              <w:bottom w:val="nil"/>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Fdebt</w:t>
            </w:r>
          </w:p>
        </w:tc>
        <w:tc>
          <w:tcPr>
            <w:tcW w:w="2016" w:type="dxa"/>
            <w:tcBorders>
              <w:top w:val="nil"/>
              <w:left w:val="single" w:color="auto" w:sz="4" w:space="0"/>
              <w:bottom w:val="nil"/>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1.01</w:t>
            </w:r>
          </w:p>
        </w:tc>
        <w:tc>
          <w:tcPr>
            <w:tcW w:w="2016" w:type="dxa"/>
            <w:tcBorders>
              <w:top w:val="nil"/>
              <w:left w:val="nil"/>
              <w:bottom w:val="nil"/>
              <w:right w:val="nil"/>
            </w:tcBorders>
          </w:tcPr>
          <w:p>
            <w:pPr>
              <w:autoSpaceDE w:val="0"/>
              <w:autoSpaceDN w:val="0"/>
              <w:adjustRightInd w:val="0"/>
              <w:jc w:val="center"/>
              <w:rPr>
                <w:rFonts w:hint="default" w:ascii="Times New Roman" w:hAnsi="Times New Roman" w:cs="Times New Roman"/>
                <w:kern w:val="0"/>
                <w:sz w:val="24"/>
                <w:szCs w:val="24"/>
                <w:lang w:val="en-US"/>
              </w:rPr>
            </w:pPr>
            <w:r>
              <w:rPr>
                <w:rFonts w:hint="eastAsia" w:ascii="Times New Roman" w:hAnsi="Times New Roman" w:cs="Times New Roman"/>
                <w:kern w:val="0"/>
                <w:sz w:val="24"/>
                <w:szCs w:val="24"/>
                <w:lang w:val="en-US" w:eastAsia="zh-CN"/>
              </w:rPr>
              <w:t>0.994489</w:t>
            </w:r>
          </w:p>
        </w:tc>
      </w:tr>
      <w:tr>
        <w:tblPrEx>
          <w:tblCellMar>
            <w:top w:w="0" w:type="dxa"/>
            <w:left w:w="75" w:type="dxa"/>
            <w:bottom w:w="0" w:type="dxa"/>
            <w:right w:w="75" w:type="dxa"/>
          </w:tblCellMar>
        </w:tblPrEx>
        <w:trPr>
          <w:jc w:val="center"/>
        </w:trPr>
        <w:tc>
          <w:tcPr>
            <w:tcW w:w="1947" w:type="dxa"/>
            <w:tcBorders>
              <w:top w:val="nil"/>
              <w:left w:val="nil"/>
              <w:bottom w:val="single" w:color="000000" w:sz="4" w:space="0"/>
              <w:right w:val="single" w:color="000000" w:sz="4" w:space="0"/>
            </w:tcBorders>
          </w:tcPr>
          <w:p>
            <w:pPr>
              <w:autoSpaceDE w:val="0"/>
              <w:autoSpaceDN w:val="0"/>
              <w:adjustRightInd w:val="0"/>
              <w:jc w:val="left"/>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House</w:t>
            </w:r>
          </w:p>
        </w:tc>
        <w:tc>
          <w:tcPr>
            <w:tcW w:w="2016" w:type="dxa"/>
            <w:tcBorders>
              <w:top w:val="nil"/>
              <w:left w:val="single" w:color="000000" w:sz="4" w:space="0"/>
              <w:bottom w:val="single" w:color="000000" w:sz="4" w:space="0"/>
              <w:right w:val="nil"/>
            </w:tcBorders>
          </w:tcPr>
          <w:p>
            <w:pPr>
              <w:autoSpaceDE w:val="0"/>
              <w:autoSpaceDN w:val="0"/>
              <w:adjustRightInd w:val="0"/>
              <w:jc w:val="center"/>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1.00</w:t>
            </w:r>
          </w:p>
        </w:tc>
        <w:tc>
          <w:tcPr>
            <w:tcW w:w="2016" w:type="dxa"/>
            <w:tcBorders>
              <w:top w:val="nil"/>
              <w:left w:val="nil"/>
              <w:bottom w:val="single" w:color="000000" w:sz="4" w:space="0"/>
              <w:right w:val="nil"/>
            </w:tcBorders>
          </w:tcPr>
          <w:p>
            <w:pPr>
              <w:autoSpaceDE w:val="0"/>
              <w:autoSpaceDN w:val="0"/>
              <w:adjustRightInd w:val="0"/>
              <w:jc w:val="center"/>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0.996475</w:t>
            </w:r>
          </w:p>
        </w:tc>
      </w:tr>
      <w:tr>
        <w:tblPrEx>
          <w:tblCellMar>
            <w:top w:w="0" w:type="dxa"/>
            <w:left w:w="75" w:type="dxa"/>
            <w:bottom w:w="0" w:type="dxa"/>
            <w:right w:w="75" w:type="dxa"/>
          </w:tblCellMar>
        </w:tblPrEx>
        <w:trPr>
          <w:jc w:val="center"/>
        </w:trPr>
        <w:tc>
          <w:tcPr>
            <w:tcW w:w="1947" w:type="dxa"/>
            <w:tcBorders>
              <w:top w:val="single" w:color="000000" w:sz="4" w:space="0"/>
              <w:left w:val="nil"/>
              <w:bottom w:val="single" w:color="000000" w:sz="4" w:space="0"/>
              <w:right w:val="single" w:color="auto" w:sz="4" w:space="0"/>
            </w:tcBorders>
          </w:tcPr>
          <w:p>
            <w:pPr>
              <w:autoSpaceDE w:val="0"/>
              <w:autoSpaceDN w:val="0"/>
              <w:adjustRightInd w:val="0"/>
              <w:jc w:val="left"/>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Mean</w:t>
            </w:r>
          </w:p>
        </w:tc>
        <w:tc>
          <w:tcPr>
            <w:tcW w:w="2016" w:type="dxa"/>
            <w:tcBorders>
              <w:top w:val="single" w:color="000000" w:sz="4" w:space="0"/>
              <w:left w:val="single" w:color="auto" w:sz="4" w:space="0"/>
              <w:bottom w:val="single" w:color="000000" w:sz="4" w:space="0"/>
              <w:right w:val="nil"/>
            </w:tcBorders>
          </w:tcPr>
          <w:p>
            <w:pPr>
              <w:autoSpaceDE w:val="0"/>
              <w:autoSpaceDN w:val="0"/>
              <w:adjustRightInd w:val="0"/>
              <w:jc w:val="center"/>
              <w:rPr>
                <w:rFonts w:hint="default"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1.01</w:t>
            </w:r>
          </w:p>
        </w:tc>
        <w:tc>
          <w:tcPr>
            <w:tcW w:w="2016" w:type="dxa"/>
            <w:tcBorders>
              <w:top w:val="single" w:color="000000" w:sz="4" w:space="0"/>
              <w:left w:val="nil"/>
              <w:bottom w:val="single" w:color="000000" w:sz="4" w:space="0"/>
              <w:right w:val="nil"/>
            </w:tcBorders>
          </w:tcPr>
          <w:p>
            <w:pPr>
              <w:autoSpaceDE w:val="0"/>
              <w:autoSpaceDN w:val="0"/>
              <w:adjustRightInd w:val="0"/>
              <w:jc w:val="center"/>
              <w:rPr>
                <w:rFonts w:ascii="Times New Roman" w:hAnsi="Times New Roman" w:cs="Times New Roman"/>
                <w:kern w:val="0"/>
                <w:sz w:val="24"/>
                <w:szCs w:val="24"/>
              </w:rPr>
            </w:pPr>
          </w:p>
        </w:tc>
      </w:tr>
    </w:tbl>
    <w:p>
      <w:pPr>
        <w:bidi w:val="0"/>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B7135"/>
    <w:multiLevelType w:val="singleLevel"/>
    <w:tmpl w:val="86BB7135"/>
    <w:lvl w:ilvl="0" w:tentative="0">
      <w:start w:val="1"/>
      <w:numFmt w:val="lowerLetter"/>
      <w:lvlText w:val="%1."/>
      <w:lvlJc w:val="left"/>
      <w:pPr>
        <w:ind w:left="425" w:hanging="425"/>
      </w:pPr>
      <w:rPr>
        <w:rFonts w:hint="default"/>
      </w:rPr>
    </w:lvl>
  </w:abstractNum>
  <w:abstractNum w:abstractNumId="1">
    <w:nsid w:val="A6220623"/>
    <w:multiLevelType w:val="singleLevel"/>
    <w:tmpl w:val="A6220623"/>
    <w:lvl w:ilvl="0" w:tentative="0">
      <w:start w:val="1"/>
      <w:numFmt w:val="decimal"/>
      <w:lvlText w:val="%1."/>
      <w:lvlJc w:val="left"/>
      <w:pPr>
        <w:ind w:left="425" w:hanging="425"/>
      </w:pPr>
      <w:rPr>
        <w:rFonts w:hint="default"/>
      </w:rPr>
    </w:lvl>
  </w:abstractNum>
  <w:abstractNum w:abstractNumId="2">
    <w:nsid w:val="43DD4185"/>
    <w:multiLevelType w:val="singleLevel"/>
    <w:tmpl w:val="43DD418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YjMzNjBmNWE4NDAzOTBkYzViYWIxN2FkNDBkY2EifQ=="/>
  </w:docVars>
  <w:rsids>
    <w:rsidRoot w:val="717577B1"/>
    <w:rsid w:val="07A82077"/>
    <w:rsid w:val="20B338FC"/>
    <w:rsid w:val="3F314641"/>
    <w:rsid w:val="6C846764"/>
    <w:rsid w:val="6F732867"/>
    <w:rsid w:val="717577B1"/>
    <w:rsid w:val="75330480"/>
    <w:rsid w:val="7DD2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2023-12-06T08:23:00Z</dcterms:created>
  <dc:creator>Mr.Lucky</dc:creator>
  <cp:lastModifiedBy>Mr.Lucky</cp:lastModifiedBy>
  <dcterms:modified xsi:type="dcterms:W3CDTF">2023-12-07T05:24:13Z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14DAFEE57B3A460D9634B45144569516_11</vt:lpwstr>
  </property>
</Properties>
</file>