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9E905" w14:textId="4CEF01D1" w:rsidR="00032886" w:rsidRDefault="00032886" w:rsidP="00032886">
      <w:pPr>
        <w:jc w:val="center"/>
        <w:rPr>
          <w:b/>
          <w:bCs/>
          <w:sz w:val="48"/>
          <w:szCs w:val="48"/>
          <w:u w:val="single"/>
        </w:rPr>
      </w:pPr>
      <w:r w:rsidRPr="00032886">
        <w:rPr>
          <w:b/>
          <w:bCs/>
          <w:sz w:val="48"/>
          <w:szCs w:val="48"/>
          <w:u w:val="single"/>
        </w:rPr>
        <w:t>Artwork Dashboard Analysis Report</w:t>
      </w:r>
    </w:p>
    <w:p w14:paraId="6C875750" w14:textId="77777777" w:rsidR="00032886" w:rsidRPr="00032886" w:rsidRDefault="00032886" w:rsidP="00032886">
      <w:pPr>
        <w:rPr>
          <w:b/>
          <w:bCs/>
        </w:rPr>
      </w:pPr>
      <w:r w:rsidRPr="00032886">
        <w:rPr>
          <w:b/>
          <w:bCs/>
        </w:rPr>
        <w:t>1. Introduction</w:t>
      </w:r>
    </w:p>
    <w:p w14:paraId="1F2D8469" w14:textId="77777777" w:rsidR="00032886" w:rsidRPr="00032886" w:rsidRDefault="00032886" w:rsidP="00032886">
      <w:r w:rsidRPr="00032886">
        <w:t>This report summarizes key insights derived from a dashboard showcasing the museum's artwork collection. The dashboard includes visualizations on the modernity of artworks, artist representation, artwork types, acquisition trends, and average artwork sizes. The aim is to understand patterns in the museum's acquisition and curation strategies.</w:t>
      </w:r>
    </w:p>
    <w:p w14:paraId="303D7CCC" w14:textId="77777777" w:rsidR="00032886" w:rsidRPr="00032886" w:rsidRDefault="00032886" w:rsidP="00032886">
      <w:r w:rsidRPr="00032886">
        <w:pict w14:anchorId="1D38E6E2">
          <v:rect id="_x0000_i1073" style="width:0;height:1.5pt" o:hralign="center" o:hrstd="t" o:hr="t" fillcolor="#a0a0a0" stroked="f"/>
        </w:pict>
      </w:r>
    </w:p>
    <w:p w14:paraId="41E970FB" w14:textId="77777777" w:rsidR="00032886" w:rsidRPr="00032886" w:rsidRDefault="00032886" w:rsidP="00032886">
      <w:pPr>
        <w:rPr>
          <w:b/>
          <w:bCs/>
        </w:rPr>
      </w:pPr>
      <w:r w:rsidRPr="00032886">
        <w:rPr>
          <w:b/>
          <w:bCs/>
        </w:rPr>
        <w:t>2. Key Performance Indicators (KPIs)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6"/>
        <w:gridCol w:w="4433"/>
      </w:tblGrid>
      <w:tr w:rsidR="00032886" w:rsidRPr="00032886" w14:paraId="1402487E" w14:textId="77777777" w:rsidTr="00032886">
        <w:trPr>
          <w:tblHeader/>
          <w:tblCellSpacing w:w="15" w:type="dxa"/>
          <w:jc w:val="center"/>
        </w:trPr>
        <w:tc>
          <w:tcPr>
            <w:tcW w:w="0" w:type="auto"/>
            <w:vAlign w:val="center"/>
            <w:hideMark/>
          </w:tcPr>
          <w:p w14:paraId="33A022FA" w14:textId="77777777" w:rsidR="00032886" w:rsidRPr="00032886" w:rsidRDefault="00032886" w:rsidP="00032886">
            <w:pPr>
              <w:jc w:val="center"/>
              <w:rPr>
                <w:b/>
                <w:bCs/>
              </w:rPr>
            </w:pPr>
            <w:r w:rsidRPr="00032886">
              <w:rPr>
                <w:b/>
                <w:bCs/>
              </w:rPr>
              <w:t>KPI Description</w:t>
            </w:r>
          </w:p>
        </w:tc>
        <w:tc>
          <w:tcPr>
            <w:tcW w:w="0" w:type="auto"/>
            <w:vAlign w:val="center"/>
            <w:hideMark/>
          </w:tcPr>
          <w:p w14:paraId="216AA9D6" w14:textId="77777777" w:rsidR="00032886" w:rsidRPr="00032886" w:rsidRDefault="00032886" w:rsidP="00032886">
            <w:pPr>
              <w:jc w:val="center"/>
              <w:rPr>
                <w:b/>
                <w:bCs/>
              </w:rPr>
            </w:pPr>
            <w:r w:rsidRPr="00032886">
              <w:rPr>
                <w:b/>
                <w:bCs/>
              </w:rPr>
              <w:t>Value</w:t>
            </w:r>
          </w:p>
        </w:tc>
      </w:tr>
      <w:tr w:rsidR="00032886" w:rsidRPr="00032886" w14:paraId="0BCA609D" w14:textId="77777777" w:rsidTr="00032886">
        <w:trPr>
          <w:tblCellSpacing w:w="15" w:type="dxa"/>
          <w:jc w:val="center"/>
        </w:trPr>
        <w:tc>
          <w:tcPr>
            <w:tcW w:w="0" w:type="auto"/>
            <w:vAlign w:val="center"/>
            <w:hideMark/>
          </w:tcPr>
          <w:p w14:paraId="36A3C3C5" w14:textId="77777777" w:rsidR="00032886" w:rsidRPr="00032886" w:rsidRDefault="00032886" w:rsidP="00032886">
            <w:r w:rsidRPr="00032886">
              <w:rPr>
                <w:b/>
                <w:bCs/>
              </w:rPr>
              <w:t>Most Featured Artist</w:t>
            </w:r>
          </w:p>
        </w:tc>
        <w:tc>
          <w:tcPr>
            <w:tcW w:w="0" w:type="auto"/>
            <w:vAlign w:val="center"/>
            <w:hideMark/>
          </w:tcPr>
          <w:p w14:paraId="439A26AC" w14:textId="77777777" w:rsidR="00032886" w:rsidRPr="00032886" w:rsidRDefault="00032886" w:rsidP="00032886">
            <w:r w:rsidRPr="00032886">
              <w:t>Ludwig Mies van der Rohe (13,752 artworks)</w:t>
            </w:r>
          </w:p>
        </w:tc>
      </w:tr>
      <w:tr w:rsidR="00032886" w:rsidRPr="00032886" w14:paraId="2E2DE644" w14:textId="77777777" w:rsidTr="00032886">
        <w:trPr>
          <w:tblCellSpacing w:w="15" w:type="dxa"/>
          <w:jc w:val="center"/>
        </w:trPr>
        <w:tc>
          <w:tcPr>
            <w:tcW w:w="0" w:type="auto"/>
            <w:vAlign w:val="center"/>
            <w:hideMark/>
          </w:tcPr>
          <w:p w14:paraId="6DE92F7D" w14:textId="77777777" w:rsidR="00032886" w:rsidRPr="00032886" w:rsidRDefault="00032886" w:rsidP="00032886">
            <w:r w:rsidRPr="00032886">
              <w:rPr>
                <w:b/>
                <w:bCs/>
              </w:rPr>
              <w:t>Most Common Artwork Type</w:t>
            </w:r>
          </w:p>
        </w:tc>
        <w:tc>
          <w:tcPr>
            <w:tcW w:w="0" w:type="auto"/>
            <w:vAlign w:val="center"/>
            <w:hideMark/>
          </w:tcPr>
          <w:p w14:paraId="25CFC10D" w14:textId="77777777" w:rsidR="00032886" w:rsidRPr="00032886" w:rsidRDefault="00032886" w:rsidP="00032886">
            <w:r w:rsidRPr="00032886">
              <w:t>Drawings &amp; Prints (57.15% of total)</w:t>
            </w:r>
          </w:p>
        </w:tc>
      </w:tr>
      <w:tr w:rsidR="00032886" w:rsidRPr="00032886" w14:paraId="4C1D827E" w14:textId="77777777" w:rsidTr="00032886">
        <w:trPr>
          <w:tblCellSpacing w:w="15" w:type="dxa"/>
          <w:jc w:val="center"/>
        </w:trPr>
        <w:tc>
          <w:tcPr>
            <w:tcW w:w="0" w:type="auto"/>
            <w:vAlign w:val="center"/>
            <w:hideMark/>
          </w:tcPr>
          <w:p w14:paraId="31E790AD" w14:textId="77777777" w:rsidR="00032886" w:rsidRPr="00032886" w:rsidRDefault="00032886" w:rsidP="00032886">
            <w:r w:rsidRPr="00032886">
              <w:rPr>
                <w:b/>
                <w:bCs/>
              </w:rPr>
              <w:t>Peak Year of Acquisition</w:t>
            </w:r>
          </w:p>
        </w:tc>
        <w:tc>
          <w:tcPr>
            <w:tcW w:w="0" w:type="auto"/>
            <w:vAlign w:val="center"/>
            <w:hideMark/>
          </w:tcPr>
          <w:p w14:paraId="1BA60BC0" w14:textId="77777777" w:rsidR="00032886" w:rsidRPr="00032886" w:rsidRDefault="00032886" w:rsidP="00032886">
            <w:r w:rsidRPr="00032886">
              <w:t>2021 with 1,978 artworks acquired</w:t>
            </w:r>
          </w:p>
        </w:tc>
      </w:tr>
      <w:tr w:rsidR="00032886" w:rsidRPr="00032886" w14:paraId="6C52D082" w14:textId="77777777" w:rsidTr="00032886">
        <w:trPr>
          <w:tblCellSpacing w:w="15" w:type="dxa"/>
          <w:jc w:val="center"/>
        </w:trPr>
        <w:tc>
          <w:tcPr>
            <w:tcW w:w="0" w:type="auto"/>
            <w:vAlign w:val="center"/>
            <w:hideMark/>
          </w:tcPr>
          <w:p w14:paraId="2323E907" w14:textId="77777777" w:rsidR="00032886" w:rsidRPr="00032886" w:rsidRDefault="00032886" w:rsidP="00032886">
            <w:r w:rsidRPr="00032886">
              <w:rPr>
                <w:b/>
                <w:bCs/>
              </w:rPr>
              <w:t>Most Modern Period (Artworks)</w:t>
            </w:r>
          </w:p>
        </w:tc>
        <w:tc>
          <w:tcPr>
            <w:tcW w:w="0" w:type="auto"/>
            <w:vAlign w:val="center"/>
            <w:hideMark/>
          </w:tcPr>
          <w:p w14:paraId="33AF6F6F" w14:textId="77777777" w:rsidR="00032886" w:rsidRPr="00032886" w:rsidRDefault="00032886" w:rsidP="00032886">
            <w:r w:rsidRPr="00032886">
              <w:t>1950–1979 (63,426 artworks)</w:t>
            </w:r>
          </w:p>
        </w:tc>
      </w:tr>
      <w:tr w:rsidR="00032886" w:rsidRPr="00032886" w14:paraId="189FBB13" w14:textId="77777777" w:rsidTr="00032886">
        <w:trPr>
          <w:tblCellSpacing w:w="15" w:type="dxa"/>
          <w:jc w:val="center"/>
        </w:trPr>
        <w:tc>
          <w:tcPr>
            <w:tcW w:w="0" w:type="auto"/>
            <w:vAlign w:val="center"/>
            <w:hideMark/>
          </w:tcPr>
          <w:p w14:paraId="40160D9A" w14:textId="77777777" w:rsidR="00032886" w:rsidRPr="00032886" w:rsidRDefault="00032886" w:rsidP="00032886">
            <w:r w:rsidRPr="00032886">
              <w:rPr>
                <w:b/>
                <w:bCs/>
              </w:rPr>
              <w:t>Highest Avg. Artwork Size (Year)</w:t>
            </w:r>
          </w:p>
        </w:tc>
        <w:tc>
          <w:tcPr>
            <w:tcW w:w="0" w:type="auto"/>
            <w:vAlign w:val="center"/>
            <w:hideMark/>
          </w:tcPr>
          <w:p w14:paraId="2914A8E2" w14:textId="77777777" w:rsidR="00032886" w:rsidRPr="00032886" w:rsidRDefault="00032886" w:rsidP="00032886">
            <w:r w:rsidRPr="00032886">
              <w:t>2022 with an average size of 266 units</w:t>
            </w:r>
          </w:p>
        </w:tc>
      </w:tr>
    </w:tbl>
    <w:p w14:paraId="42D87AA1" w14:textId="77777777" w:rsidR="00032886" w:rsidRPr="00032886" w:rsidRDefault="00032886" w:rsidP="00032886">
      <w:r w:rsidRPr="00032886">
        <w:pict w14:anchorId="2AFE1BE8">
          <v:rect id="_x0000_i1074" style="width:0;height:1.5pt" o:hralign="center" o:hrstd="t" o:hr="t" fillcolor="#a0a0a0" stroked="f"/>
        </w:pict>
      </w:r>
    </w:p>
    <w:p w14:paraId="05E54B35" w14:textId="77777777" w:rsidR="00032886" w:rsidRPr="00032886" w:rsidRDefault="00032886" w:rsidP="00032886">
      <w:pPr>
        <w:rPr>
          <w:b/>
          <w:bCs/>
        </w:rPr>
      </w:pPr>
      <w:r w:rsidRPr="00032886">
        <w:rPr>
          <w:b/>
          <w:bCs/>
        </w:rPr>
        <w:t>3. Dashboard Component Analysis</w:t>
      </w:r>
    </w:p>
    <w:p w14:paraId="4882E621" w14:textId="77777777" w:rsidR="00032886" w:rsidRPr="00032886" w:rsidRDefault="00032886" w:rsidP="00032886">
      <w:pPr>
        <w:rPr>
          <w:b/>
          <w:bCs/>
        </w:rPr>
      </w:pPr>
      <w:r w:rsidRPr="00032886">
        <w:rPr>
          <w:b/>
          <w:bCs/>
        </w:rPr>
        <w:t>a. Modernity of Artworks</w:t>
      </w:r>
    </w:p>
    <w:p w14:paraId="60C34A77" w14:textId="77777777" w:rsidR="00032886" w:rsidRPr="00032886" w:rsidRDefault="00032886" w:rsidP="00032886">
      <w:r w:rsidRPr="00032886">
        <w:t xml:space="preserve">The majority of the collection stems from the </w:t>
      </w:r>
      <w:r w:rsidRPr="00032886">
        <w:rPr>
          <w:b/>
          <w:bCs/>
        </w:rPr>
        <w:t>mid to late 20th century</w:t>
      </w:r>
      <w:r w:rsidRPr="00032886">
        <w:t>, particularly:</w:t>
      </w:r>
    </w:p>
    <w:p w14:paraId="3F0CA633" w14:textId="77777777" w:rsidR="00032886" w:rsidRPr="00032886" w:rsidRDefault="00032886" w:rsidP="00032886">
      <w:pPr>
        <w:numPr>
          <w:ilvl w:val="0"/>
          <w:numId w:val="1"/>
        </w:numPr>
      </w:pPr>
      <w:r w:rsidRPr="00032886">
        <w:rPr>
          <w:b/>
          <w:bCs/>
        </w:rPr>
        <w:t>1950–1979</w:t>
      </w:r>
      <w:r w:rsidRPr="00032886">
        <w:t>: The largest segment, indicating the museum’s focus on post-war modernism.</w:t>
      </w:r>
    </w:p>
    <w:p w14:paraId="6350CCBD" w14:textId="64D423CE" w:rsidR="00032886" w:rsidRPr="00032886" w:rsidRDefault="00032886" w:rsidP="00032886">
      <w:pPr>
        <w:numPr>
          <w:ilvl w:val="0"/>
          <w:numId w:val="1"/>
        </w:numPr>
      </w:pPr>
      <w:r w:rsidRPr="00032886">
        <w:rPr>
          <w:b/>
          <w:bCs/>
        </w:rPr>
        <w:t>2010–2024</w:t>
      </w:r>
      <w:r w:rsidRPr="00032886">
        <w:t xml:space="preserve">: Recent acquisitions, </w:t>
      </w:r>
      <w:r w:rsidRPr="00032886">
        <w:t>labelled</w:t>
      </w:r>
      <w:r w:rsidRPr="00032886">
        <w:t xml:space="preserve"> as modern, form the second largest group.</w:t>
      </w:r>
    </w:p>
    <w:p w14:paraId="2DCB632D" w14:textId="77777777" w:rsidR="00032886" w:rsidRPr="00032886" w:rsidRDefault="00032886" w:rsidP="00032886">
      <w:pPr>
        <w:numPr>
          <w:ilvl w:val="0"/>
          <w:numId w:val="1"/>
        </w:numPr>
      </w:pPr>
      <w:r w:rsidRPr="00032886">
        <w:t xml:space="preserve">Minimal presence of artworks </w:t>
      </w:r>
      <w:r w:rsidRPr="00032886">
        <w:rPr>
          <w:b/>
          <w:bCs/>
        </w:rPr>
        <w:t>before 1950</w:t>
      </w:r>
      <w:r w:rsidRPr="00032886">
        <w:t>, suggesting limited emphasis on classical or early-modern art.</w:t>
      </w:r>
    </w:p>
    <w:p w14:paraId="6EA87A21" w14:textId="77777777" w:rsidR="00032886" w:rsidRPr="00032886" w:rsidRDefault="00032886" w:rsidP="00032886">
      <w:r w:rsidRPr="00032886">
        <w:rPr>
          <w:b/>
          <w:bCs/>
        </w:rPr>
        <w:t>Insight</w:t>
      </w:r>
      <w:r w:rsidRPr="00032886">
        <w:t>: The collection skews heavily toward contemporary and modern periods, highlighting a progressive curatorial direction.</w:t>
      </w:r>
    </w:p>
    <w:p w14:paraId="50623A73" w14:textId="77777777" w:rsidR="00032886" w:rsidRPr="00032886" w:rsidRDefault="00032886" w:rsidP="00032886">
      <w:r w:rsidRPr="00032886">
        <w:pict w14:anchorId="718168C6">
          <v:rect id="_x0000_i1075" style="width:0;height:1.5pt" o:hralign="center" o:hrstd="t" o:hr="t" fillcolor="#a0a0a0" stroked="f"/>
        </w:pict>
      </w:r>
    </w:p>
    <w:p w14:paraId="63692E5C" w14:textId="77777777" w:rsidR="00032886" w:rsidRPr="00032886" w:rsidRDefault="00032886" w:rsidP="00032886">
      <w:pPr>
        <w:rPr>
          <w:b/>
          <w:bCs/>
        </w:rPr>
      </w:pPr>
      <w:r w:rsidRPr="00032886">
        <w:rPr>
          <w:b/>
          <w:bCs/>
        </w:rPr>
        <w:t>b. Most Represented Artists</w:t>
      </w:r>
    </w:p>
    <w:p w14:paraId="55245E6E" w14:textId="77777777" w:rsidR="00032886" w:rsidRPr="00032886" w:rsidRDefault="00032886" w:rsidP="00032886">
      <w:r w:rsidRPr="00032886">
        <w:t>The top 10 artists featured in the museum include:</w:t>
      </w:r>
    </w:p>
    <w:p w14:paraId="6F478816" w14:textId="77777777" w:rsidR="00032886" w:rsidRPr="00032886" w:rsidRDefault="00032886" w:rsidP="00032886">
      <w:pPr>
        <w:numPr>
          <w:ilvl w:val="0"/>
          <w:numId w:val="2"/>
        </w:numPr>
      </w:pPr>
      <w:r w:rsidRPr="00032886">
        <w:rPr>
          <w:b/>
          <w:bCs/>
        </w:rPr>
        <w:lastRenderedPageBreak/>
        <w:t>Ludwig Mies van der Rohe</w:t>
      </w:r>
      <w:r w:rsidRPr="00032886">
        <w:t xml:space="preserve"> – A dominant figure with </w:t>
      </w:r>
      <w:r w:rsidRPr="00032886">
        <w:rPr>
          <w:b/>
          <w:bCs/>
        </w:rPr>
        <w:t>13,752 artworks</w:t>
      </w:r>
      <w:r w:rsidRPr="00032886">
        <w:t>.</w:t>
      </w:r>
    </w:p>
    <w:p w14:paraId="263CA3F0" w14:textId="77777777" w:rsidR="00032886" w:rsidRPr="00032886" w:rsidRDefault="00032886" w:rsidP="00032886">
      <w:pPr>
        <w:numPr>
          <w:ilvl w:val="0"/>
          <w:numId w:val="2"/>
        </w:numPr>
      </w:pPr>
      <w:r w:rsidRPr="00032886">
        <w:t xml:space="preserve">Others like </w:t>
      </w:r>
      <w:r w:rsidRPr="00032886">
        <w:rPr>
          <w:b/>
          <w:bCs/>
        </w:rPr>
        <w:t>Eugène Atget</w:t>
      </w:r>
      <w:r w:rsidRPr="00032886">
        <w:t xml:space="preserve">, </w:t>
      </w:r>
      <w:r w:rsidRPr="00032886">
        <w:rPr>
          <w:b/>
          <w:bCs/>
        </w:rPr>
        <w:t>Louise Bourgeois</w:t>
      </w:r>
      <w:r w:rsidRPr="00032886">
        <w:t xml:space="preserve">, and </w:t>
      </w:r>
      <w:r w:rsidRPr="00032886">
        <w:rPr>
          <w:b/>
          <w:bCs/>
        </w:rPr>
        <w:t>Pablo Picasso</w:t>
      </w:r>
      <w:r w:rsidRPr="00032886">
        <w:t xml:space="preserve"> also hold significant representation.</w:t>
      </w:r>
    </w:p>
    <w:p w14:paraId="7F69F00C" w14:textId="77777777" w:rsidR="00032886" w:rsidRPr="00032886" w:rsidRDefault="00032886" w:rsidP="00032886">
      <w:r w:rsidRPr="00032886">
        <w:rPr>
          <w:b/>
          <w:bCs/>
        </w:rPr>
        <w:t>Insight</w:t>
      </w:r>
      <w:r w:rsidRPr="00032886">
        <w:t>: The museum appears to house comprehensive collections from a few iconic modern and contemporary artists, indicating a potential focus on depth over breadth in artist representation.</w:t>
      </w:r>
    </w:p>
    <w:p w14:paraId="1E2AEF9A" w14:textId="77777777" w:rsidR="00032886" w:rsidRPr="00032886" w:rsidRDefault="00032886" w:rsidP="00032886">
      <w:r w:rsidRPr="00032886">
        <w:pict w14:anchorId="0C9D5770">
          <v:rect id="_x0000_i1076" style="width:0;height:1.5pt" o:hralign="center" o:hrstd="t" o:hr="t" fillcolor="#a0a0a0" stroked="f"/>
        </w:pict>
      </w:r>
    </w:p>
    <w:p w14:paraId="7036A881" w14:textId="77777777" w:rsidR="00032886" w:rsidRPr="00032886" w:rsidRDefault="00032886" w:rsidP="00032886">
      <w:pPr>
        <w:rPr>
          <w:b/>
          <w:bCs/>
        </w:rPr>
      </w:pPr>
      <w:r w:rsidRPr="00032886">
        <w:rPr>
          <w:b/>
          <w:bCs/>
        </w:rPr>
        <w:t>c. Common Artworks by Type</w:t>
      </w:r>
    </w:p>
    <w:p w14:paraId="7BEB5A97" w14:textId="77777777" w:rsidR="00032886" w:rsidRPr="00032886" w:rsidRDefault="00032886" w:rsidP="00032886">
      <w:r w:rsidRPr="00032886">
        <w:t xml:space="preserve">A </w:t>
      </w:r>
      <w:r w:rsidRPr="00032886">
        <w:rPr>
          <w:b/>
          <w:bCs/>
        </w:rPr>
        <w:t>pie chart</w:t>
      </w:r>
      <w:r w:rsidRPr="00032886">
        <w:t xml:space="preserve"> categorizes artwork types:</w:t>
      </w:r>
    </w:p>
    <w:p w14:paraId="0EFF4B45" w14:textId="77777777" w:rsidR="00032886" w:rsidRPr="00032886" w:rsidRDefault="00032886" w:rsidP="00032886">
      <w:pPr>
        <w:numPr>
          <w:ilvl w:val="0"/>
          <w:numId w:val="3"/>
        </w:numPr>
      </w:pPr>
      <w:r w:rsidRPr="00032886">
        <w:rPr>
          <w:b/>
          <w:bCs/>
        </w:rPr>
        <w:t>Drawings &amp; Prints</w:t>
      </w:r>
      <w:r w:rsidRPr="00032886">
        <w:t xml:space="preserve"> dominate (57.15%), followed by:</w:t>
      </w:r>
    </w:p>
    <w:p w14:paraId="72F745A5" w14:textId="77777777" w:rsidR="00032886" w:rsidRPr="00032886" w:rsidRDefault="00032886" w:rsidP="00032886">
      <w:pPr>
        <w:numPr>
          <w:ilvl w:val="1"/>
          <w:numId w:val="3"/>
        </w:numPr>
      </w:pPr>
      <w:r w:rsidRPr="00032886">
        <w:rPr>
          <w:b/>
          <w:bCs/>
        </w:rPr>
        <w:t>Photography</w:t>
      </w:r>
      <w:r w:rsidRPr="00032886">
        <w:t xml:space="preserve"> (21.97%)</w:t>
      </w:r>
    </w:p>
    <w:p w14:paraId="1337B1E5" w14:textId="77777777" w:rsidR="00032886" w:rsidRPr="00032886" w:rsidRDefault="00032886" w:rsidP="00032886">
      <w:pPr>
        <w:numPr>
          <w:ilvl w:val="1"/>
          <w:numId w:val="3"/>
        </w:numPr>
      </w:pPr>
      <w:r w:rsidRPr="00032886">
        <w:rPr>
          <w:b/>
          <w:bCs/>
        </w:rPr>
        <w:t>Architecture &amp; Design</w:t>
      </w:r>
      <w:r w:rsidRPr="00032886">
        <w:t xml:space="preserve"> (13.31%)</w:t>
      </w:r>
    </w:p>
    <w:p w14:paraId="5AB067D8" w14:textId="77777777" w:rsidR="00032886" w:rsidRPr="00032886" w:rsidRDefault="00032886" w:rsidP="00032886">
      <w:pPr>
        <w:numPr>
          <w:ilvl w:val="1"/>
          <w:numId w:val="3"/>
        </w:numPr>
      </w:pPr>
      <w:r w:rsidRPr="00032886">
        <w:t xml:space="preserve">Other media like </w:t>
      </w:r>
      <w:r w:rsidRPr="00032886">
        <w:rPr>
          <w:b/>
          <w:bCs/>
        </w:rPr>
        <w:t>Sculpture</w:t>
      </w:r>
      <w:r w:rsidRPr="00032886">
        <w:t xml:space="preserve">, </w:t>
      </w:r>
      <w:r w:rsidRPr="00032886">
        <w:rPr>
          <w:b/>
          <w:bCs/>
        </w:rPr>
        <w:t>Performance</w:t>
      </w:r>
      <w:r w:rsidRPr="00032886">
        <w:t xml:space="preserve">, and </w:t>
      </w:r>
      <w:r w:rsidRPr="00032886">
        <w:rPr>
          <w:b/>
          <w:bCs/>
        </w:rPr>
        <w:t>Film</w:t>
      </w:r>
      <w:r w:rsidRPr="00032886">
        <w:t xml:space="preserve"> are underrepresented.</w:t>
      </w:r>
    </w:p>
    <w:p w14:paraId="3C8CB883" w14:textId="77777777" w:rsidR="00032886" w:rsidRPr="00032886" w:rsidRDefault="00032886" w:rsidP="00032886">
      <w:r w:rsidRPr="00032886">
        <w:rPr>
          <w:b/>
          <w:bCs/>
        </w:rPr>
        <w:t>Insight</w:t>
      </w:r>
      <w:r w:rsidRPr="00032886">
        <w:t>: The museum has a strong archival collection, focusing on reproducible, flat, or paper-based media—likely due to cost, preservation, and exhibition flexibility.</w:t>
      </w:r>
    </w:p>
    <w:p w14:paraId="7D8F5AC5" w14:textId="77777777" w:rsidR="00032886" w:rsidRPr="00032886" w:rsidRDefault="00032886" w:rsidP="00032886">
      <w:r w:rsidRPr="00032886">
        <w:pict w14:anchorId="0B301F8F">
          <v:rect id="_x0000_i1077" style="width:0;height:1.5pt" o:hralign="center" o:hrstd="t" o:hr="t" fillcolor="#a0a0a0" stroked="f"/>
        </w:pict>
      </w:r>
    </w:p>
    <w:p w14:paraId="7F9A27F5" w14:textId="77777777" w:rsidR="00032886" w:rsidRPr="00032886" w:rsidRDefault="00032886" w:rsidP="00032886">
      <w:pPr>
        <w:rPr>
          <w:b/>
          <w:bCs/>
        </w:rPr>
      </w:pPr>
      <w:r w:rsidRPr="00032886">
        <w:rPr>
          <w:b/>
          <w:bCs/>
        </w:rPr>
        <w:t>d. Acquisition Trends Over Time</w:t>
      </w:r>
    </w:p>
    <w:p w14:paraId="57FBCD86" w14:textId="77777777" w:rsidR="00032886" w:rsidRPr="00032886" w:rsidRDefault="00032886" w:rsidP="00032886">
      <w:r w:rsidRPr="00032886">
        <w:t>From 2020 to 2024, the number of acquired artworks fluctuates significantly:</w:t>
      </w:r>
    </w:p>
    <w:p w14:paraId="720880B1" w14:textId="77777777" w:rsidR="00032886" w:rsidRPr="00032886" w:rsidRDefault="00032886" w:rsidP="00032886">
      <w:pPr>
        <w:numPr>
          <w:ilvl w:val="0"/>
          <w:numId w:val="4"/>
        </w:numPr>
      </w:pPr>
      <w:r w:rsidRPr="00032886">
        <w:rPr>
          <w:b/>
          <w:bCs/>
        </w:rPr>
        <w:t>2021</w:t>
      </w:r>
      <w:r w:rsidRPr="00032886">
        <w:t xml:space="preserve"> saw a sharp spike (1,978 items), likely due to a special initiative, grant, or partnership.</w:t>
      </w:r>
    </w:p>
    <w:p w14:paraId="4B3DFF89" w14:textId="77777777" w:rsidR="00032886" w:rsidRPr="00032886" w:rsidRDefault="00032886" w:rsidP="00032886">
      <w:pPr>
        <w:numPr>
          <w:ilvl w:val="0"/>
          <w:numId w:val="4"/>
        </w:numPr>
      </w:pPr>
      <w:r w:rsidRPr="00032886">
        <w:t>2022–2024 show decreasing acquisition volumes, with the lowest in 2024 (131 artworks so far).</w:t>
      </w:r>
    </w:p>
    <w:p w14:paraId="248100B7" w14:textId="77777777" w:rsidR="00032886" w:rsidRPr="00032886" w:rsidRDefault="00032886" w:rsidP="00032886">
      <w:r w:rsidRPr="00032886">
        <w:rPr>
          <w:b/>
          <w:bCs/>
        </w:rPr>
        <w:t>Insight</w:t>
      </w:r>
      <w:r w:rsidRPr="00032886">
        <w:t>: Fluctuating acquisition rates may reflect changing funding, curatorial strategies, or global events (e.g., COVID-19 disruptions).</w:t>
      </w:r>
    </w:p>
    <w:p w14:paraId="04052D13" w14:textId="77777777" w:rsidR="00032886" w:rsidRPr="00032886" w:rsidRDefault="00032886" w:rsidP="00032886">
      <w:r w:rsidRPr="00032886">
        <w:pict w14:anchorId="50376972">
          <v:rect id="_x0000_i1078" style="width:0;height:1.5pt" o:hralign="center" o:hrstd="t" o:hr="t" fillcolor="#a0a0a0" stroked="f"/>
        </w:pict>
      </w:r>
    </w:p>
    <w:p w14:paraId="559ED50B" w14:textId="77777777" w:rsidR="00032886" w:rsidRPr="00032886" w:rsidRDefault="00032886" w:rsidP="00032886">
      <w:pPr>
        <w:rPr>
          <w:b/>
          <w:bCs/>
        </w:rPr>
      </w:pPr>
      <w:r w:rsidRPr="00032886">
        <w:rPr>
          <w:b/>
          <w:bCs/>
        </w:rPr>
        <w:t>e. Average Artwork Size Over Time</w:t>
      </w:r>
    </w:p>
    <w:p w14:paraId="495FE81A" w14:textId="77777777" w:rsidR="00032886" w:rsidRPr="00032886" w:rsidRDefault="00032886" w:rsidP="00032886">
      <w:r w:rsidRPr="00032886">
        <w:t xml:space="preserve">The average size of acquired artworks peaked in </w:t>
      </w:r>
      <w:r w:rsidRPr="00032886">
        <w:rPr>
          <w:b/>
          <w:bCs/>
        </w:rPr>
        <w:t>2022</w:t>
      </w:r>
      <w:r w:rsidRPr="00032886">
        <w:t xml:space="preserve"> (266 units), indicating the inclusion of larger-scale works like installations or sculptures during that year.</w:t>
      </w:r>
    </w:p>
    <w:p w14:paraId="7F5816DE" w14:textId="77777777" w:rsidR="00032886" w:rsidRPr="00032886" w:rsidRDefault="00032886" w:rsidP="00032886">
      <w:r w:rsidRPr="00032886">
        <w:rPr>
          <w:b/>
          <w:bCs/>
        </w:rPr>
        <w:t>Insight</w:t>
      </w:r>
      <w:r w:rsidRPr="00032886">
        <w:t>: A rise in average artwork size might correlate with curatorial efforts to diversify the physical scale and experience of the collection.</w:t>
      </w:r>
    </w:p>
    <w:p w14:paraId="7172324A" w14:textId="77777777" w:rsidR="00032886" w:rsidRPr="00032886" w:rsidRDefault="00032886" w:rsidP="00032886">
      <w:r w:rsidRPr="00032886">
        <w:pict w14:anchorId="78D5129A">
          <v:rect id="_x0000_i1079" style="width:0;height:1.5pt" o:hralign="center" o:hrstd="t" o:hr="t" fillcolor="#a0a0a0" stroked="f"/>
        </w:pict>
      </w:r>
    </w:p>
    <w:p w14:paraId="45003399" w14:textId="77777777" w:rsidR="00032886" w:rsidRPr="00032886" w:rsidRDefault="00032886" w:rsidP="00032886">
      <w:pPr>
        <w:rPr>
          <w:b/>
          <w:bCs/>
        </w:rPr>
      </w:pPr>
      <w:r w:rsidRPr="00032886">
        <w:rPr>
          <w:b/>
          <w:bCs/>
        </w:rPr>
        <w:lastRenderedPageBreak/>
        <w:t>4. Strategic Implications for the Museum</w:t>
      </w:r>
    </w:p>
    <w:p w14:paraId="33C85205" w14:textId="77777777" w:rsidR="00032886" w:rsidRPr="00032886" w:rsidRDefault="00032886" w:rsidP="00032886">
      <w:pPr>
        <w:numPr>
          <w:ilvl w:val="0"/>
          <w:numId w:val="5"/>
        </w:numPr>
      </w:pPr>
      <w:r w:rsidRPr="00032886">
        <w:rPr>
          <w:b/>
          <w:bCs/>
        </w:rPr>
        <w:t>Curation Strategy</w:t>
      </w:r>
      <w:r w:rsidRPr="00032886">
        <w:t>: Strong emphasis on modern art enhances the museum’s identity in contemporary discourse.</w:t>
      </w:r>
    </w:p>
    <w:p w14:paraId="26FF50B3" w14:textId="77777777" w:rsidR="00032886" w:rsidRPr="00032886" w:rsidRDefault="00032886" w:rsidP="00032886">
      <w:pPr>
        <w:numPr>
          <w:ilvl w:val="0"/>
          <w:numId w:val="5"/>
        </w:numPr>
      </w:pPr>
      <w:r w:rsidRPr="00032886">
        <w:rPr>
          <w:b/>
          <w:bCs/>
        </w:rPr>
        <w:t>Diversity of Mediums</w:t>
      </w:r>
      <w:r w:rsidRPr="00032886">
        <w:t>: There may be a need to balance the collection by acquiring more 3D, digital, and performance-based works.</w:t>
      </w:r>
    </w:p>
    <w:p w14:paraId="2BC7B66D" w14:textId="77777777" w:rsidR="00032886" w:rsidRPr="00032886" w:rsidRDefault="00032886" w:rsidP="00032886">
      <w:pPr>
        <w:numPr>
          <w:ilvl w:val="0"/>
          <w:numId w:val="5"/>
        </w:numPr>
      </w:pPr>
      <w:r w:rsidRPr="00032886">
        <w:rPr>
          <w:b/>
          <w:bCs/>
        </w:rPr>
        <w:t>Artist Representation</w:t>
      </w:r>
      <w:r w:rsidRPr="00032886">
        <w:t>: High concentration around a few artists could benefit from broader international representation.</w:t>
      </w:r>
    </w:p>
    <w:p w14:paraId="27AE2D72" w14:textId="77777777" w:rsidR="00032886" w:rsidRPr="00032886" w:rsidRDefault="00032886" w:rsidP="00032886">
      <w:pPr>
        <w:numPr>
          <w:ilvl w:val="0"/>
          <w:numId w:val="5"/>
        </w:numPr>
      </w:pPr>
      <w:r w:rsidRPr="00032886">
        <w:rPr>
          <w:b/>
          <w:bCs/>
        </w:rPr>
        <w:t>Collection Growth</w:t>
      </w:r>
      <w:r w:rsidRPr="00032886">
        <w:t>: Trends suggest either resource limitations or strategic acquisitions—monitoring this could inform future donor engagement.</w:t>
      </w:r>
    </w:p>
    <w:p w14:paraId="60122A94" w14:textId="77777777" w:rsidR="00032886" w:rsidRPr="00032886" w:rsidRDefault="00032886" w:rsidP="00032886">
      <w:r w:rsidRPr="00032886">
        <w:pict w14:anchorId="21379622">
          <v:rect id="_x0000_i1080" style="width:0;height:1.5pt" o:hralign="center" o:hrstd="t" o:hr="t" fillcolor="#a0a0a0" stroked="f"/>
        </w:pict>
      </w:r>
    </w:p>
    <w:p w14:paraId="33F86A80" w14:textId="77777777" w:rsidR="00032886" w:rsidRPr="00032886" w:rsidRDefault="00032886" w:rsidP="00032886">
      <w:pPr>
        <w:rPr>
          <w:b/>
          <w:bCs/>
        </w:rPr>
      </w:pPr>
      <w:r w:rsidRPr="00032886">
        <w:rPr>
          <w:b/>
          <w:bCs/>
        </w:rPr>
        <w:t>5. Conclusion</w:t>
      </w:r>
    </w:p>
    <w:p w14:paraId="5C1A7834" w14:textId="77777777" w:rsidR="00032886" w:rsidRPr="00032886" w:rsidRDefault="00032886" w:rsidP="00032886">
      <w:r w:rsidRPr="00032886">
        <w:t>The dashboard highlights a vibrant, modern-oriented art collection that emphasizes prominent 20th-century artists and accessible mediums like prints and photography. Strategic acquisition peaks suggest institutional responsiveness to external opportunities. To maintain relevance and diversity, future efforts may focus on underrepresented media types and geographic regions.</w:t>
      </w:r>
    </w:p>
    <w:p w14:paraId="4BE23976" w14:textId="77777777" w:rsidR="00032886" w:rsidRPr="00032886" w:rsidRDefault="00032886" w:rsidP="00032886"/>
    <w:sectPr w:rsidR="00032886" w:rsidRPr="00032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36F5"/>
    <w:multiLevelType w:val="multilevel"/>
    <w:tmpl w:val="09EC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8353C"/>
    <w:multiLevelType w:val="multilevel"/>
    <w:tmpl w:val="0E203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91707"/>
    <w:multiLevelType w:val="multilevel"/>
    <w:tmpl w:val="364A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174D9"/>
    <w:multiLevelType w:val="multilevel"/>
    <w:tmpl w:val="CE56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46978"/>
    <w:multiLevelType w:val="multilevel"/>
    <w:tmpl w:val="DB7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472327">
    <w:abstractNumId w:val="3"/>
  </w:num>
  <w:num w:numId="2" w16cid:durableId="1997371959">
    <w:abstractNumId w:val="4"/>
  </w:num>
  <w:num w:numId="3" w16cid:durableId="856118432">
    <w:abstractNumId w:val="1"/>
  </w:num>
  <w:num w:numId="4" w16cid:durableId="1741054032">
    <w:abstractNumId w:val="0"/>
  </w:num>
  <w:num w:numId="5" w16cid:durableId="842934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86"/>
    <w:rsid w:val="00032886"/>
    <w:rsid w:val="00E02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BAC5"/>
  <w15:chartTrackingRefBased/>
  <w15:docId w15:val="{93B3C6EB-A954-47BB-B1CE-E1562B1A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8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28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28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28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28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28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8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8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8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8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28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28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28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28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2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886"/>
    <w:rPr>
      <w:rFonts w:eastAsiaTheme="majorEastAsia" w:cstheme="majorBidi"/>
      <w:color w:val="272727" w:themeColor="text1" w:themeTint="D8"/>
    </w:rPr>
  </w:style>
  <w:style w:type="paragraph" w:styleId="Title">
    <w:name w:val="Title"/>
    <w:basedOn w:val="Normal"/>
    <w:next w:val="Normal"/>
    <w:link w:val="TitleChar"/>
    <w:uiPriority w:val="10"/>
    <w:qFormat/>
    <w:rsid w:val="00032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8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8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886"/>
    <w:pPr>
      <w:spacing w:before="160"/>
      <w:jc w:val="center"/>
    </w:pPr>
    <w:rPr>
      <w:i/>
      <w:iCs/>
      <w:color w:val="404040" w:themeColor="text1" w:themeTint="BF"/>
    </w:rPr>
  </w:style>
  <w:style w:type="character" w:customStyle="1" w:styleId="QuoteChar">
    <w:name w:val="Quote Char"/>
    <w:basedOn w:val="DefaultParagraphFont"/>
    <w:link w:val="Quote"/>
    <w:uiPriority w:val="29"/>
    <w:rsid w:val="00032886"/>
    <w:rPr>
      <w:i/>
      <w:iCs/>
      <w:color w:val="404040" w:themeColor="text1" w:themeTint="BF"/>
    </w:rPr>
  </w:style>
  <w:style w:type="paragraph" w:styleId="ListParagraph">
    <w:name w:val="List Paragraph"/>
    <w:basedOn w:val="Normal"/>
    <w:uiPriority w:val="34"/>
    <w:qFormat/>
    <w:rsid w:val="00032886"/>
    <w:pPr>
      <w:ind w:left="720"/>
      <w:contextualSpacing/>
    </w:pPr>
  </w:style>
  <w:style w:type="character" w:styleId="IntenseEmphasis">
    <w:name w:val="Intense Emphasis"/>
    <w:basedOn w:val="DefaultParagraphFont"/>
    <w:uiPriority w:val="21"/>
    <w:qFormat/>
    <w:rsid w:val="00032886"/>
    <w:rPr>
      <w:i/>
      <w:iCs/>
      <w:color w:val="2F5496" w:themeColor="accent1" w:themeShade="BF"/>
    </w:rPr>
  </w:style>
  <w:style w:type="paragraph" w:styleId="IntenseQuote">
    <w:name w:val="Intense Quote"/>
    <w:basedOn w:val="Normal"/>
    <w:next w:val="Normal"/>
    <w:link w:val="IntenseQuoteChar"/>
    <w:uiPriority w:val="30"/>
    <w:qFormat/>
    <w:rsid w:val="000328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2886"/>
    <w:rPr>
      <w:i/>
      <w:iCs/>
      <w:color w:val="2F5496" w:themeColor="accent1" w:themeShade="BF"/>
    </w:rPr>
  </w:style>
  <w:style w:type="character" w:styleId="IntenseReference">
    <w:name w:val="Intense Reference"/>
    <w:basedOn w:val="DefaultParagraphFont"/>
    <w:uiPriority w:val="32"/>
    <w:qFormat/>
    <w:rsid w:val="000328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715472">
      <w:bodyDiv w:val="1"/>
      <w:marLeft w:val="0"/>
      <w:marRight w:val="0"/>
      <w:marTop w:val="0"/>
      <w:marBottom w:val="0"/>
      <w:divBdr>
        <w:top w:val="none" w:sz="0" w:space="0" w:color="auto"/>
        <w:left w:val="none" w:sz="0" w:space="0" w:color="auto"/>
        <w:bottom w:val="none" w:sz="0" w:space="0" w:color="auto"/>
        <w:right w:val="none" w:sz="0" w:space="0" w:color="auto"/>
      </w:divBdr>
      <w:divsChild>
        <w:div w:id="1886213965">
          <w:marLeft w:val="0"/>
          <w:marRight w:val="0"/>
          <w:marTop w:val="0"/>
          <w:marBottom w:val="0"/>
          <w:divBdr>
            <w:top w:val="none" w:sz="0" w:space="0" w:color="auto"/>
            <w:left w:val="none" w:sz="0" w:space="0" w:color="auto"/>
            <w:bottom w:val="none" w:sz="0" w:space="0" w:color="auto"/>
            <w:right w:val="none" w:sz="0" w:space="0" w:color="auto"/>
          </w:divBdr>
          <w:divsChild>
            <w:div w:id="2138911443">
              <w:marLeft w:val="0"/>
              <w:marRight w:val="0"/>
              <w:marTop w:val="0"/>
              <w:marBottom w:val="0"/>
              <w:divBdr>
                <w:top w:val="none" w:sz="0" w:space="0" w:color="auto"/>
                <w:left w:val="none" w:sz="0" w:space="0" w:color="auto"/>
                <w:bottom w:val="none" w:sz="0" w:space="0" w:color="auto"/>
                <w:right w:val="none" w:sz="0" w:space="0" w:color="auto"/>
              </w:divBdr>
            </w:div>
          </w:divsChild>
        </w:div>
        <w:div w:id="745691581">
          <w:blockQuote w:val="1"/>
          <w:marLeft w:val="720"/>
          <w:marRight w:val="720"/>
          <w:marTop w:val="100"/>
          <w:marBottom w:val="100"/>
          <w:divBdr>
            <w:top w:val="none" w:sz="0" w:space="0" w:color="auto"/>
            <w:left w:val="none" w:sz="0" w:space="0" w:color="auto"/>
            <w:bottom w:val="none" w:sz="0" w:space="0" w:color="auto"/>
            <w:right w:val="none" w:sz="0" w:space="0" w:color="auto"/>
          </w:divBdr>
        </w:div>
        <w:div w:id="48254540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970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333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900570">
      <w:bodyDiv w:val="1"/>
      <w:marLeft w:val="0"/>
      <w:marRight w:val="0"/>
      <w:marTop w:val="0"/>
      <w:marBottom w:val="0"/>
      <w:divBdr>
        <w:top w:val="none" w:sz="0" w:space="0" w:color="auto"/>
        <w:left w:val="none" w:sz="0" w:space="0" w:color="auto"/>
        <w:bottom w:val="none" w:sz="0" w:space="0" w:color="auto"/>
        <w:right w:val="none" w:sz="0" w:space="0" w:color="auto"/>
      </w:divBdr>
      <w:divsChild>
        <w:div w:id="2056268822">
          <w:marLeft w:val="0"/>
          <w:marRight w:val="0"/>
          <w:marTop w:val="0"/>
          <w:marBottom w:val="0"/>
          <w:divBdr>
            <w:top w:val="none" w:sz="0" w:space="0" w:color="auto"/>
            <w:left w:val="none" w:sz="0" w:space="0" w:color="auto"/>
            <w:bottom w:val="none" w:sz="0" w:space="0" w:color="auto"/>
            <w:right w:val="none" w:sz="0" w:space="0" w:color="auto"/>
          </w:divBdr>
          <w:divsChild>
            <w:div w:id="460536075">
              <w:marLeft w:val="0"/>
              <w:marRight w:val="0"/>
              <w:marTop w:val="0"/>
              <w:marBottom w:val="0"/>
              <w:divBdr>
                <w:top w:val="none" w:sz="0" w:space="0" w:color="auto"/>
                <w:left w:val="none" w:sz="0" w:space="0" w:color="auto"/>
                <w:bottom w:val="none" w:sz="0" w:space="0" w:color="auto"/>
                <w:right w:val="none" w:sz="0" w:space="0" w:color="auto"/>
              </w:divBdr>
            </w:div>
          </w:divsChild>
        </w:div>
        <w:div w:id="400375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684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5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362680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187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Ishani Chakraborty</dc:creator>
  <cp:keywords/>
  <dc:description/>
  <cp:lastModifiedBy>Ishani Chakraborty</cp:lastModifiedBy>
  <cp:revision>1</cp:revision>
  <dcterms:created xsi:type="dcterms:W3CDTF">2025-05-06T15:41:00Z</dcterms:created>
  <dcterms:modified xsi:type="dcterms:W3CDTF">2025-05-06T15:43:00Z</dcterms:modified>
</cp:coreProperties>
</file>