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9C8BDB" w14:textId="77777777" w:rsidR="00CB6552" w:rsidRDefault="00D23D12">
      <w:pPr>
        <w:pStyle w:val="1"/>
        <w:pageBreakBefore/>
      </w:pPr>
      <w:r>
        <w:t>Практическая работа №1 - Бизнес и его ИТ</w:t>
      </w:r>
    </w:p>
    <w:p w14:paraId="25AE0F5A" w14:textId="77777777" w:rsidR="00CB6552" w:rsidRDefault="00D23D12">
      <w:pPr>
        <w:pStyle w:val="2"/>
      </w:pPr>
      <w:r>
        <w:t>Паспорт</w:t>
      </w:r>
    </w:p>
    <w:p w14:paraId="218FAB6A" w14:textId="77777777" w:rsidR="00CB6552" w:rsidRPr="006709DA" w:rsidRDefault="00D23D12">
      <w:r w:rsidRPr="006709DA">
        <w:t>1. Бизнес:</w:t>
      </w:r>
      <w:r w:rsidRPr="006709DA">
        <w:t xml:space="preserve"> ПАО «ФосАгро» - вертикально интегрированная российская компания химической промышленности, производитель минеральных удобрений и агрохимической продукции.</w:t>
      </w:r>
    </w:p>
    <w:p w14:paraId="1FAFD26F" w14:textId="77777777" w:rsidR="00CB6552" w:rsidRPr="006709DA" w:rsidRDefault="00D23D12">
      <w:r w:rsidRPr="006709DA">
        <w:t>2. Масштаб:</w:t>
      </w:r>
      <w:r w:rsidRPr="006709DA">
        <w:t xml:space="preserve"> выручка </w:t>
      </w:r>
      <w:r w:rsidRPr="006709DA">
        <w:t>573,628 млрд ₽ за 2025 год</w:t>
      </w:r>
      <w:r w:rsidRPr="006709DA">
        <w:t>, подтверждена официальным годовым отчётом.</w:t>
      </w:r>
    </w:p>
    <w:p w14:paraId="3728A665" w14:textId="77777777" w:rsidR="00CB6552" w:rsidRPr="006709DA" w:rsidRDefault="00D23D12">
      <w:r w:rsidRPr="006709DA">
        <w:t>3. Направл</w:t>
      </w:r>
      <w:r w:rsidRPr="006709DA">
        <w:t>ения:</w:t>
      </w:r>
      <w:r w:rsidRPr="006709DA">
        <w:t xml:space="preserve"> фосфатные и азотные продукты - </w:t>
      </w:r>
      <w:r w:rsidRPr="006709DA">
        <w:t>547,893 млрд ₽ (95,5%)</w:t>
      </w:r>
      <w:r w:rsidRPr="006709DA">
        <w:t xml:space="preserve">, прочие продукты - </w:t>
      </w:r>
      <w:r w:rsidRPr="006709DA">
        <w:t>25,735 млрд ₽ (4,5%)</w:t>
      </w:r>
      <w:r w:rsidRPr="006709DA">
        <w:t>.</w:t>
      </w:r>
    </w:p>
    <w:p w14:paraId="2D8441C4" w14:textId="77777777" w:rsidR="00CB6552" w:rsidRPr="006709DA" w:rsidRDefault="00D23D12">
      <w:r w:rsidRPr="006709DA">
        <w:t>4. ИТ-функция:</w:t>
      </w:r>
      <w:r w:rsidRPr="006709DA">
        <w:t xml:space="preserve"> крупная ИТ-функция, обслуживающая структурные подразделения и участвующая в ERP, MES, АСУ ТП, логистике, коммуникациях и AI; предварительное</w:t>
      </w:r>
      <w:r w:rsidRPr="006709DA">
        <w:t xml:space="preserve"> состояние - </w:t>
      </w:r>
      <w:r w:rsidRPr="006709DA">
        <w:t>поставщик услуг</w:t>
      </w:r>
      <w:r w:rsidRPr="006709DA">
        <w:t>.</w:t>
      </w:r>
    </w:p>
    <w:p w14:paraId="45DBC436" w14:textId="77777777" w:rsidR="00CB6552" w:rsidRPr="006709DA" w:rsidRDefault="00D23D12">
      <w:r w:rsidRPr="006709DA">
        <w:t>5. Ограничения:</w:t>
      </w:r>
      <w:r w:rsidRPr="006709DA">
        <w:t xml:space="preserve"> исследование проводится по открытым данным; точные численность ИТ, ИТ-бюджет, внутренние SLA и владельцы отдельных сервисов публично не раскрыты.</w:t>
      </w:r>
    </w:p>
    <w:p w14:paraId="60344888" w14:textId="3A4E007C" w:rsidR="00CB6552" w:rsidRDefault="00D23D12" w:rsidP="006709DA">
      <w:pPr>
        <w:pStyle w:val="1"/>
        <w:pageBreakBefore/>
      </w:pPr>
      <w:r>
        <w:lastRenderedPageBreak/>
        <w:t>1. Разложение бизнеса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CB6552" w14:paraId="7278FD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50CF718E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Б</w:t>
            </w:r>
            <w:r>
              <w:t>лок</w:t>
            </w:r>
          </w:p>
        </w:tc>
        <w:tc>
          <w:tcPr>
            <w:tcW w:w="100" w:type="dxa"/>
            <w:vAlign w:val="center"/>
          </w:tcPr>
          <w:p w14:paraId="414440DC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CB6552" w14:paraId="725DE5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26A03A90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>1. Бизнес</w:t>
            </w:r>
          </w:p>
        </w:tc>
        <w:tc>
          <w:tcPr>
            <w:tcW w:w="100" w:type="dxa"/>
            <w:vAlign w:val="center"/>
          </w:tcPr>
          <w:p w14:paraId="6BF35DAF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>ПАО «Ф</w:t>
            </w:r>
            <w:r w:rsidRPr="006709DA">
              <w:t xml:space="preserve">осАгро», химическая промышленность, производство минеральных удобрений. Выручка 2025 года - </w:t>
            </w:r>
            <w:r w:rsidRPr="006709DA">
              <w:t>573,628 млрд ₽</w:t>
            </w:r>
            <w:r w:rsidRPr="006709DA">
              <w:t>. Источник: [2]</w:t>
            </w:r>
          </w:p>
        </w:tc>
      </w:tr>
      <w:tr w:rsidR="00CB6552" w14:paraId="6E9C55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1733B0F1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>2. Направления</w:t>
            </w:r>
          </w:p>
        </w:tc>
        <w:tc>
          <w:tcPr>
            <w:tcW w:w="100" w:type="dxa"/>
            <w:vAlign w:val="center"/>
          </w:tcPr>
          <w:p w14:paraId="3517D6E8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 xml:space="preserve">Фосфатные и азотные продукты - </w:t>
            </w:r>
            <w:r w:rsidRPr="006709DA">
              <w:t>547,893 млрд ₽ (95,5%)</w:t>
            </w:r>
            <w:r w:rsidRPr="006709DA">
              <w:t xml:space="preserve">; прочие - </w:t>
            </w:r>
            <w:r w:rsidRPr="006709DA">
              <w:t>25,735 млрд ₽ (4,5%)</w:t>
            </w:r>
            <w:r w:rsidRPr="006709DA">
              <w:t>. Источник: [2]</w:t>
            </w:r>
          </w:p>
        </w:tc>
      </w:tr>
      <w:tr w:rsidR="00CB6552" w14:paraId="633B3E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7E870E71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>3. Клиенты и каналы</w:t>
            </w:r>
          </w:p>
        </w:tc>
        <w:tc>
          <w:tcPr>
            <w:tcW w:w="100" w:type="dxa"/>
            <w:vAlign w:val="center"/>
          </w:tcPr>
          <w:p w14:paraId="1E41F406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 xml:space="preserve">Основные клиенты - сельхозпроизводители и зарубежные покупатели удобрений. В России продажи идут через сеть «ФосАгро-Регион»; компания также использует цифровые сервисы для </w:t>
            </w:r>
            <w:proofErr w:type="spellStart"/>
            <w:r w:rsidRPr="006709DA">
              <w:t>агропроизводителей</w:t>
            </w:r>
            <w:proofErr w:type="spellEnd"/>
            <w:r w:rsidRPr="006709DA">
              <w:t>. Источник: [5]</w:t>
            </w:r>
          </w:p>
        </w:tc>
      </w:tr>
      <w:tr w:rsidR="00CB6552" w14:paraId="53C291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72CA66ED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>4. Ключевой процесс</w:t>
            </w:r>
          </w:p>
        </w:tc>
        <w:tc>
          <w:tcPr>
            <w:tcW w:w="100" w:type="dxa"/>
            <w:vAlign w:val="center"/>
          </w:tcPr>
          <w:p w14:paraId="59DB791F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 xml:space="preserve">Заказ → </w:t>
            </w:r>
            <w:r w:rsidRPr="006709DA">
              <w:t>проверка возможности исполнения → производство/комплектация → отгрузка и доставка → документы и оплата.</w:t>
            </w:r>
            <w:r w:rsidRPr="006709DA">
              <w:t xml:space="preserve"> Производственный и логистический контуры поддерживаются ERP, MES и цифровой транспортной системой. Источник: [4]</w:t>
            </w:r>
          </w:p>
        </w:tc>
      </w:tr>
      <w:tr w:rsidR="00CB6552" w14:paraId="4CC55E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6A4828F0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>5. ИТ-функция</w:t>
            </w:r>
          </w:p>
        </w:tc>
        <w:tc>
          <w:tcPr>
            <w:tcW w:w="100" w:type="dxa"/>
            <w:vAlign w:val="center"/>
          </w:tcPr>
          <w:p w14:paraId="6D5764DD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>ИТ обеспечивает пользова</w:t>
            </w:r>
            <w:r w:rsidRPr="006709DA">
              <w:t>тельскую поддержку, инфраструктуру, корпоративные системы, производственную автоматизацию, коммуникации, ИБ и цифровизацию. Точная численность ИТ публично не раскрыта. Источник: [4]</w:t>
            </w:r>
          </w:p>
        </w:tc>
      </w:tr>
      <w:tr w:rsidR="00CB6552" w14:paraId="6D1ABAB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4AD1F918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>6. Связь и безопасность</w:t>
            </w:r>
          </w:p>
        </w:tc>
        <w:tc>
          <w:tcPr>
            <w:tcW w:w="100" w:type="dxa"/>
            <w:vAlign w:val="center"/>
          </w:tcPr>
          <w:p w14:paraId="744DF0C5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 xml:space="preserve">Используются корпоративные коммуникации </w:t>
            </w:r>
            <w:proofErr w:type="spellStart"/>
            <w:r w:rsidRPr="006709DA">
              <w:t>eXpress</w:t>
            </w:r>
            <w:proofErr w:type="spellEnd"/>
            <w:r w:rsidRPr="006709DA">
              <w:t xml:space="preserve">, </w:t>
            </w:r>
            <w:r w:rsidRPr="006709DA">
              <w:t xml:space="preserve">новая телефонная инфраструктура, видеосвязь и средства защиты. В ИБ действует 24/7 мониторинг; в 2025 году зафиксировано около </w:t>
            </w:r>
            <w:r w:rsidRPr="006709DA">
              <w:t>3,1 млн событий</w:t>
            </w:r>
            <w:r w:rsidRPr="006709DA">
              <w:t xml:space="preserve">, предотвращено более </w:t>
            </w:r>
            <w:r w:rsidRPr="006709DA">
              <w:t>900 инцидентов</w:t>
            </w:r>
            <w:r w:rsidRPr="006709DA">
              <w:t>, утечек данных не выявлено. Источник: [6]</w:t>
            </w:r>
          </w:p>
        </w:tc>
      </w:tr>
      <w:tr w:rsidR="00CB6552" w14:paraId="2B09A7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3579CFC7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lastRenderedPageBreak/>
              <w:t>7. Состояние ИТ</w:t>
            </w:r>
          </w:p>
        </w:tc>
        <w:tc>
          <w:tcPr>
            <w:tcW w:w="100" w:type="dxa"/>
            <w:vAlign w:val="center"/>
          </w:tcPr>
          <w:p w14:paraId="1D24E248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>Поставщик услуг.</w:t>
            </w:r>
            <w:r w:rsidRPr="006709DA">
              <w:t xml:space="preserve"> И</w:t>
            </w:r>
            <w:r w:rsidRPr="006709DA">
              <w:t>Т обрабатывает пользовательские запросы по установленным процедурам и оценивается по срокам выполнения и удовлетворённости пользователей. Источник: [4]</w:t>
            </w:r>
          </w:p>
        </w:tc>
      </w:tr>
      <w:tr w:rsidR="00CB6552" w14:paraId="7CD87CF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2C6F37FA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>8. Зоны</w:t>
            </w:r>
          </w:p>
        </w:tc>
        <w:tc>
          <w:tcPr>
            <w:tcW w:w="100" w:type="dxa"/>
            <w:vAlign w:val="center"/>
          </w:tcPr>
          <w:p w14:paraId="41C34FC8" w14:textId="7E7A27D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 xml:space="preserve">Направления - </w:t>
            </w:r>
            <w:r w:rsidR="00FF5D03">
              <w:rPr>
                <w:color w:val="70AD47" w:themeColor="accent6"/>
              </w:rPr>
              <w:t>зелёный</w:t>
            </w:r>
            <w:r w:rsidRPr="006709DA">
              <w:t xml:space="preserve">; клиенты и каналы - </w:t>
            </w:r>
            <w:r w:rsidR="00FF5D03">
              <w:rPr>
                <w:color w:val="70AD47" w:themeColor="accent6"/>
              </w:rPr>
              <w:t>зелёный</w:t>
            </w:r>
            <w:r w:rsidRPr="006709DA">
              <w:t xml:space="preserve">; ключевой процесс - </w:t>
            </w:r>
            <w:r w:rsidR="00FF5D03" w:rsidRPr="00FF5D03">
              <w:rPr>
                <w:color w:val="FFC000" w:themeColor="accent4"/>
              </w:rPr>
              <w:t>жёлтый</w:t>
            </w:r>
            <w:r w:rsidRPr="006709DA">
              <w:t xml:space="preserve">; ИТ-функция - </w:t>
            </w:r>
            <w:r w:rsidR="00FF5D03" w:rsidRPr="00FF5D03">
              <w:rPr>
                <w:color w:val="FFC000" w:themeColor="accent4"/>
              </w:rPr>
              <w:t>жёлтый</w:t>
            </w:r>
            <w:r w:rsidRPr="006709DA">
              <w:t xml:space="preserve">; связь и ИБ - </w:t>
            </w:r>
            <w:r w:rsidR="00FF5D03">
              <w:rPr>
                <w:color w:val="70AD47" w:themeColor="accent6"/>
              </w:rPr>
              <w:t>зелёный</w:t>
            </w:r>
            <w:r w:rsidRPr="006709DA">
              <w:t xml:space="preserve">; состояние ИТ - </w:t>
            </w:r>
            <w:r w:rsidR="00FF5D03" w:rsidRPr="00FF5D03">
              <w:rPr>
                <w:color w:val="FFC000" w:themeColor="accent4"/>
              </w:rPr>
              <w:t>жёлтый</w:t>
            </w:r>
            <w:r w:rsidRPr="006709DA">
              <w:t>.</w:t>
            </w:r>
          </w:p>
        </w:tc>
      </w:tr>
      <w:tr w:rsidR="00CB6552" w14:paraId="726457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183E798E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>9. Источники</w:t>
            </w:r>
          </w:p>
        </w:tc>
        <w:tc>
          <w:tcPr>
            <w:tcW w:w="100" w:type="dxa"/>
            <w:vAlign w:val="center"/>
          </w:tcPr>
          <w:p w14:paraId="2FC9F90E" w14:textId="77777777" w:rsidR="00CB6552" w:rsidRPr="006709DA" w:rsidRDefault="00D23D12">
            <w:pPr>
              <w:spacing w:line="240" w:lineRule="auto"/>
              <w:ind w:firstLine="0"/>
              <w:jc w:val="center"/>
            </w:pPr>
            <w:r w:rsidRPr="006709DA">
              <w:t xml:space="preserve">Основной источник - интегрированный годовой отчёт «ФосАгро» за 2025 год: </w:t>
            </w:r>
            <w:r w:rsidRPr="006709DA">
              <w:rPr>
                <w:color w:val="0000FF"/>
                <w:u w:val="single"/>
              </w:rPr>
              <w:t>https://ar2025.phosagro.com/en/</w:t>
            </w:r>
          </w:p>
        </w:tc>
      </w:tr>
    </w:tbl>
    <w:p w14:paraId="092F8FEA" w14:textId="5C1E960C" w:rsidR="00CB6552" w:rsidRPr="00D23D12" w:rsidRDefault="00D23D12" w:rsidP="00D23D12">
      <w:pPr>
        <w:pStyle w:val="1"/>
        <w:pageBreakBefore/>
      </w:pPr>
      <w:r>
        <w:lastRenderedPageBreak/>
        <w:t>2. Состояние ИТ-функции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6"/>
        <w:gridCol w:w="6089"/>
      </w:tblGrid>
      <w:tr w:rsidR="00CB6552" w:rsidRPr="007F7B50" w14:paraId="648FB4DC" w14:textId="77777777" w:rsidTr="00D23D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00B0BA7C" w14:textId="77777777" w:rsidR="00CB6552" w:rsidRPr="007F7B50" w:rsidRDefault="00D23D12">
            <w:pPr>
              <w:spacing w:line="240" w:lineRule="auto"/>
              <w:ind w:firstLine="0"/>
              <w:jc w:val="center"/>
            </w:pPr>
            <w:r w:rsidRPr="007F7B50">
              <w:t>П</w:t>
            </w:r>
            <w:r w:rsidRPr="007F7B50">
              <w:t>ризнак</w:t>
            </w:r>
          </w:p>
        </w:tc>
        <w:tc>
          <w:tcPr>
            <w:tcW w:w="6089" w:type="dxa"/>
            <w:vAlign w:val="center"/>
          </w:tcPr>
          <w:p w14:paraId="16EEDC8C" w14:textId="77777777" w:rsidR="00CB6552" w:rsidRPr="007F7B50" w:rsidRDefault="00D23D12">
            <w:pPr>
              <w:spacing w:line="240" w:lineRule="auto"/>
              <w:ind w:firstLine="0"/>
              <w:jc w:val="center"/>
            </w:pPr>
            <w:r w:rsidRPr="007F7B50">
              <w:t>Что подтверждено</w:t>
            </w:r>
          </w:p>
        </w:tc>
      </w:tr>
      <w:tr w:rsidR="00CB6552" w:rsidRPr="007F7B50" w14:paraId="692E657D" w14:textId="77777777" w:rsidTr="00D23D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781A44A2" w14:textId="77777777" w:rsidR="00CB6552" w:rsidRPr="007F7B50" w:rsidRDefault="00D23D12">
            <w:pPr>
              <w:spacing w:line="240" w:lineRule="auto"/>
              <w:ind w:firstLine="0"/>
              <w:jc w:val="center"/>
            </w:pPr>
            <w:r w:rsidRPr="007F7B50">
              <w:t>Обязательства по услугам</w:t>
            </w:r>
          </w:p>
        </w:tc>
        <w:tc>
          <w:tcPr>
            <w:tcW w:w="6089" w:type="dxa"/>
            <w:vAlign w:val="center"/>
          </w:tcPr>
          <w:p w14:paraId="22C7E1CE" w14:textId="77777777" w:rsidR="00CB6552" w:rsidRPr="007F7B50" w:rsidRDefault="00D23D12">
            <w:pPr>
              <w:spacing w:line="240" w:lineRule="auto"/>
              <w:ind w:firstLine="0"/>
              <w:jc w:val="center"/>
            </w:pPr>
            <w:r w:rsidRPr="007F7B50">
              <w:t>ИТ обрабатывает пользовательские запросы по установленным процедурам.</w:t>
            </w:r>
          </w:p>
        </w:tc>
      </w:tr>
      <w:tr w:rsidR="00CB6552" w:rsidRPr="007F7B50" w14:paraId="01380430" w14:textId="77777777" w:rsidTr="00D23D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33F85B74" w14:textId="77777777" w:rsidR="00CB6552" w:rsidRPr="007F7B50" w:rsidRDefault="00D23D12">
            <w:pPr>
              <w:spacing w:line="240" w:lineRule="auto"/>
              <w:ind w:firstLine="0"/>
              <w:jc w:val="center"/>
            </w:pPr>
            <w:r w:rsidRPr="007F7B50">
              <w:t>Измерение результата</w:t>
            </w:r>
          </w:p>
        </w:tc>
        <w:tc>
          <w:tcPr>
            <w:tcW w:w="6089" w:type="dxa"/>
            <w:vAlign w:val="center"/>
          </w:tcPr>
          <w:p w14:paraId="59D95252" w14:textId="77777777" w:rsidR="00CB6552" w:rsidRPr="007F7B50" w:rsidRDefault="00D23D12">
            <w:pPr>
              <w:spacing w:line="240" w:lineRule="auto"/>
              <w:ind w:firstLine="0"/>
              <w:jc w:val="center"/>
            </w:pPr>
            <w:r w:rsidRPr="007F7B50">
              <w:t>Учитываются соблюдение нормативных сроков и удовлетворённость пользователей.</w:t>
            </w:r>
          </w:p>
        </w:tc>
      </w:tr>
      <w:tr w:rsidR="00CB6552" w:rsidRPr="007F7B50" w14:paraId="5658003E" w14:textId="77777777" w:rsidTr="00D23D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5D05443B" w14:textId="77777777" w:rsidR="00CB6552" w:rsidRPr="007F7B50" w:rsidRDefault="00D23D12">
            <w:pPr>
              <w:spacing w:line="240" w:lineRule="auto"/>
              <w:ind w:firstLine="0"/>
              <w:jc w:val="center"/>
            </w:pPr>
            <w:r w:rsidRPr="007F7B50">
              <w:t>Участие в бизнесе</w:t>
            </w:r>
          </w:p>
        </w:tc>
        <w:tc>
          <w:tcPr>
            <w:tcW w:w="6089" w:type="dxa"/>
            <w:vAlign w:val="center"/>
          </w:tcPr>
          <w:p w14:paraId="2E177E60" w14:textId="77777777" w:rsidR="00CB6552" w:rsidRPr="007F7B50" w:rsidRDefault="00D23D12">
            <w:pPr>
              <w:spacing w:line="240" w:lineRule="auto"/>
              <w:ind w:firstLine="0"/>
              <w:jc w:val="center"/>
            </w:pPr>
            <w:r w:rsidRPr="007F7B50">
              <w:t>ИТ и функциональные подразделения совместно разрабатывают инициативы по автоматизации, цифровизации и AI.</w:t>
            </w:r>
          </w:p>
        </w:tc>
      </w:tr>
      <w:tr w:rsidR="00CB6552" w:rsidRPr="007F7B50" w14:paraId="2C02EA7C" w14:textId="77777777" w:rsidTr="00D23D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090E1C6C" w14:textId="77777777" w:rsidR="00CB6552" w:rsidRPr="007F7B50" w:rsidRDefault="00D23D12">
            <w:pPr>
              <w:spacing w:line="240" w:lineRule="auto"/>
              <w:ind w:firstLine="0"/>
              <w:jc w:val="center"/>
            </w:pPr>
            <w:r w:rsidRPr="007F7B50">
              <w:t>Почему не «Партнёр»</w:t>
            </w:r>
          </w:p>
        </w:tc>
        <w:tc>
          <w:tcPr>
            <w:tcW w:w="6089" w:type="dxa"/>
            <w:vAlign w:val="center"/>
          </w:tcPr>
          <w:p w14:paraId="7D65232A" w14:textId="77777777" w:rsidR="00CB6552" w:rsidRPr="007F7B50" w:rsidRDefault="00D23D12">
            <w:pPr>
              <w:spacing w:line="240" w:lineRule="auto"/>
              <w:ind w:firstLine="0"/>
              <w:jc w:val="center"/>
            </w:pPr>
            <w:r w:rsidRPr="007F7B50">
              <w:t>Публичных данных недостаточно, чтобы подтвердить регулярный расчёт финансового эффекта ИТ по каждой инициативе и совместную ответ</w:t>
            </w:r>
            <w:r w:rsidRPr="007F7B50">
              <w:t>ственность ИТ и бизнеса за результат.</w:t>
            </w:r>
          </w:p>
        </w:tc>
      </w:tr>
    </w:tbl>
    <w:p w14:paraId="64B8BED9" w14:textId="77777777" w:rsidR="00175224" w:rsidRPr="007F7B50" w:rsidRDefault="00175224" w:rsidP="00175224"/>
    <w:p w14:paraId="72112A58" w14:textId="67138AD1" w:rsidR="00175224" w:rsidRPr="007F7B50" w:rsidRDefault="00175224" w:rsidP="00175224">
      <w:r w:rsidRPr="007F7B50">
        <w:t>Источник всех признаков: [4]</w:t>
      </w:r>
    </w:p>
    <w:p w14:paraId="653BF5DF" w14:textId="31C008C0" w:rsidR="00175224" w:rsidRPr="007F7B50" w:rsidRDefault="00175224" w:rsidP="00175224">
      <w:r w:rsidRPr="007F7B50">
        <w:t xml:space="preserve">При этом ИТ уже находится близко к стратегическому уровню: в 2025 году </w:t>
      </w:r>
      <w:r w:rsidRPr="007F7B50">
        <w:rPr>
          <w:lang w:val="en-US"/>
        </w:rPr>
        <w:t>c</w:t>
      </w:r>
      <w:proofErr w:type="spellStart"/>
      <w:r w:rsidRPr="007F7B50">
        <w:t>овет</w:t>
      </w:r>
      <w:proofErr w:type="spellEnd"/>
      <w:r w:rsidRPr="007F7B50">
        <w:t xml:space="preserve"> директоров рассматривал ИТ-стратегию, импортозамещение ПО и AI-стратегию. Источник: [7]</w:t>
      </w:r>
    </w:p>
    <w:p w14:paraId="634D4260" w14:textId="0FB04674" w:rsidR="00175224" w:rsidRPr="007F7B50" w:rsidRDefault="00175224" w:rsidP="00175224">
      <w:r w:rsidRPr="007F7B50">
        <w:t xml:space="preserve"> ИТ-функция находится между обычной службой и партнёрством, но по имеющимся доказательствам корректнее зафиксировать состояние «Поставщик услуг».</w:t>
      </w:r>
    </w:p>
    <w:p w14:paraId="6A4CA0E8" w14:textId="2B4CF2FF" w:rsidR="00CB6552" w:rsidRDefault="00D23D12" w:rsidP="007F7B50">
      <w:pPr>
        <w:pStyle w:val="1"/>
        <w:pageBreakBefore/>
      </w:pPr>
      <w:r>
        <w:lastRenderedPageBreak/>
        <w:t>3. Зоны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5"/>
        <w:gridCol w:w="1558"/>
        <w:gridCol w:w="4672"/>
      </w:tblGrid>
      <w:tr w:rsidR="00CB6552" w14:paraId="2C6E6400" w14:textId="77777777" w:rsidTr="00266AA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5" w:type="dxa"/>
            <w:vAlign w:val="center"/>
          </w:tcPr>
          <w:p w14:paraId="18C5E529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Б</w:t>
            </w:r>
            <w:r>
              <w:t>лок</w:t>
            </w:r>
          </w:p>
        </w:tc>
        <w:tc>
          <w:tcPr>
            <w:tcW w:w="1558" w:type="dxa"/>
            <w:vAlign w:val="center"/>
          </w:tcPr>
          <w:p w14:paraId="7AF5198D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Зона</w:t>
            </w:r>
          </w:p>
        </w:tc>
        <w:tc>
          <w:tcPr>
            <w:tcW w:w="4672" w:type="dxa"/>
            <w:vAlign w:val="center"/>
          </w:tcPr>
          <w:p w14:paraId="27E23740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</w:tr>
      <w:tr w:rsidR="00CB6552" w14:paraId="3E7CF2A0" w14:textId="77777777" w:rsidTr="00266AA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5" w:type="dxa"/>
            <w:vAlign w:val="center"/>
          </w:tcPr>
          <w:p w14:paraId="21FF0DFF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Направления бизнеса</w:t>
            </w:r>
          </w:p>
        </w:tc>
        <w:tc>
          <w:tcPr>
            <w:tcW w:w="1558" w:type="dxa"/>
            <w:vAlign w:val="center"/>
          </w:tcPr>
          <w:p w14:paraId="50C8B9BD" w14:textId="0F90EDA3" w:rsidR="00CB6552" w:rsidRDefault="00FF5D03">
            <w:pPr>
              <w:spacing w:line="240" w:lineRule="auto"/>
              <w:ind w:firstLine="0"/>
              <w:jc w:val="center"/>
            </w:pPr>
            <w:r>
              <w:rPr>
                <w:color w:val="70AD47" w:themeColor="accent6"/>
              </w:rPr>
              <w:t>зелёный</w:t>
            </w:r>
          </w:p>
        </w:tc>
        <w:tc>
          <w:tcPr>
            <w:tcW w:w="4672" w:type="dxa"/>
            <w:vAlign w:val="center"/>
          </w:tcPr>
          <w:p w14:paraId="3F8A7A27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95,5% выручки приходится на фосфатные и азотные продукты; структура выручки измерима. Источник: [2]</w:t>
            </w:r>
          </w:p>
        </w:tc>
      </w:tr>
      <w:tr w:rsidR="00CB6552" w14:paraId="207E34BA" w14:textId="77777777" w:rsidTr="00266AA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5" w:type="dxa"/>
            <w:vAlign w:val="center"/>
          </w:tcPr>
          <w:p w14:paraId="5A74B067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Клиенты и каналы</w:t>
            </w:r>
          </w:p>
        </w:tc>
        <w:tc>
          <w:tcPr>
            <w:tcW w:w="1558" w:type="dxa"/>
            <w:vAlign w:val="center"/>
          </w:tcPr>
          <w:p w14:paraId="49A035CF" w14:textId="54423599" w:rsidR="00CB6552" w:rsidRDefault="00FF5D03">
            <w:pPr>
              <w:spacing w:line="240" w:lineRule="auto"/>
              <w:ind w:firstLine="0"/>
              <w:jc w:val="center"/>
            </w:pPr>
            <w:r>
              <w:rPr>
                <w:color w:val="70AD47" w:themeColor="accent6"/>
              </w:rPr>
              <w:t>зелёный</w:t>
            </w:r>
          </w:p>
        </w:tc>
        <w:tc>
          <w:tcPr>
            <w:tcW w:w="4672" w:type="dxa"/>
            <w:vAlign w:val="center"/>
          </w:tcPr>
          <w:p w14:paraId="223D3099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 xml:space="preserve">Есть развитая сеть продаж и цифровые каналы взаимодействия с </w:t>
            </w:r>
            <w:proofErr w:type="spellStart"/>
            <w:r>
              <w:t>агропроизводителями</w:t>
            </w:r>
            <w:proofErr w:type="spellEnd"/>
            <w:r>
              <w:t>. Источник: [5]</w:t>
            </w:r>
          </w:p>
        </w:tc>
      </w:tr>
      <w:tr w:rsidR="00CB6552" w14:paraId="448DB896" w14:textId="77777777" w:rsidTr="00266AA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5" w:type="dxa"/>
            <w:vAlign w:val="center"/>
          </w:tcPr>
          <w:p w14:paraId="24B98090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Ключевой процесс</w:t>
            </w:r>
          </w:p>
        </w:tc>
        <w:tc>
          <w:tcPr>
            <w:tcW w:w="1558" w:type="dxa"/>
            <w:vAlign w:val="center"/>
          </w:tcPr>
          <w:p w14:paraId="7B85E89B" w14:textId="1E4CFFF8" w:rsidR="00CB6552" w:rsidRDefault="00FF5D03">
            <w:pPr>
              <w:spacing w:line="240" w:lineRule="auto"/>
              <w:ind w:firstLine="0"/>
              <w:jc w:val="center"/>
            </w:pPr>
            <w:r w:rsidRPr="00FF5D03">
              <w:rPr>
                <w:color w:val="FFC000" w:themeColor="accent4"/>
              </w:rPr>
              <w:t>жёлтый</w:t>
            </w:r>
          </w:p>
        </w:tc>
        <w:tc>
          <w:tcPr>
            <w:tcW w:w="4672" w:type="dxa"/>
            <w:vAlign w:val="center"/>
          </w:tcPr>
          <w:p w14:paraId="5B396969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 xml:space="preserve">Компания </w:t>
            </w:r>
            <w:r>
              <w:t>одновременно развивает ERP и интеллектуальную транспортную логистику, поэтому сквозной процесс продолжает изменяться. Источник: [4]</w:t>
            </w:r>
          </w:p>
        </w:tc>
      </w:tr>
      <w:tr w:rsidR="00CB6552" w14:paraId="47AA6EA0" w14:textId="77777777" w:rsidTr="00266AA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5" w:type="dxa"/>
            <w:vAlign w:val="center"/>
          </w:tcPr>
          <w:p w14:paraId="0BEF2B5C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ИТ-функция</w:t>
            </w:r>
          </w:p>
        </w:tc>
        <w:tc>
          <w:tcPr>
            <w:tcW w:w="1558" w:type="dxa"/>
            <w:vAlign w:val="center"/>
          </w:tcPr>
          <w:p w14:paraId="715F2C3B" w14:textId="47D9264C" w:rsidR="00CB6552" w:rsidRDefault="00FF5D03">
            <w:pPr>
              <w:spacing w:line="240" w:lineRule="auto"/>
              <w:ind w:firstLine="0"/>
              <w:jc w:val="center"/>
            </w:pPr>
            <w:r w:rsidRPr="00FF5D03">
              <w:rPr>
                <w:color w:val="FFC000" w:themeColor="accent4"/>
              </w:rPr>
              <w:t>жёлтый</w:t>
            </w:r>
          </w:p>
        </w:tc>
        <w:tc>
          <w:tcPr>
            <w:tcW w:w="4672" w:type="dxa"/>
            <w:vAlign w:val="center"/>
          </w:tcPr>
          <w:p w14:paraId="6B30BC08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Есть поддержка и измерение сроков/удовлетворённости, но публично не раскрыты полный каталог услуг, владел</w:t>
            </w:r>
            <w:r>
              <w:t>ьцы и SLA. Источник: [4]</w:t>
            </w:r>
          </w:p>
        </w:tc>
      </w:tr>
      <w:tr w:rsidR="00CB6552" w14:paraId="1E435353" w14:textId="77777777" w:rsidTr="00266AA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5" w:type="dxa"/>
            <w:vAlign w:val="center"/>
          </w:tcPr>
          <w:p w14:paraId="7062C35E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Связь и безопасность</w:t>
            </w:r>
          </w:p>
        </w:tc>
        <w:tc>
          <w:tcPr>
            <w:tcW w:w="1558" w:type="dxa"/>
            <w:vAlign w:val="center"/>
          </w:tcPr>
          <w:p w14:paraId="17EDE5C9" w14:textId="5E971CCE" w:rsidR="00CB6552" w:rsidRDefault="00FF5D03">
            <w:pPr>
              <w:spacing w:line="240" w:lineRule="auto"/>
              <w:ind w:firstLine="0"/>
              <w:jc w:val="center"/>
            </w:pPr>
            <w:r>
              <w:rPr>
                <w:color w:val="70AD47" w:themeColor="accent6"/>
              </w:rPr>
              <w:t>зелёный</w:t>
            </w:r>
          </w:p>
        </w:tc>
        <w:tc>
          <w:tcPr>
            <w:tcW w:w="4672" w:type="dxa"/>
            <w:vAlign w:val="center"/>
          </w:tcPr>
          <w:p w14:paraId="1C951495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Работает 24/7 мониторинг ИБ; в 2025 году утечек данных не выявлено. Источник: [6]</w:t>
            </w:r>
          </w:p>
        </w:tc>
      </w:tr>
      <w:tr w:rsidR="00CB6552" w14:paraId="5C470C3F" w14:textId="77777777" w:rsidTr="00266AA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5" w:type="dxa"/>
            <w:vAlign w:val="center"/>
          </w:tcPr>
          <w:p w14:paraId="17E05DAA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Состояние ИТ</w:t>
            </w:r>
          </w:p>
        </w:tc>
        <w:tc>
          <w:tcPr>
            <w:tcW w:w="1558" w:type="dxa"/>
            <w:vAlign w:val="center"/>
          </w:tcPr>
          <w:p w14:paraId="1575F350" w14:textId="1EA9E1EB" w:rsidR="00CB6552" w:rsidRDefault="00FF5D03">
            <w:pPr>
              <w:spacing w:line="240" w:lineRule="auto"/>
              <w:ind w:firstLine="0"/>
              <w:jc w:val="center"/>
            </w:pPr>
            <w:r w:rsidRPr="00FF5D03">
              <w:rPr>
                <w:color w:val="FFC000" w:themeColor="accent4"/>
              </w:rPr>
              <w:t>жёлтый</w:t>
            </w:r>
          </w:p>
        </w:tc>
        <w:tc>
          <w:tcPr>
            <w:tcW w:w="4672" w:type="dxa"/>
            <w:vAlign w:val="center"/>
          </w:tcPr>
          <w:p w14:paraId="69041283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ИТ уже участвует в стратегических инициативах, но финансовый эффект каждой инициативы публично не подтверждён. Источник: [7]</w:t>
            </w:r>
          </w:p>
        </w:tc>
      </w:tr>
    </w:tbl>
    <w:p w14:paraId="6FAC8A51" w14:textId="77777777" w:rsidR="00464EEB" w:rsidRDefault="00464EEB">
      <w:pPr>
        <w:rPr>
          <w:b/>
          <w:bCs/>
        </w:rPr>
      </w:pPr>
    </w:p>
    <w:p w14:paraId="2CADB2DE" w14:textId="5988C9A4" w:rsidR="00CB6552" w:rsidRPr="003A69B8" w:rsidRDefault="00D23D12">
      <w:r w:rsidRPr="003A69B8">
        <w:t>Красных зон не устанавливается:</w:t>
      </w:r>
      <w:r w:rsidRPr="003A69B8">
        <w:t xml:space="preserve"> в открытых источниках нет достаточного доказательства существенного ущерба бизнесу в деньгах, срок</w:t>
      </w:r>
      <w:r w:rsidRPr="003A69B8">
        <w:t>ах или рисках.</w:t>
      </w:r>
    </w:p>
    <w:p w14:paraId="6D98C933" w14:textId="684EDA79" w:rsidR="00CB6552" w:rsidRDefault="00D23D12" w:rsidP="007F7B50">
      <w:pPr>
        <w:pStyle w:val="1"/>
        <w:pageBreakBefore/>
      </w:pPr>
      <w:r>
        <w:lastRenderedPageBreak/>
        <w:t>4. Реестр допущений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5"/>
        <w:gridCol w:w="3115"/>
        <w:gridCol w:w="3115"/>
      </w:tblGrid>
      <w:tr w:rsidR="00CB6552" w14:paraId="368FDD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196B8E15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П</w:t>
            </w:r>
            <w:r>
              <w:t>оказатель</w:t>
            </w:r>
          </w:p>
        </w:tc>
        <w:tc>
          <w:tcPr>
            <w:tcW w:w="100" w:type="dxa"/>
            <w:vAlign w:val="center"/>
          </w:tcPr>
          <w:p w14:paraId="4E368C7A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00" w:type="dxa"/>
            <w:vAlign w:val="center"/>
          </w:tcPr>
          <w:p w14:paraId="1DB7FDCA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Как проверить</w:t>
            </w:r>
          </w:p>
        </w:tc>
      </w:tr>
      <w:tr w:rsidR="00CB6552" w14:paraId="3E370E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48264E9D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Выручка 2025 - 573,628 млрд ₽</w:t>
            </w:r>
          </w:p>
        </w:tc>
        <w:tc>
          <w:tcPr>
            <w:tcW w:w="100" w:type="dxa"/>
            <w:vAlign w:val="center"/>
          </w:tcPr>
          <w:p w14:paraId="00A2A964" w14:textId="31B79ADB" w:rsidR="00CB6552" w:rsidRDefault="00FF5D03">
            <w:pPr>
              <w:spacing w:line="240" w:lineRule="auto"/>
              <w:ind w:firstLine="0"/>
              <w:jc w:val="center"/>
            </w:pPr>
            <w:r>
              <w:rPr>
                <w:color w:val="70AD47" w:themeColor="accent6"/>
              </w:rPr>
              <w:t>зелёный</w:t>
            </w:r>
            <w:r w:rsidR="00D23D12">
              <w:t xml:space="preserve"> источник есть</w:t>
            </w:r>
          </w:p>
        </w:tc>
        <w:tc>
          <w:tcPr>
            <w:tcW w:w="100" w:type="dxa"/>
            <w:vAlign w:val="center"/>
          </w:tcPr>
          <w:p w14:paraId="7B491852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Годовой отчёт</w:t>
            </w:r>
          </w:p>
        </w:tc>
      </w:tr>
      <w:tr w:rsidR="00CB6552" w14:paraId="674A57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61317517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Доля основных направлений - 95,5%</w:t>
            </w:r>
          </w:p>
        </w:tc>
        <w:tc>
          <w:tcPr>
            <w:tcW w:w="100" w:type="dxa"/>
            <w:vAlign w:val="center"/>
          </w:tcPr>
          <w:p w14:paraId="4165D91C" w14:textId="3A153016" w:rsidR="00CB6552" w:rsidRDefault="00FF5D03">
            <w:pPr>
              <w:spacing w:line="240" w:lineRule="auto"/>
              <w:ind w:firstLine="0"/>
              <w:jc w:val="center"/>
            </w:pPr>
            <w:r>
              <w:rPr>
                <w:color w:val="70AD47" w:themeColor="accent6"/>
              </w:rPr>
              <w:t>зелёный</w:t>
            </w:r>
            <w:r w:rsidR="00D23D12">
              <w:t xml:space="preserve"> расчёт по отчётности</w:t>
            </w:r>
          </w:p>
        </w:tc>
        <w:tc>
          <w:tcPr>
            <w:tcW w:w="100" w:type="dxa"/>
            <w:vAlign w:val="center"/>
          </w:tcPr>
          <w:p w14:paraId="7B46D445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Годовой отчёт</w:t>
            </w:r>
          </w:p>
        </w:tc>
      </w:tr>
      <w:tr w:rsidR="00CB6552" w14:paraId="2A5A0A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2A151DD1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Численность ИТ</w:t>
            </w:r>
          </w:p>
        </w:tc>
        <w:tc>
          <w:tcPr>
            <w:tcW w:w="100" w:type="dxa"/>
            <w:vAlign w:val="center"/>
          </w:tcPr>
          <w:p w14:paraId="0725B631" w14:textId="7A874B2F" w:rsidR="00CB6552" w:rsidRDefault="00FF5D03">
            <w:pPr>
              <w:spacing w:line="240" w:lineRule="auto"/>
              <w:ind w:firstLine="0"/>
              <w:jc w:val="center"/>
            </w:pPr>
            <w:r w:rsidRPr="00FF5D03">
              <w:rPr>
                <w:color w:val="FFC000" w:themeColor="accent4"/>
              </w:rPr>
              <w:t>жёлтый</w:t>
            </w:r>
            <w:r w:rsidR="00D23D12">
              <w:t xml:space="preserve"> не раскрыта</w:t>
            </w:r>
          </w:p>
        </w:tc>
        <w:tc>
          <w:tcPr>
            <w:tcW w:w="100" w:type="dxa"/>
            <w:vAlign w:val="center"/>
          </w:tcPr>
          <w:p w14:paraId="4CCB326B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Внутренние данные / интервью</w:t>
            </w:r>
          </w:p>
        </w:tc>
      </w:tr>
      <w:tr w:rsidR="00CB6552" w14:paraId="3DBF32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5B58D748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ИТ-бюджет</w:t>
            </w:r>
          </w:p>
        </w:tc>
        <w:tc>
          <w:tcPr>
            <w:tcW w:w="100" w:type="dxa"/>
            <w:vAlign w:val="center"/>
          </w:tcPr>
          <w:p w14:paraId="7A47BAB9" w14:textId="75E25FD0" w:rsidR="00CB6552" w:rsidRDefault="00FF5D03">
            <w:pPr>
              <w:spacing w:line="240" w:lineRule="auto"/>
              <w:ind w:firstLine="0"/>
              <w:jc w:val="center"/>
            </w:pPr>
            <w:r w:rsidRPr="00FF5D03">
              <w:rPr>
                <w:color w:val="FFC000" w:themeColor="accent4"/>
              </w:rPr>
              <w:t>жёлтый</w:t>
            </w:r>
            <w:r w:rsidR="00D23D12">
              <w:t xml:space="preserve"> не раскрыт</w:t>
            </w:r>
          </w:p>
        </w:tc>
        <w:tc>
          <w:tcPr>
            <w:tcW w:w="100" w:type="dxa"/>
            <w:vAlign w:val="center"/>
          </w:tcPr>
          <w:p w14:paraId="2CD335AE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Внутренний бюджет</w:t>
            </w:r>
          </w:p>
        </w:tc>
      </w:tr>
      <w:tr w:rsidR="00CB6552" w14:paraId="7583CD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6AFD32E4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Полный каталог ИТ-услуг и SLA</w:t>
            </w:r>
          </w:p>
        </w:tc>
        <w:tc>
          <w:tcPr>
            <w:tcW w:w="100" w:type="dxa"/>
            <w:vAlign w:val="center"/>
          </w:tcPr>
          <w:p w14:paraId="0E964BBE" w14:textId="18B9840E" w:rsidR="00CB6552" w:rsidRDefault="00FF5D03">
            <w:pPr>
              <w:spacing w:line="240" w:lineRule="auto"/>
              <w:ind w:firstLine="0"/>
              <w:jc w:val="center"/>
            </w:pPr>
            <w:r w:rsidRPr="00FF5D03">
              <w:rPr>
                <w:color w:val="FFC000" w:themeColor="accent4"/>
              </w:rPr>
              <w:t>жёлтый</w:t>
            </w:r>
            <w:r w:rsidR="00D23D12">
              <w:t xml:space="preserve"> не раскрыты</w:t>
            </w:r>
          </w:p>
        </w:tc>
        <w:tc>
          <w:tcPr>
            <w:tcW w:w="100" w:type="dxa"/>
            <w:vAlign w:val="center"/>
          </w:tcPr>
          <w:p w14:paraId="36E475B1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ITSM / внутренние регламенты</w:t>
            </w:r>
          </w:p>
        </w:tc>
      </w:tr>
      <w:tr w:rsidR="00CB6552" w14:paraId="635F6F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5C72B581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Владелец почты и VPN</w:t>
            </w:r>
          </w:p>
        </w:tc>
        <w:tc>
          <w:tcPr>
            <w:tcW w:w="100" w:type="dxa"/>
            <w:vAlign w:val="center"/>
          </w:tcPr>
          <w:p w14:paraId="37A9F0C1" w14:textId="7D37CDDF" w:rsidR="00CB6552" w:rsidRDefault="00FF5D03">
            <w:pPr>
              <w:spacing w:line="240" w:lineRule="auto"/>
              <w:ind w:firstLine="0"/>
              <w:jc w:val="center"/>
            </w:pPr>
            <w:r w:rsidRPr="00FF5D03">
              <w:rPr>
                <w:color w:val="FFC000" w:themeColor="accent4"/>
              </w:rPr>
              <w:t>жёлтый</w:t>
            </w:r>
            <w:r w:rsidR="00D23D12">
              <w:t xml:space="preserve"> не установлен</w:t>
            </w:r>
          </w:p>
        </w:tc>
        <w:tc>
          <w:tcPr>
            <w:tcW w:w="100" w:type="dxa"/>
            <w:vAlign w:val="center"/>
          </w:tcPr>
          <w:p w14:paraId="0D85DC41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Внутренняя организационная информация</w:t>
            </w:r>
          </w:p>
        </w:tc>
      </w:tr>
      <w:tr w:rsidR="00CB6552" w14:paraId="61D432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5F4BECF4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 xml:space="preserve">Состояние ИТ -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Provider</w:t>
            </w:r>
            <w:proofErr w:type="spellEnd"/>
          </w:p>
        </w:tc>
        <w:tc>
          <w:tcPr>
            <w:tcW w:w="100" w:type="dxa"/>
            <w:vAlign w:val="center"/>
          </w:tcPr>
          <w:p w14:paraId="7ECE33D0" w14:textId="5259620B" w:rsidR="00CB6552" w:rsidRDefault="00FF5D03">
            <w:pPr>
              <w:spacing w:line="240" w:lineRule="auto"/>
              <w:ind w:firstLine="0"/>
              <w:jc w:val="center"/>
            </w:pPr>
            <w:r w:rsidRPr="00FF5D03">
              <w:rPr>
                <w:color w:val="FFC000" w:themeColor="accent4"/>
              </w:rPr>
              <w:t>жёлтый</w:t>
            </w:r>
            <w:r w:rsidR="00D23D12">
              <w:t xml:space="preserve"> аналитический вывод</w:t>
            </w:r>
          </w:p>
        </w:tc>
        <w:tc>
          <w:tcPr>
            <w:tcW w:w="100" w:type="dxa"/>
            <w:vAlign w:val="center"/>
          </w:tcPr>
          <w:p w14:paraId="47A6B756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Проверка каталога, SLA и отчётности</w:t>
            </w:r>
          </w:p>
        </w:tc>
      </w:tr>
      <w:tr w:rsidR="00CB6552" w14:paraId="238D55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" w:type="dxa"/>
            <w:vAlign w:val="center"/>
          </w:tcPr>
          <w:p w14:paraId="24B4D819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Полная цепочка финансового закрытия заказа</w:t>
            </w:r>
          </w:p>
        </w:tc>
        <w:tc>
          <w:tcPr>
            <w:tcW w:w="100" w:type="dxa"/>
            <w:vAlign w:val="center"/>
          </w:tcPr>
          <w:p w14:paraId="48D2F5CC" w14:textId="5B290906" w:rsidR="00CB6552" w:rsidRDefault="00FF5D03">
            <w:pPr>
              <w:spacing w:line="240" w:lineRule="auto"/>
              <w:ind w:firstLine="0"/>
              <w:jc w:val="center"/>
            </w:pPr>
            <w:r w:rsidRPr="00FF5D03">
              <w:rPr>
                <w:color w:val="FFC000" w:themeColor="accent4"/>
              </w:rPr>
              <w:t>жёлтый</w:t>
            </w:r>
            <w:r w:rsidR="00D23D12">
              <w:t xml:space="preserve"> частично раскрыта</w:t>
            </w:r>
          </w:p>
        </w:tc>
        <w:tc>
          <w:tcPr>
            <w:tcW w:w="100" w:type="dxa"/>
            <w:vAlign w:val="center"/>
          </w:tcPr>
          <w:p w14:paraId="602C6E38" w14:textId="77777777" w:rsidR="00CB6552" w:rsidRDefault="00D23D12">
            <w:pPr>
              <w:spacing w:line="240" w:lineRule="auto"/>
              <w:ind w:firstLine="0"/>
              <w:jc w:val="center"/>
            </w:pPr>
            <w:r>
              <w:t>Интервью с владельцем процесса</w:t>
            </w:r>
          </w:p>
        </w:tc>
      </w:tr>
    </w:tbl>
    <w:p w14:paraId="001F86D0" w14:textId="77777777" w:rsidR="00CB6552" w:rsidRDefault="00D23D12">
      <w:pPr>
        <w:pStyle w:val="1"/>
        <w:pageBreakBefore/>
      </w:pPr>
      <w:r>
        <w:lastRenderedPageBreak/>
        <w:t>5. Основные источники</w:t>
      </w:r>
    </w:p>
    <w:p w14:paraId="548387CB" w14:textId="3FBAD87B" w:rsidR="00CB6552" w:rsidRPr="00BA78CB" w:rsidRDefault="00D23D12" w:rsidP="00BA78CB">
      <w:pPr>
        <w:pStyle w:val="a4"/>
        <w:numPr>
          <w:ilvl w:val="0"/>
          <w:numId w:val="2"/>
        </w:numPr>
        <w:ind w:left="284"/>
        <w:jc w:val="left"/>
      </w:pPr>
      <w:r w:rsidRPr="00BA78CB">
        <w:t>Интегрированный годовой отчёт ПАО «ФосАгро» за 2025 год:</w:t>
      </w:r>
      <w:r w:rsidR="00BA78CB" w:rsidRPr="00BA78CB">
        <w:t xml:space="preserve"> </w:t>
      </w:r>
      <w:r w:rsidRPr="00BA78CB">
        <w:rPr>
          <w:color w:val="0000FF"/>
          <w:u w:val="single"/>
        </w:rPr>
        <w:t>https://ar2025.phosagro.com/en/</w:t>
      </w:r>
    </w:p>
    <w:p w14:paraId="54FD535C" w14:textId="7E0FC1A5" w:rsidR="00CB6552" w:rsidRPr="00BA78CB" w:rsidRDefault="00D23D12" w:rsidP="00BA78CB">
      <w:pPr>
        <w:pStyle w:val="a4"/>
        <w:numPr>
          <w:ilvl w:val="0"/>
          <w:numId w:val="2"/>
        </w:numPr>
        <w:ind w:left="284"/>
        <w:jc w:val="left"/>
      </w:pPr>
      <w:r w:rsidRPr="00BA78CB">
        <w:t>Финансовые результаты:</w:t>
      </w:r>
      <w:r w:rsidR="00BA78CB" w:rsidRPr="00BA78CB">
        <w:t xml:space="preserve"> </w:t>
      </w:r>
      <w:r w:rsidRPr="00BA78CB">
        <w:rPr>
          <w:color w:val="0000FF"/>
          <w:u w:val="single"/>
        </w:rPr>
        <w:t>https://ar2025.phosagro.com/en/perfomance-review/financial-performance/</w:t>
      </w:r>
    </w:p>
    <w:p w14:paraId="1573C5C5" w14:textId="3D84C46A" w:rsidR="00CB6552" w:rsidRPr="00BA78CB" w:rsidRDefault="00D23D12" w:rsidP="00BA78CB">
      <w:pPr>
        <w:pStyle w:val="a4"/>
        <w:numPr>
          <w:ilvl w:val="0"/>
          <w:numId w:val="2"/>
        </w:numPr>
        <w:ind w:left="284"/>
        <w:jc w:val="left"/>
      </w:pPr>
      <w:r w:rsidRPr="00BA78CB">
        <w:t>Операционные результаты:</w:t>
      </w:r>
      <w:r w:rsidR="00BA78CB" w:rsidRPr="00BA78CB">
        <w:t xml:space="preserve"> </w:t>
      </w:r>
      <w:r w:rsidRPr="00BA78CB">
        <w:rPr>
          <w:color w:val="0000FF"/>
          <w:u w:val="single"/>
        </w:rPr>
        <w:t>https://ar2025.phosagro.com/en/perfomance-r</w:t>
      </w:r>
      <w:r w:rsidRPr="00BA78CB">
        <w:rPr>
          <w:color w:val="0000FF"/>
          <w:u w:val="single"/>
        </w:rPr>
        <w:t>eview/operational-performance/</w:t>
      </w:r>
    </w:p>
    <w:p w14:paraId="1576C5C6" w14:textId="296FD885" w:rsidR="00CB6552" w:rsidRPr="00BA78CB" w:rsidRDefault="00D23D12" w:rsidP="00BA78CB">
      <w:pPr>
        <w:pStyle w:val="a4"/>
        <w:numPr>
          <w:ilvl w:val="0"/>
          <w:numId w:val="2"/>
        </w:numPr>
        <w:ind w:left="284"/>
        <w:jc w:val="left"/>
      </w:pPr>
      <w:r w:rsidRPr="00BA78CB">
        <w:t>Информационные технологии:</w:t>
      </w:r>
      <w:r w:rsidR="00BA78CB" w:rsidRPr="00BA78CB">
        <w:t xml:space="preserve"> </w:t>
      </w:r>
      <w:r w:rsidRPr="00BA78CB">
        <w:rPr>
          <w:color w:val="0000FF"/>
          <w:u w:val="single"/>
        </w:rPr>
        <w:t>https://ar2025.phosagro.com/en/perfomance-review/innovation-technologies/</w:t>
      </w:r>
    </w:p>
    <w:p w14:paraId="088E010B" w14:textId="42D24121" w:rsidR="00CB6552" w:rsidRPr="00BA78CB" w:rsidRDefault="00D23D12" w:rsidP="00BA78CB">
      <w:pPr>
        <w:pStyle w:val="a4"/>
        <w:numPr>
          <w:ilvl w:val="0"/>
          <w:numId w:val="2"/>
        </w:numPr>
        <w:ind w:left="284"/>
        <w:jc w:val="left"/>
      </w:pPr>
      <w:r w:rsidRPr="00BA78CB">
        <w:t>Клиенты и управление продуктами:</w:t>
      </w:r>
      <w:r w:rsidR="00BA78CB" w:rsidRPr="00BA78CB">
        <w:t xml:space="preserve"> </w:t>
      </w:r>
      <w:r w:rsidRPr="00BA78CB">
        <w:rPr>
          <w:color w:val="0000FF"/>
          <w:u w:val="single"/>
        </w:rPr>
        <w:t>https://ar2025.phosagro.com/en/perfomance-review/customers-and-product-management/</w:t>
      </w:r>
    </w:p>
    <w:p w14:paraId="4ACABABE" w14:textId="17196E86" w:rsidR="00CB6552" w:rsidRPr="00BA78CB" w:rsidRDefault="00D23D12" w:rsidP="00BA78CB">
      <w:pPr>
        <w:pStyle w:val="a4"/>
        <w:numPr>
          <w:ilvl w:val="0"/>
          <w:numId w:val="2"/>
        </w:numPr>
        <w:ind w:left="284"/>
        <w:jc w:val="left"/>
      </w:pPr>
      <w:r w:rsidRPr="00BA78CB">
        <w:t>Инфо</w:t>
      </w:r>
      <w:r w:rsidRPr="00BA78CB">
        <w:t>рмационная безопасность:</w:t>
      </w:r>
      <w:r w:rsidR="00BA78CB" w:rsidRPr="00BA78CB">
        <w:t xml:space="preserve"> </w:t>
      </w:r>
      <w:r w:rsidRPr="00BA78CB">
        <w:rPr>
          <w:color w:val="0000FF"/>
          <w:u w:val="single"/>
        </w:rPr>
        <w:t>https://ar2025.phosagro.com/en/corporate-governance/corporate-controls/</w:t>
      </w:r>
    </w:p>
    <w:p w14:paraId="5E6AEA41" w14:textId="45B1D4DC" w:rsidR="00CB6552" w:rsidRPr="00BA78CB" w:rsidRDefault="00D23D12" w:rsidP="00BA78CB">
      <w:pPr>
        <w:pStyle w:val="a4"/>
        <w:numPr>
          <w:ilvl w:val="0"/>
          <w:numId w:val="2"/>
        </w:numPr>
        <w:ind w:left="284"/>
        <w:jc w:val="left"/>
      </w:pPr>
      <w:r w:rsidRPr="00BA78CB">
        <w:t>Совет директоров и стратегическая роль</w:t>
      </w:r>
      <w:r w:rsidR="00BA78CB" w:rsidRPr="00BA78CB">
        <w:t xml:space="preserve"> </w:t>
      </w:r>
      <w:r w:rsidRPr="00BA78CB">
        <w:t>ИТ:</w:t>
      </w:r>
      <w:r w:rsidR="00BA78CB" w:rsidRPr="00BA78CB">
        <w:t xml:space="preserve"> </w:t>
      </w:r>
      <w:r w:rsidRPr="00BA78CB">
        <w:rPr>
          <w:color w:val="0000FF"/>
          <w:u w:val="single"/>
        </w:rPr>
        <w:t>https://ar2025.phosagro.com/en/corporate-governance/board-directors/</w:t>
      </w:r>
      <w:r w:rsidRPr="00BA78CB">
        <w:t xml:space="preserve"> </w:t>
      </w:r>
    </w:p>
    <w:sectPr w:rsidR="00CB6552" w:rsidRPr="00BA78C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73C09"/>
    <w:multiLevelType w:val="hybridMultilevel"/>
    <w:tmpl w:val="B73039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633834C0"/>
    <w:multiLevelType w:val="hybridMultilevel"/>
    <w:tmpl w:val="B1267AB6"/>
    <w:lvl w:ilvl="0" w:tplc="158264D0">
      <w:start w:val="1"/>
      <w:numFmt w:val="bullet"/>
      <w:lvlText w:val="●"/>
      <w:lvlJc w:val="left"/>
      <w:pPr>
        <w:ind w:left="720" w:hanging="360"/>
      </w:pPr>
    </w:lvl>
    <w:lvl w:ilvl="1" w:tplc="0B2E5222">
      <w:start w:val="1"/>
      <w:numFmt w:val="bullet"/>
      <w:lvlText w:val="○"/>
      <w:lvlJc w:val="left"/>
      <w:pPr>
        <w:ind w:left="1440" w:hanging="360"/>
      </w:pPr>
    </w:lvl>
    <w:lvl w:ilvl="2" w:tplc="63564832">
      <w:start w:val="1"/>
      <w:numFmt w:val="bullet"/>
      <w:lvlText w:val="■"/>
      <w:lvlJc w:val="left"/>
      <w:pPr>
        <w:ind w:left="2160" w:hanging="360"/>
      </w:pPr>
    </w:lvl>
    <w:lvl w:ilvl="3" w:tplc="1AE4EAFA">
      <w:start w:val="1"/>
      <w:numFmt w:val="bullet"/>
      <w:lvlText w:val="●"/>
      <w:lvlJc w:val="left"/>
      <w:pPr>
        <w:ind w:left="2880" w:hanging="360"/>
      </w:pPr>
    </w:lvl>
    <w:lvl w:ilvl="4" w:tplc="17E63994">
      <w:start w:val="1"/>
      <w:numFmt w:val="bullet"/>
      <w:lvlText w:val="○"/>
      <w:lvlJc w:val="left"/>
      <w:pPr>
        <w:ind w:left="3600" w:hanging="360"/>
      </w:pPr>
    </w:lvl>
    <w:lvl w:ilvl="5" w:tplc="60E258B4">
      <w:start w:val="1"/>
      <w:numFmt w:val="bullet"/>
      <w:lvlText w:val="■"/>
      <w:lvlJc w:val="left"/>
      <w:pPr>
        <w:ind w:left="4320" w:hanging="360"/>
      </w:pPr>
    </w:lvl>
    <w:lvl w:ilvl="6" w:tplc="878CAEE6">
      <w:start w:val="1"/>
      <w:numFmt w:val="bullet"/>
      <w:lvlText w:val="●"/>
      <w:lvlJc w:val="left"/>
      <w:pPr>
        <w:ind w:left="5040" w:hanging="360"/>
      </w:pPr>
    </w:lvl>
    <w:lvl w:ilvl="7" w:tplc="20408C8C">
      <w:start w:val="1"/>
      <w:numFmt w:val="bullet"/>
      <w:lvlText w:val="●"/>
      <w:lvlJc w:val="left"/>
      <w:pPr>
        <w:ind w:left="5760" w:hanging="360"/>
      </w:pPr>
    </w:lvl>
    <w:lvl w:ilvl="8" w:tplc="43EAFC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552"/>
    <w:rsid w:val="00175224"/>
    <w:rsid w:val="00250666"/>
    <w:rsid w:val="00266AA3"/>
    <w:rsid w:val="003A69B8"/>
    <w:rsid w:val="00464EEB"/>
    <w:rsid w:val="005D4476"/>
    <w:rsid w:val="006709DA"/>
    <w:rsid w:val="007F7B50"/>
    <w:rsid w:val="00AB31BC"/>
    <w:rsid w:val="00BA78CB"/>
    <w:rsid w:val="00CB6552"/>
    <w:rsid w:val="00D23D12"/>
    <w:rsid w:val="00FF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2F85"/>
  <w15:docId w15:val="{6A610BD1-B33A-4BBF-AC58-1675A38B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8"/>
      <w:jc w:val="both"/>
    </w:pPr>
  </w:style>
  <w:style w:type="paragraph" w:styleId="1">
    <w:name w:val="heading 1"/>
    <w:basedOn w:val="a"/>
    <w:next w:val="a"/>
    <w:uiPriority w:val="9"/>
    <w:qFormat/>
    <w:pPr>
      <w:spacing w:before="300" w:after="30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866</Words>
  <Characters>4940</Characters>
  <Application>Microsoft Office Word</Application>
  <DocSecurity>0</DocSecurity>
  <Lines>41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Бесчастный</cp:lastModifiedBy>
  <cp:revision>13</cp:revision>
  <dcterms:created xsi:type="dcterms:W3CDTF">2026-09-30T10:21:00Z</dcterms:created>
  <dcterms:modified xsi:type="dcterms:W3CDTF">2026-09-30T10:34:00Z</dcterms:modified>
</cp:coreProperties>
</file>