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11CF5" w:rsidRPr="00C11CF5" w:rsidRDefault="00C11CF5" w:rsidP="00C11CF5">
      <w:pPr>
        <w:spacing w:before="100" w:beforeAutospacing="1" w:after="100" w:afterAutospacing="1" w:line="240" w:lineRule="auto"/>
        <w:outlineLvl w:val="2"/>
        <w:rPr>
          <w:rFonts w:ascii="Times New Roman" w:eastAsia="Times New Roman" w:hAnsi="Times New Roman" w:cs="Times New Roman"/>
          <w:b/>
          <w:bCs/>
          <w:sz w:val="27"/>
          <w:szCs w:val="27"/>
        </w:rPr>
      </w:pPr>
      <w:r w:rsidRPr="00C11CF5">
        <w:rPr>
          <w:rFonts w:ascii="Times New Roman" w:eastAsia="Times New Roman" w:hAnsi="Times New Roman" w:cs="Times New Roman"/>
          <w:b/>
          <w:bCs/>
          <w:sz w:val="27"/>
          <w:szCs w:val="27"/>
        </w:rPr>
        <w:t>Summary of Findings</w:t>
      </w:r>
    </w:p>
    <w:p w:rsidR="00C11CF5" w:rsidRPr="00C11CF5" w:rsidRDefault="00C11CF5" w:rsidP="00C11CF5">
      <w:pPr>
        <w:spacing w:before="100" w:beforeAutospacing="1" w:after="100" w:afterAutospacing="1" w:line="240" w:lineRule="auto"/>
        <w:rPr>
          <w:rFonts w:ascii="Times New Roman" w:eastAsia="Times New Roman" w:hAnsi="Times New Roman" w:cs="Times New Roman"/>
          <w:sz w:val="24"/>
          <w:szCs w:val="24"/>
        </w:rPr>
      </w:pPr>
      <w:r w:rsidRPr="00C11CF5">
        <w:rPr>
          <w:rFonts w:ascii="Times New Roman" w:eastAsia="Times New Roman" w:hAnsi="Times New Roman" w:cs="Times New Roman"/>
          <w:b/>
          <w:bCs/>
          <w:sz w:val="24"/>
          <w:szCs w:val="24"/>
        </w:rPr>
        <w:t>1. Order and Sales Analysis</w:t>
      </w:r>
    </w:p>
    <w:p w:rsidR="00C11CF5" w:rsidRPr="00C11CF5" w:rsidRDefault="00C11CF5" w:rsidP="00C11CF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11CF5">
        <w:rPr>
          <w:rFonts w:ascii="Times New Roman" w:eastAsia="Times New Roman" w:hAnsi="Times New Roman" w:cs="Times New Roman"/>
          <w:b/>
          <w:bCs/>
          <w:sz w:val="24"/>
          <w:szCs w:val="24"/>
        </w:rPr>
        <w:t>Order Status Distribution:</w:t>
      </w:r>
    </w:p>
    <w:p w:rsidR="00C11CF5" w:rsidRPr="00C11CF5" w:rsidRDefault="00C11CF5" w:rsidP="00C11CF5">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C11CF5">
        <w:rPr>
          <w:rFonts w:ascii="Times New Roman" w:eastAsia="Times New Roman" w:hAnsi="Times New Roman" w:cs="Times New Roman"/>
          <w:sz w:val="24"/>
          <w:szCs w:val="24"/>
        </w:rPr>
        <w:t xml:space="preserve">Total orders are categorized into three statuses: </w:t>
      </w:r>
      <w:r w:rsidRPr="00C11CF5">
        <w:rPr>
          <w:rFonts w:ascii="Times New Roman" w:eastAsia="Times New Roman" w:hAnsi="Times New Roman" w:cs="Times New Roman"/>
          <w:sz w:val="20"/>
        </w:rPr>
        <w:t>Delivered</w:t>
      </w:r>
      <w:r w:rsidRPr="00C11CF5">
        <w:rPr>
          <w:rFonts w:ascii="Times New Roman" w:eastAsia="Times New Roman" w:hAnsi="Times New Roman" w:cs="Times New Roman"/>
          <w:sz w:val="24"/>
          <w:szCs w:val="24"/>
        </w:rPr>
        <w:t xml:space="preserve">, </w:t>
      </w:r>
      <w:r w:rsidRPr="00C11CF5">
        <w:rPr>
          <w:rFonts w:ascii="Times New Roman" w:eastAsia="Times New Roman" w:hAnsi="Times New Roman" w:cs="Times New Roman"/>
          <w:sz w:val="20"/>
        </w:rPr>
        <w:t>Pending</w:t>
      </w:r>
      <w:r w:rsidRPr="00C11CF5">
        <w:rPr>
          <w:rFonts w:ascii="Times New Roman" w:eastAsia="Times New Roman" w:hAnsi="Times New Roman" w:cs="Times New Roman"/>
          <w:sz w:val="24"/>
          <w:szCs w:val="24"/>
        </w:rPr>
        <w:t xml:space="preserve">, and </w:t>
      </w:r>
      <w:r w:rsidRPr="00C11CF5">
        <w:rPr>
          <w:rFonts w:ascii="Times New Roman" w:eastAsia="Times New Roman" w:hAnsi="Times New Roman" w:cs="Times New Roman"/>
          <w:sz w:val="20"/>
        </w:rPr>
        <w:t>Shipped</w:t>
      </w:r>
      <w:r w:rsidRPr="00C11CF5">
        <w:rPr>
          <w:rFonts w:ascii="Times New Roman" w:eastAsia="Times New Roman" w:hAnsi="Times New Roman" w:cs="Times New Roman"/>
          <w:sz w:val="24"/>
          <w:szCs w:val="24"/>
        </w:rPr>
        <w:t>.</w:t>
      </w:r>
    </w:p>
    <w:p w:rsidR="00C11CF5" w:rsidRPr="00C11CF5" w:rsidRDefault="00C11CF5" w:rsidP="00C11CF5">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C11CF5">
        <w:rPr>
          <w:rFonts w:ascii="Times New Roman" w:eastAsia="Times New Roman" w:hAnsi="Times New Roman" w:cs="Times New Roman"/>
          <w:sz w:val="24"/>
          <w:szCs w:val="24"/>
        </w:rPr>
        <w:t xml:space="preserve">There are approximately equal numbers of orders in </w:t>
      </w:r>
      <w:r w:rsidRPr="00C11CF5">
        <w:rPr>
          <w:rFonts w:ascii="Times New Roman" w:eastAsia="Times New Roman" w:hAnsi="Times New Roman" w:cs="Times New Roman"/>
          <w:sz w:val="20"/>
        </w:rPr>
        <w:t>Delivered</w:t>
      </w:r>
      <w:r w:rsidRPr="00C11CF5">
        <w:rPr>
          <w:rFonts w:ascii="Times New Roman" w:eastAsia="Times New Roman" w:hAnsi="Times New Roman" w:cs="Times New Roman"/>
          <w:sz w:val="24"/>
          <w:szCs w:val="24"/>
        </w:rPr>
        <w:t xml:space="preserve"> (5057), </w:t>
      </w:r>
      <w:r w:rsidRPr="00C11CF5">
        <w:rPr>
          <w:rFonts w:ascii="Times New Roman" w:eastAsia="Times New Roman" w:hAnsi="Times New Roman" w:cs="Times New Roman"/>
          <w:sz w:val="20"/>
        </w:rPr>
        <w:t>Pending</w:t>
      </w:r>
      <w:r w:rsidRPr="00C11CF5">
        <w:rPr>
          <w:rFonts w:ascii="Times New Roman" w:eastAsia="Times New Roman" w:hAnsi="Times New Roman" w:cs="Times New Roman"/>
          <w:sz w:val="24"/>
          <w:szCs w:val="24"/>
        </w:rPr>
        <w:t xml:space="preserve"> (5069), and </w:t>
      </w:r>
      <w:r w:rsidRPr="00C11CF5">
        <w:rPr>
          <w:rFonts w:ascii="Times New Roman" w:eastAsia="Times New Roman" w:hAnsi="Times New Roman" w:cs="Times New Roman"/>
          <w:sz w:val="20"/>
        </w:rPr>
        <w:t>Shipped</w:t>
      </w:r>
      <w:r w:rsidRPr="00C11CF5">
        <w:rPr>
          <w:rFonts w:ascii="Times New Roman" w:eastAsia="Times New Roman" w:hAnsi="Times New Roman" w:cs="Times New Roman"/>
          <w:sz w:val="24"/>
          <w:szCs w:val="24"/>
        </w:rPr>
        <w:t xml:space="preserve"> (4874) statuses.</w:t>
      </w:r>
    </w:p>
    <w:p w:rsidR="00C11CF5" w:rsidRPr="00C11CF5" w:rsidRDefault="00C11CF5" w:rsidP="00C11CF5">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C11CF5">
        <w:rPr>
          <w:rFonts w:ascii="Times New Roman" w:eastAsia="Times New Roman" w:hAnsi="Times New Roman" w:cs="Times New Roman"/>
          <w:sz w:val="24"/>
          <w:szCs w:val="24"/>
        </w:rPr>
        <w:t>This distribution indicates a fairly balanced status of orders, though a closer look at pending orders could help improve fulfillment processes.</w:t>
      </w:r>
    </w:p>
    <w:p w:rsidR="00C11CF5" w:rsidRPr="00C11CF5" w:rsidRDefault="00C11CF5" w:rsidP="00C11CF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11CF5">
        <w:rPr>
          <w:rFonts w:ascii="Times New Roman" w:eastAsia="Times New Roman" w:hAnsi="Times New Roman" w:cs="Times New Roman"/>
          <w:b/>
          <w:bCs/>
          <w:sz w:val="24"/>
          <w:szCs w:val="24"/>
        </w:rPr>
        <w:t>Monthly Sales Trend:</w:t>
      </w:r>
    </w:p>
    <w:p w:rsidR="00C11CF5" w:rsidRPr="00C11CF5" w:rsidRDefault="00C11CF5" w:rsidP="00C11CF5">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C11CF5">
        <w:rPr>
          <w:rFonts w:ascii="Times New Roman" w:eastAsia="Times New Roman" w:hAnsi="Times New Roman" w:cs="Times New Roman"/>
          <w:sz w:val="24"/>
          <w:szCs w:val="24"/>
        </w:rPr>
        <w:t>Sales over the months show a healthy, mostly consistent trend with a few fluctuations, indicating seasonality or promotional effects. The monthly sales range from around $54K in March 2020 to as high as $64K in March 2025, with some dips in between.</w:t>
      </w:r>
    </w:p>
    <w:p w:rsidR="00C11CF5" w:rsidRPr="00C11CF5" w:rsidRDefault="00C11CF5" w:rsidP="00C11CF5">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C11CF5">
        <w:rPr>
          <w:rFonts w:ascii="Times New Roman" w:eastAsia="Times New Roman" w:hAnsi="Times New Roman" w:cs="Times New Roman"/>
          <w:sz w:val="24"/>
          <w:szCs w:val="24"/>
        </w:rPr>
        <w:t>Identifying key drivers behind these fluctuations (e.g., promotional campaigns, seasonality) can assist in predicting and planning future sales.</w:t>
      </w:r>
    </w:p>
    <w:p w:rsidR="00C11CF5" w:rsidRPr="00C11CF5" w:rsidRDefault="00C11CF5" w:rsidP="00C11CF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C11CF5">
        <w:rPr>
          <w:rFonts w:ascii="Times New Roman" w:eastAsia="Times New Roman" w:hAnsi="Times New Roman" w:cs="Times New Roman"/>
          <w:b/>
          <w:bCs/>
          <w:sz w:val="24"/>
          <w:szCs w:val="24"/>
        </w:rPr>
        <w:t>Average Order Value (AOV) by Status:</w:t>
      </w:r>
    </w:p>
    <w:p w:rsidR="00C11CF5" w:rsidRPr="00C11CF5" w:rsidRDefault="00C11CF5" w:rsidP="00C11CF5">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C11CF5">
        <w:rPr>
          <w:rFonts w:ascii="Times New Roman" w:eastAsia="Times New Roman" w:hAnsi="Times New Roman" w:cs="Times New Roman"/>
          <w:sz w:val="24"/>
          <w:szCs w:val="24"/>
        </w:rPr>
        <w:t xml:space="preserve">The average order values for </w:t>
      </w:r>
      <w:r w:rsidRPr="00C11CF5">
        <w:rPr>
          <w:rFonts w:ascii="Times New Roman" w:eastAsia="Times New Roman" w:hAnsi="Times New Roman" w:cs="Times New Roman"/>
          <w:sz w:val="20"/>
        </w:rPr>
        <w:t>Delivered</w:t>
      </w:r>
      <w:r w:rsidRPr="00C11CF5">
        <w:rPr>
          <w:rFonts w:ascii="Times New Roman" w:eastAsia="Times New Roman" w:hAnsi="Times New Roman" w:cs="Times New Roman"/>
          <w:sz w:val="24"/>
          <w:szCs w:val="24"/>
        </w:rPr>
        <w:t xml:space="preserve">, </w:t>
      </w:r>
      <w:r w:rsidRPr="00C11CF5">
        <w:rPr>
          <w:rFonts w:ascii="Times New Roman" w:eastAsia="Times New Roman" w:hAnsi="Times New Roman" w:cs="Times New Roman"/>
          <w:sz w:val="20"/>
        </w:rPr>
        <w:t>Pending</w:t>
      </w:r>
      <w:r w:rsidRPr="00C11CF5">
        <w:rPr>
          <w:rFonts w:ascii="Times New Roman" w:eastAsia="Times New Roman" w:hAnsi="Times New Roman" w:cs="Times New Roman"/>
          <w:sz w:val="24"/>
          <w:szCs w:val="24"/>
        </w:rPr>
        <w:t xml:space="preserve">, and </w:t>
      </w:r>
      <w:r w:rsidRPr="00C11CF5">
        <w:rPr>
          <w:rFonts w:ascii="Times New Roman" w:eastAsia="Times New Roman" w:hAnsi="Times New Roman" w:cs="Times New Roman"/>
          <w:sz w:val="20"/>
        </w:rPr>
        <w:t>Shipped</w:t>
      </w:r>
      <w:r w:rsidRPr="00C11CF5">
        <w:rPr>
          <w:rFonts w:ascii="Times New Roman" w:eastAsia="Times New Roman" w:hAnsi="Times New Roman" w:cs="Times New Roman"/>
          <w:sz w:val="24"/>
          <w:szCs w:val="24"/>
        </w:rPr>
        <w:t xml:space="preserve"> orders are quite close, with values of $254.03, $252.20, and $255.62 respectively.</w:t>
      </w:r>
    </w:p>
    <w:p w:rsidR="00C11CF5" w:rsidRPr="00C11CF5" w:rsidRDefault="00C11CF5" w:rsidP="00C11CF5">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C11CF5">
        <w:rPr>
          <w:rFonts w:ascii="Times New Roman" w:eastAsia="Times New Roman" w:hAnsi="Times New Roman" w:cs="Times New Roman"/>
          <w:sz w:val="24"/>
          <w:szCs w:val="24"/>
        </w:rPr>
        <w:t>This suggests that the value of an order is relatively consistent across all statuses, though further investigation into the impact of order status on profitability might be beneficial.</w:t>
      </w:r>
    </w:p>
    <w:p w:rsidR="00C11CF5" w:rsidRPr="00C11CF5" w:rsidRDefault="00C11CF5" w:rsidP="00C11CF5">
      <w:pPr>
        <w:spacing w:before="100" w:beforeAutospacing="1" w:after="100" w:afterAutospacing="1" w:line="240" w:lineRule="auto"/>
        <w:rPr>
          <w:rFonts w:ascii="Times New Roman" w:eastAsia="Times New Roman" w:hAnsi="Times New Roman" w:cs="Times New Roman"/>
          <w:sz w:val="24"/>
          <w:szCs w:val="24"/>
        </w:rPr>
      </w:pPr>
      <w:r w:rsidRPr="00C11CF5">
        <w:rPr>
          <w:rFonts w:ascii="Times New Roman" w:eastAsia="Times New Roman" w:hAnsi="Times New Roman" w:cs="Times New Roman"/>
          <w:b/>
          <w:bCs/>
          <w:sz w:val="24"/>
          <w:szCs w:val="24"/>
        </w:rPr>
        <w:t>2. Customer Analysis</w:t>
      </w:r>
    </w:p>
    <w:p w:rsidR="00C11CF5" w:rsidRPr="00C11CF5" w:rsidRDefault="00C11CF5" w:rsidP="00C11CF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11CF5">
        <w:rPr>
          <w:rFonts w:ascii="Times New Roman" w:eastAsia="Times New Roman" w:hAnsi="Times New Roman" w:cs="Times New Roman"/>
          <w:b/>
          <w:bCs/>
          <w:sz w:val="24"/>
          <w:szCs w:val="24"/>
        </w:rPr>
        <w:t>Repeat Customers:</w:t>
      </w:r>
    </w:p>
    <w:p w:rsidR="00C11CF5" w:rsidRPr="00C11CF5" w:rsidRDefault="00C11CF5" w:rsidP="00C11CF5">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C11CF5">
        <w:rPr>
          <w:rFonts w:ascii="Times New Roman" w:eastAsia="Times New Roman" w:hAnsi="Times New Roman" w:cs="Times New Roman"/>
          <w:sz w:val="24"/>
          <w:szCs w:val="24"/>
        </w:rPr>
        <w:t>Out of 7334 total customers, 4402 are repeat customers, which accounts for approximately 60% of the customer base. This indicates strong customer retention.</w:t>
      </w:r>
    </w:p>
    <w:p w:rsidR="00C11CF5" w:rsidRPr="00C11CF5" w:rsidRDefault="00C11CF5" w:rsidP="00C11CF5">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C11CF5">
        <w:rPr>
          <w:rFonts w:ascii="Times New Roman" w:eastAsia="Times New Roman" w:hAnsi="Times New Roman" w:cs="Times New Roman"/>
          <w:sz w:val="24"/>
          <w:szCs w:val="24"/>
        </w:rPr>
        <w:t>Analyzing the behavior of repeat customers, such as frequency of orders or purchase categories, can reveal opportunities to further enhance customer loyalty programs or promotional efforts targeted at first-time buyers.</w:t>
      </w:r>
    </w:p>
    <w:p w:rsidR="00C11CF5" w:rsidRPr="00C11CF5" w:rsidRDefault="00C11CF5" w:rsidP="00C11CF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C11CF5">
        <w:rPr>
          <w:rFonts w:ascii="Times New Roman" w:eastAsia="Times New Roman" w:hAnsi="Times New Roman" w:cs="Times New Roman"/>
          <w:b/>
          <w:bCs/>
          <w:sz w:val="24"/>
          <w:szCs w:val="24"/>
        </w:rPr>
        <w:t>Monthly Active Customers:</w:t>
      </w:r>
    </w:p>
    <w:p w:rsidR="00C11CF5" w:rsidRPr="00C11CF5" w:rsidRDefault="00C11CF5" w:rsidP="00C11CF5">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C11CF5">
        <w:rPr>
          <w:rFonts w:ascii="Times New Roman" w:eastAsia="Times New Roman" w:hAnsi="Times New Roman" w:cs="Times New Roman"/>
          <w:sz w:val="24"/>
          <w:szCs w:val="24"/>
        </w:rPr>
        <w:t>Active customer count shows a slight fluctuation, with numbers ranging from 213 to 241 active customers each month.</w:t>
      </w:r>
    </w:p>
    <w:p w:rsidR="00C11CF5" w:rsidRPr="00C11CF5" w:rsidRDefault="00C11CF5" w:rsidP="00C11CF5">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C11CF5">
        <w:rPr>
          <w:rFonts w:ascii="Times New Roman" w:eastAsia="Times New Roman" w:hAnsi="Times New Roman" w:cs="Times New Roman"/>
          <w:sz w:val="24"/>
          <w:szCs w:val="24"/>
        </w:rPr>
        <w:t>This metric can help gauge customer engagement and loyalty over time, and tracking it closely can indicate when intervention or campaigns are necessary to boost customer activity.</w:t>
      </w:r>
    </w:p>
    <w:p w:rsidR="00C11CF5" w:rsidRPr="00C11CF5" w:rsidRDefault="00C11CF5" w:rsidP="00C11CF5">
      <w:pPr>
        <w:spacing w:before="100" w:beforeAutospacing="1" w:after="100" w:afterAutospacing="1" w:line="240" w:lineRule="auto"/>
        <w:rPr>
          <w:rFonts w:ascii="Times New Roman" w:eastAsia="Times New Roman" w:hAnsi="Times New Roman" w:cs="Times New Roman"/>
          <w:sz w:val="24"/>
          <w:szCs w:val="24"/>
        </w:rPr>
      </w:pPr>
      <w:r w:rsidRPr="00C11CF5">
        <w:rPr>
          <w:rFonts w:ascii="Times New Roman" w:eastAsia="Times New Roman" w:hAnsi="Times New Roman" w:cs="Times New Roman"/>
          <w:b/>
          <w:bCs/>
          <w:sz w:val="24"/>
          <w:szCs w:val="24"/>
        </w:rPr>
        <w:t>3. Payment Status Analysis</w:t>
      </w:r>
    </w:p>
    <w:p w:rsidR="00C11CF5" w:rsidRPr="00C11CF5" w:rsidRDefault="00C11CF5" w:rsidP="00C11CF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11CF5">
        <w:rPr>
          <w:rFonts w:ascii="Times New Roman" w:eastAsia="Times New Roman" w:hAnsi="Times New Roman" w:cs="Times New Roman"/>
          <w:b/>
          <w:bCs/>
          <w:sz w:val="24"/>
          <w:szCs w:val="24"/>
        </w:rPr>
        <w:t>Payment Status Overview:</w:t>
      </w:r>
    </w:p>
    <w:p w:rsidR="00C11CF5" w:rsidRPr="00C11CF5" w:rsidRDefault="00C11CF5" w:rsidP="00C11CF5">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C11CF5">
        <w:rPr>
          <w:rFonts w:ascii="Times New Roman" w:eastAsia="Times New Roman" w:hAnsi="Times New Roman" w:cs="Times New Roman"/>
          <w:sz w:val="24"/>
          <w:szCs w:val="24"/>
        </w:rPr>
        <w:t>Payment status data reveals a relatively balanced distribution between completed (4991), failed (5003), and pending (5006) payments.</w:t>
      </w:r>
    </w:p>
    <w:p w:rsidR="00C11CF5" w:rsidRPr="00C11CF5" w:rsidRDefault="00C11CF5" w:rsidP="00C11CF5">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C11CF5">
        <w:rPr>
          <w:rFonts w:ascii="Times New Roman" w:eastAsia="Times New Roman" w:hAnsi="Times New Roman" w:cs="Times New Roman"/>
          <w:sz w:val="24"/>
          <w:szCs w:val="24"/>
        </w:rPr>
        <w:lastRenderedPageBreak/>
        <w:t>A critical insight here is the high count of failed and pending payments, which could indicate potential issues with the payment gateway or customer payment behaviors. Investigating the reasons behind these failures (e.g., technical issues, customer errors, or fraud) could help reduce these instances and improve payment success rates.</w:t>
      </w:r>
    </w:p>
    <w:p w:rsidR="00C11CF5" w:rsidRPr="00C11CF5" w:rsidRDefault="00C11CF5" w:rsidP="00C11CF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11CF5">
        <w:rPr>
          <w:rFonts w:ascii="Times New Roman" w:eastAsia="Times New Roman" w:hAnsi="Times New Roman" w:cs="Times New Roman"/>
          <w:b/>
          <w:bCs/>
          <w:sz w:val="24"/>
          <w:szCs w:val="24"/>
        </w:rPr>
        <w:t>Payment Failure Rate:</w:t>
      </w:r>
    </w:p>
    <w:p w:rsidR="00C11CF5" w:rsidRPr="00C11CF5" w:rsidRDefault="00C11CF5" w:rsidP="00C11CF5">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C11CF5">
        <w:rPr>
          <w:rFonts w:ascii="Times New Roman" w:eastAsia="Times New Roman" w:hAnsi="Times New Roman" w:cs="Times New Roman"/>
          <w:sz w:val="24"/>
          <w:szCs w:val="24"/>
        </w:rPr>
        <w:t>The reported payment failure rate is 0.0%, which suggests that either the failure rate data is missing or that issues in payment processing have not been detected yet. It's essential to ensure this rate is calculated accurately, as any failure can result in lost sales.</w:t>
      </w:r>
    </w:p>
    <w:p w:rsidR="00C11CF5" w:rsidRPr="00C11CF5" w:rsidRDefault="00C11CF5" w:rsidP="00C11CF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C11CF5">
        <w:rPr>
          <w:rFonts w:ascii="Times New Roman" w:eastAsia="Times New Roman" w:hAnsi="Times New Roman" w:cs="Times New Roman"/>
          <w:b/>
          <w:bCs/>
          <w:sz w:val="24"/>
          <w:szCs w:val="24"/>
        </w:rPr>
        <w:t>Payment Method Success Rate:</w:t>
      </w:r>
    </w:p>
    <w:p w:rsidR="00C11CF5" w:rsidRPr="00C11CF5" w:rsidRDefault="00C11CF5" w:rsidP="00C11CF5">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C11CF5">
        <w:rPr>
          <w:rFonts w:ascii="Times New Roman" w:eastAsia="Times New Roman" w:hAnsi="Times New Roman" w:cs="Times New Roman"/>
          <w:sz w:val="24"/>
          <w:szCs w:val="24"/>
        </w:rPr>
        <w:t>The success rate for payment methods like bank transfers, credit cards, and PayPal shows a 0% success rate, which is likely indicative of incomplete or missing data. This anomaly needs to be addressed to ensure accurate tracking and to improve payment process transparency.</w:t>
      </w:r>
    </w:p>
    <w:p w:rsidR="00C11CF5" w:rsidRPr="00C11CF5" w:rsidRDefault="00C11CF5" w:rsidP="00C11CF5">
      <w:pPr>
        <w:spacing w:before="100" w:beforeAutospacing="1" w:after="100" w:afterAutospacing="1" w:line="240" w:lineRule="auto"/>
        <w:rPr>
          <w:rFonts w:ascii="Times New Roman" w:eastAsia="Times New Roman" w:hAnsi="Times New Roman" w:cs="Times New Roman"/>
          <w:sz w:val="24"/>
          <w:szCs w:val="24"/>
        </w:rPr>
      </w:pPr>
      <w:r w:rsidRPr="00C11CF5">
        <w:rPr>
          <w:rFonts w:ascii="Times New Roman" w:eastAsia="Times New Roman" w:hAnsi="Times New Roman" w:cs="Times New Roman"/>
          <w:b/>
          <w:bCs/>
          <w:sz w:val="24"/>
          <w:szCs w:val="24"/>
        </w:rPr>
        <w:t>4. Order Details Report</w:t>
      </w:r>
    </w:p>
    <w:p w:rsidR="00C11CF5" w:rsidRPr="00C11CF5" w:rsidRDefault="00C11CF5" w:rsidP="00C11CF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11CF5">
        <w:rPr>
          <w:rFonts w:ascii="Times New Roman" w:eastAsia="Times New Roman" w:hAnsi="Times New Roman" w:cs="Times New Roman"/>
          <w:sz w:val="24"/>
          <w:szCs w:val="24"/>
        </w:rPr>
        <w:t>The comprehensive order report shows a detailed breakdown of order IDs, customer IDs, payment methods, and statuses across over 20,000 rows of data.</w:t>
      </w:r>
    </w:p>
    <w:p w:rsidR="00C11CF5" w:rsidRPr="00C11CF5" w:rsidRDefault="00C11CF5" w:rsidP="00C11CF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C11CF5">
        <w:rPr>
          <w:rFonts w:ascii="Times New Roman" w:eastAsia="Times New Roman" w:hAnsi="Times New Roman" w:cs="Times New Roman"/>
          <w:sz w:val="24"/>
          <w:szCs w:val="24"/>
        </w:rPr>
        <w:t>Analyzing the complete order history can help in identifying trends, issues with specific customers or products, and identifying operational bottlenecks.</w:t>
      </w:r>
    </w:p>
    <w:p w:rsidR="004C7E84" w:rsidRPr="004C7E84" w:rsidRDefault="004C7E84" w:rsidP="004C7E84">
      <w:pPr>
        <w:spacing w:before="100" w:beforeAutospacing="1" w:after="100" w:afterAutospacing="1" w:line="240" w:lineRule="auto"/>
        <w:rPr>
          <w:rFonts w:ascii="Times New Roman" w:eastAsia="Times New Roman" w:hAnsi="Times New Roman" w:cs="Times New Roman"/>
          <w:sz w:val="24"/>
          <w:szCs w:val="24"/>
        </w:rPr>
      </w:pPr>
      <w:r w:rsidRPr="004C7E84">
        <w:rPr>
          <w:rFonts w:ascii="Times New Roman" w:eastAsia="Times New Roman" w:hAnsi="Symbol" w:cs="Times New Roman"/>
          <w:sz w:val="24"/>
          <w:szCs w:val="24"/>
        </w:rPr>
        <w:t></w:t>
      </w:r>
      <w:r>
        <w:rPr>
          <w:rFonts w:ascii="Times New Roman" w:eastAsia="Times New Roman" w:hAnsi="Times New Roman" w:cs="Times New Roman"/>
          <w:sz w:val="24"/>
          <w:szCs w:val="24"/>
        </w:rPr>
        <w:t xml:space="preserve"> </w:t>
      </w:r>
      <w:r w:rsidRPr="004C7E84">
        <w:rPr>
          <w:rFonts w:ascii="Times New Roman" w:eastAsia="Times New Roman" w:hAnsi="Times New Roman" w:cs="Times New Roman"/>
          <w:b/>
          <w:bCs/>
          <w:sz w:val="24"/>
          <w:szCs w:val="24"/>
        </w:rPr>
        <w:t>Address Payment Failures:</w:t>
      </w:r>
      <w:r w:rsidRPr="004C7E84">
        <w:rPr>
          <w:rFonts w:ascii="Times New Roman" w:eastAsia="Times New Roman" w:hAnsi="Times New Roman" w:cs="Times New Roman"/>
          <w:sz w:val="24"/>
          <w:szCs w:val="24"/>
        </w:rPr>
        <w:t xml:space="preserve"> Investigate failed/pending payments and ensure accurate success rate tracking.</w:t>
      </w:r>
    </w:p>
    <w:p w:rsidR="004C7E84" w:rsidRPr="004C7E84" w:rsidRDefault="004C7E84" w:rsidP="004C7E84">
      <w:pPr>
        <w:spacing w:before="100" w:beforeAutospacing="1" w:after="100" w:afterAutospacing="1" w:line="240" w:lineRule="auto"/>
        <w:rPr>
          <w:rFonts w:ascii="Times New Roman" w:eastAsia="Times New Roman" w:hAnsi="Times New Roman" w:cs="Times New Roman"/>
          <w:sz w:val="24"/>
          <w:szCs w:val="24"/>
        </w:rPr>
      </w:pPr>
      <w:r w:rsidRPr="004C7E84">
        <w:rPr>
          <w:rFonts w:ascii="Times New Roman" w:eastAsia="Times New Roman" w:hAnsi="Symbol" w:cs="Times New Roman"/>
          <w:sz w:val="24"/>
          <w:szCs w:val="24"/>
        </w:rPr>
        <w:t></w:t>
      </w:r>
      <w:r w:rsidRPr="004C7E84">
        <w:rPr>
          <w:rFonts w:ascii="Times New Roman" w:eastAsia="Times New Roman" w:hAnsi="Times New Roman" w:cs="Times New Roman"/>
          <w:sz w:val="24"/>
          <w:szCs w:val="24"/>
        </w:rPr>
        <w:t xml:space="preserve"> </w:t>
      </w:r>
      <w:r w:rsidRPr="004C7E84">
        <w:rPr>
          <w:rFonts w:ascii="Times New Roman" w:eastAsia="Times New Roman" w:hAnsi="Times New Roman" w:cs="Times New Roman"/>
          <w:b/>
          <w:bCs/>
          <w:sz w:val="24"/>
          <w:szCs w:val="24"/>
        </w:rPr>
        <w:t>Improve Order Fulfillment:</w:t>
      </w:r>
      <w:r w:rsidRPr="004C7E84">
        <w:rPr>
          <w:rFonts w:ascii="Times New Roman" w:eastAsia="Times New Roman" w:hAnsi="Times New Roman" w:cs="Times New Roman"/>
          <w:sz w:val="24"/>
          <w:szCs w:val="24"/>
        </w:rPr>
        <w:t xml:space="preserve"> Reduce pending orders and address fulfillment delays.</w:t>
      </w:r>
    </w:p>
    <w:p w:rsidR="004C7E84" w:rsidRPr="004C7E84" w:rsidRDefault="004C7E84" w:rsidP="004C7E84">
      <w:pPr>
        <w:spacing w:before="100" w:beforeAutospacing="1" w:after="100" w:afterAutospacing="1" w:line="240" w:lineRule="auto"/>
        <w:rPr>
          <w:rFonts w:ascii="Times New Roman" w:eastAsia="Times New Roman" w:hAnsi="Times New Roman" w:cs="Times New Roman"/>
          <w:sz w:val="24"/>
          <w:szCs w:val="24"/>
        </w:rPr>
      </w:pPr>
      <w:r w:rsidRPr="004C7E84">
        <w:rPr>
          <w:rFonts w:ascii="Times New Roman" w:eastAsia="Times New Roman" w:hAnsi="Symbol" w:cs="Times New Roman"/>
          <w:sz w:val="24"/>
          <w:szCs w:val="24"/>
        </w:rPr>
        <w:t></w:t>
      </w:r>
      <w:r w:rsidRPr="004C7E84">
        <w:rPr>
          <w:rFonts w:ascii="Times New Roman" w:eastAsia="Times New Roman" w:hAnsi="Times New Roman" w:cs="Times New Roman"/>
          <w:sz w:val="24"/>
          <w:szCs w:val="24"/>
        </w:rPr>
        <w:t xml:space="preserve"> </w:t>
      </w:r>
      <w:r w:rsidRPr="004C7E84">
        <w:rPr>
          <w:rFonts w:ascii="Times New Roman" w:eastAsia="Times New Roman" w:hAnsi="Times New Roman" w:cs="Times New Roman"/>
          <w:b/>
          <w:bCs/>
          <w:sz w:val="24"/>
          <w:szCs w:val="24"/>
        </w:rPr>
        <w:t>Enhance Customer Retention:</w:t>
      </w:r>
      <w:r w:rsidRPr="004C7E84">
        <w:rPr>
          <w:rFonts w:ascii="Times New Roman" w:eastAsia="Times New Roman" w:hAnsi="Times New Roman" w:cs="Times New Roman"/>
          <w:sz w:val="24"/>
          <w:szCs w:val="24"/>
        </w:rPr>
        <w:t xml:space="preserve"> Strengthen loyalty programs and re-engage inactive customers.</w:t>
      </w:r>
    </w:p>
    <w:p w:rsidR="004C7E84" w:rsidRPr="004C7E84" w:rsidRDefault="004C7E84" w:rsidP="004C7E84">
      <w:pPr>
        <w:spacing w:before="100" w:beforeAutospacing="1" w:after="100" w:afterAutospacing="1" w:line="240" w:lineRule="auto"/>
        <w:rPr>
          <w:rFonts w:ascii="Times New Roman" w:eastAsia="Times New Roman" w:hAnsi="Times New Roman" w:cs="Times New Roman"/>
          <w:sz w:val="24"/>
          <w:szCs w:val="24"/>
        </w:rPr>
      </w:pPr>
      <w:r w:rsidRPr="004C7E84">
        <w:rPr>
          <w:rFonts w:ascii="Times New Roman" w:eastAsia="Times New Roman" w:hAnsi="Symbol" w:cs="Times New Roman"/>
          <w:sz w:val="24"/>
          <w:szCs w:val="24"/>
        </w:rPr>
        <w:t></w:t>
      </w:r>
      <w:r w:rsidRPr="004C7E84">
        <w:rPr>
          <w:rFonts w:ascii="Times New Roman" w:eastAsia="Times New Roman" w:hAnsi="Times New Roman" w:cs="Times New Roman"/>
          <w:sz w:val="24"/>
          <w:szCs w:val="24"/>
        </w:rPr>
        <w:t xml:space="preserve"> </w:t>
      </w:r>
      <w:r w:rsidRPr="004C7E84">
        <w:rPr>
          <w:rFonts w:ascii="Times New Roman" w:eastAsia="Times New Roman" w:hAnsi="Times New Roman" w:cs="Times New Roman"/>
          <w:b/>
          <w:bCs/>
          <w:sz w:val="24"/>
          <w:szCs w:val="24"/>
        </w:rPr>
        <w:t>Examine Sales Trends:</w:t>
      </w:r>
      <w:r w:rsidRPr="004C7E84">
        <w:rPr>
          <w:rFonts w:ascii="Times New Roman" w:eastAsia="Times New Roman" w:hAnsi="Times New Roman" w:cs="Times New Roman"/>
          <w:sz w:val="24"/>
          <w:szCs w:val="24"/>
        </w:rPr>
        <w:t xml:space="preserve"> Identify seasonal patterns and align strategies accordingly.</w:t>
      </w:r>
    </w:p>
    <w:p w:rsidR="004C7E84" w:rsidRPr="00C11CF5" w:rsidRDefault="004C7E84" w:rsidP="004C7E84">
      <w:pPr>
        <w:spacing w:before="100" w:beforeAutospacing="1" w:after="100" w:afterAutospacing="1" w:line="240" w:lineRule="auto"/>
        <w:rPr>
          <w:rFonts w:ascii="Times New Roman" w:eastAsia="Times New Roman" w:hAnsi="Times New Roman" w:cs="Times New Roman"/>
          <w:sz w:val="24"/>
          <w:szCs w:val="24"/>
        </w:rPr>
      </w:pPr>
      <w:r w:rsidRPr="004C7E84">
        <w:rPr>
          <w:rFonts w:ascii="Times New Roman" w:eastAsia="Times New Roman" w:hAnsi="Symbol" w:cs="Times New Roman"/>
          <w:sz w:val="24"/>
          <w:szCs w:val="24"/>
        </w:rPr>
        <w:t></w:t>
      </w:r>
      <w:r w:rsidRPr="004C7E84">
        <w:rPr>
          <w:rFonts w:ascii="Times New Roman" w:eastAsia="Times New Roman" w:hAnsi="Times New Roman" w:cs="Times New Roman"/>
          <w:sz w:val="24"/>
          <w:szCs w:val="24"/>
        </w:rPr>
        <w:t xml:space="preserve"> </w:t>
      </w:r>
      <w:r w:rsidRPr="004C7E84">
        <w:rPr>
          <w:rFonts w:ascii="Times New Roman" w:eastAsia="Times New Roman" w:hAnsi="Times New Roman" w:cs="Times New Roman"/>
          <w:b/>
          <w:bCs/>
          <w:sz w:val="24"/>
          <w:szCs w:val="24"/>
        </w:rPr>
        <w:t>Optimize Payments:</w:t>
      </w:r>
      <w:r w:rsidRPr="004C7E84">
        <w:rPr>
          <w:rFonts w:ascii="Times New Roman" w:eastAsia="Times New Roman" w:hAnsi="Times New Roman" w:cs="Times New Roman"/>
          <w:sz w:val="24"/>
          <w:szCs w:val="24"/>
        </w:rPr>
        <w:t xml:space="preserve"> Resolve issues with payment m</w:t>
      </w:r>
      <w:r>
        <w:rPr>
          <w:rFonts w:ascii="Times New Roman" w:eastAsia="Times New Roman" w:hAnsi="Times New Roman" w:cs="Times New Roman"/>
          <w:sz w:val="24"/>
          <w:szCs w:val="24"/>
        </w:rPr>
        <w:t>ethods to improve success rates</w:t>
      </w:r>
    </w:p>
    <w:p w:rsidR="00C11CF5" w:rsidRPr="00C11CF5" w:rsidRDefault="00C11CF5" w:rsidP="00C11CF5">
      <w:pPr>
        <w:spacing w:before="100" w:beforeAutospacing="1" w:after="100" w:afterAutospacing="1" w:line="240" w:lineRule="auto"/>
        <w:rPr>
          <w:rFonts w:ascii="Times New Roman" w:eastAsia="Times New Roman" w:hAnsi="Times New Roman" w:cs="Times New Roman"/>
          <w:sz w:val="24"/>
          <w:szCs w:val="24"/>
        </w:rPr>
      </w:pPr>
      <w:r w:rsidRPr="00C11CF5">
        <w:rPr>
          <w:rFonts w:ascii="Times New Roman" w:eastAsia="Times New Roman" w:hAnsi="Times New Roman" w:cs="Times New Roman"/>
          <w:sz w:val="24"/>
          <w:szCs w:val="24"/>
        </w:rPr>
        <w:t>By focusing on these areas, Alt Mobility can not only enhance its operational efficiency but also improve customer satisfaction, retention, and overall business performance</w:t>
      </w:r>
    </w:p>
    <w:sectPr w:rsidR="00C11CF5" w:rsidRPr="00C11CF5" w:rsidSect="00E912AB">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5113470"/>
    <w:multiLevelType w:val="multilevel"/>
    <w:tmpl w:val="C512D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5F0245D"/>
    <w:multiLevelType w:val="multilevel"/>
    <w:tmpl w:val="6352AC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4EC6784"/>
    <w:multiLevelType w:val="multilevel"/>
    <w:tmpl w:val="1644B3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57CD27C9"/>
    <w:multiLevelType w:val="multilevel"/>
    <w:tmpl w:val="E50A3E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5C796A20"/>
    <w:multiLevelType w:val="multilevel"/>
    <w:tmpl w:val="2A24FB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782204A9"/>
    <w:multiLevelType w:val="multilevel"/>
    <w:tmpl w:val="D966D1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78D8395F"/>
    <w:multiLevelType w:val="multilevel"/>
    <w:tmpl w:val="5E94B5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A3D4216"/>
    <w:multiLevelType w:val="multilevel"/>
    <w:tmpl w:val="F4E6B6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B3E3B84"/>
    <w:multiLevelType w:val="multilevel"/>
    <w:tmpl w:val="FD08DB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7"/>
  </w:num>
  <w:num w:numId="3">
    <w:abstractNumId w:val="6"/>
  </w:num>
  <w:num w:numId="4">
    <w:abstractNumId w:val="1"/>
  </w:num>
  <w:num w:numId="5">
    <w:abstractNumId w:val="5"/>
  </w:num>
  <w:num w:numId="6">
    <w:abstractNumId w:val="4"/>
  </w:num>
  <w:num w:numId="7">
    <w:abstractNumId w:val="2"/>
  </w:num>
  <w:num w:numId="8">
    <w:abstractNumId w:val="0"/>
  </w:num>
  <w:num w:numId="9">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20"/>
  <w:characterSpacingControl w:val="doNotCompress"/>
  <w:compat/>
  <w:rsids>
    <w:rsidRoot w:val="00436942"/>
    <w:rsid w:val="00436942"/>
    <w:rsid w:val="004C7E84"/>
    <w:rsid w:val="00BD055A"/>
    <w:rsid w:val="00C11CF5"/>
    <w:rsid w:val="00D14908"/>
    <w:rsid w:val="00E912AB"/>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912AB"/>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3694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36248694">
      <w:bodyDiv w:val="1"/>
      <w:marLeft w:val="0"/>
      <w:marRight w:val="0"/>
      <w:marTop w:val="0"/>
      <w:marBottom w:val="0"/>
      <w:divBdr>
        <w:top w:val="none" w:sz="0" w:space="0" w:color="auto"/>
        <w:left w:val="none" w:sz="0" w:space="0" w:color="auto"/>
        <w:bottom w:val="none" w:sz="0" w:space="0" w:color="auto"/>
        <w:right w:val="none" w:sz="0" w:space="0" w:color="auto"/>
      </w:divBdr>
    </w:div>
    <w:div w:id="365714462">
      <w:bodyDiv w:val="1"/>
      <w:marLeft w:val="0"/>
      <w:marRight w:val="0"/>
      <w:marTop w:val="0"/>
      <w:marBottom w:val="0"/>
      <w:divBdr>
        <w:top w:val="none" w:sz="0" w:space="0" w:color="auto"/>
        <w:left w:val="none" w:sz="0" w:space="0" w:color="auto"/>
        <w:bottom w:val="none" w:sz="0" w:space="0" w:color="auto"/>
        <w:right w:val="none" w:sz="0" w:space="0" w:color="auto"/>
      </w:divBdr>
    </w:div>
    <w:div w:id="564605893">
      <w:bodyDiv w:val="1"/>
      <w:marLeft w:val="0"/>
      <w:marRight w:val="0"/>
      <w:marTop w:val="0"/>
      <w:marBottom w:val="0"/>
      <w:divBdr>
        <w:top w:val="none" w:sz="0" w:space="0" w:color="auto"/>
        <w:left w:val="none" w:sz="0" w:space="0" w:color="auto"/>
        <w:bottom w:val="none" w:sz="0" w:space="0" w:color="auto"/>
        <w:right w:val="none" w:sz="0" w:space="0" w:color="auto"/>
      </w:divBdr>
    </w:div>
    <w:div w:id="798307504">
      <w:bodyDiv w:val="1"/>
      <w:marLeft w:val="0"/>
      <w:marRight w:val="0"/>
      <w:marTop w:val="0"/>
      <w:marBottom w:val="0"/>
      <w:divBdr>
        <w:top w:val="none" w:sz="0" w:space="0" w:color="auto"/>
        <w:left w:val="none" w:sz="0" w:space="0" w:color="auto"/>
        <w:bottom w:val="none" w:sz="0" w:space="0" w:color="auto"/>
        <w:right w:val="none" w:sz="0" w:space="0" w:color="auto"/>
      </w:divBdr>
    </w:div>
    <w:div w:id="864906686">
      <w:bodyDiv w:val="1"/>
      <w:marLeft w:val="0"/>
      <w:marRight w:val="0"/>
      <w:marTop w:val="0"/>
      <w:marBottom w:val="0"/>
      <w:divBdr>
        <w:top w:val="none" w:sz="0" w:space="0" w:color="auto"/>
        <w:left w:val="none" w:sz="0" w:space="0" w:color="auto"/>
        <w:bottom w:val="none" w:sz="0" w:space="0" w:color="auto"/>
        <w:right w:val="none" w:sz="0" w:space="0" w:color="auto"/>
      </w:divBdr>
    </w:div>
    <w:div w:id="1040087715">
      <w:bodyDiv w:val="1"/>
      <w:marLeft w:val="0"/>
      <w:marRight w:val="0"/>
      <w:marTop w:val="0"/>
      <w:marBottom w:val="0"/>
      <w:divBdr>
        <w:top w:val="none" w:sz="0" w:space="0" w:color="auto"/>
        <w:left w:val="none" w:sz="0" w:space="0" w:color="auto"/>
        <w:bottom w:val="none" w:sz="0" w:space="0" w:color="auto"/>
        <w:right w:val="none" w:sz="0" w:space="0" w:color="auto"/>
      </w:divBdr>
    </w:div>
    <w:div w:id="1236277244">
      <w:bodyDiv w:val="1"/>
      <w:marLeft w:val="0"/>
      <w:marRight w:val="0"/>
      <w:marTop w:val="0"/>
      <w:marBottom w:val="0"/>
      <w:divBdr>
        <w:top w:val="none" w:sz="0" w:space="0" w:color="auto"/>
        <w:left w:val="none" w:sz="0" w:space="0" w:color="auto"/>
        <w:bottom w:val="none" w:sz="0" w:space="0" w:color="auto"/>
        <w:right w:val="none" w:sz="0" w:space="0" w:color="auto"/>
      </w:divBdr>
    </w:div>
    <w:div w:id="1408184427">
      <w:bodyDiv w:val="1"/>
      <w:marLeft w:val="0"/>
      <w:marRight w:val="0"/>
      <w:marTop w:val="0"/>
      <w:marBottom w:val="0"/>
      <w:divBdr>
        <w:top w:val="none" w:sz="0" w:space="0" w:color="auto"/>
        <w:left w:val="none" w:sz="0" w:space="0" w:color="auto"/>
        <w:bottom w:val="none" w:sz="0" w:space="0" w:color="auto"/>
        <w:right w:val="none" w:sz="0" w:space="0" w:color="auto"/>
      </w:divBdr>
    </w:div>
    <w:div w:id="20358822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2006"/>
</file>

<file path=customXml/itemProps1.xml><?xml version="1.0" encoding="utf-8"?>
<ds:datastoreItem xmlns:ds="http://schemas.openxmlformats.org/officeDocument/2006/customXml" ds:itemID="{93A5C289-3376-4AC0-A8D4-FA64C43A90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64</TotalTime>
  <Pages>2</Pages>
  <Words>597</Words>
  <Characters>3407</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2</cp:revision>
  <dcterms:created xsi:type="dcterms:W3CDTF">2025-04-30T17:00:00Z</dcterms:created>
  <dcterms:modified xsi:type="dcterms:W3CDTF">2025-04-30T18:04:00Z</dcterms:modified>
</cp:coreProperties>
</file>