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1A237E"/>
          <w:sz w:val="56"/>
          <w:szCs w:val="56"/>
        </w:rPr>
        <w:t xml:space="preserve">SMART CONTRACT</w:t>
      </w:r>
    </w:p>
    <w:p>
      <w:pPr>
        <w:jc w:val="center"/>
      </w:pPr>
      <w:r>
        <w:rPr>
          <w:rFonts w:ascii="Arial" w:cs="Arial" w:eastAsia="Arial" w:hAnsi="Arial"/>
          <w:b/>
          <w:bCs/>
          <w:color w:val="1A237E"/>
          <w:sz w:val="56"/>
          <w:szCs w:val="56"/>
        </w:rPr>
        <w:t xml:space="preserve">SECURITY AUDIT REPORT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37E" w:val="clear"/>
            <w:tcMar>
              <w:top w:type="dxa" w:w="200"/>
              <w:left w:type="dxa" w:w="240"/>
              <w:bottom w:type="dxa" w:w="200"/>
              <w:right w:type="dxa" w:w="240"/>
            </w:tcMar>
          </w:tcPr>
          <w:p>
            <w:pPr>
              <w:jc w:val="center"/>
            </w:pPr>
            <w:r>
              <w:rPr>
                <w:rFonts w:ascii="Arial" w:cs="Arial" w:eastAsia="Arial" w:hAnsi="Arial"/>
                <w:b/>
                <w:bCs/>
                <w:color w:val="FFFFFF"/>
                <w:sz w:val="32"/>
                <w:szCs w:val="32"/>
              </w:rPr>
              <w:t xml:space="preserve">AtsurActorRegistry  &amp;  AtsurProvenance</w:t>
            </w:r>
          </w:p>
          <w:p>
            <w:pPr>
              <w:jc w:val="center"/>
            </w:pPr>
            <w:r>
              <w:rPr>
                <w:rFonts w:ascii="Arial" w:cs="Arial" w:eastAsia="Arial" w:hAnsi="Arial"/>
                <w:color w:val="B0BEC5"/>
                <w:sz w:val="22"/>
                <w:szCs w:val="22"/>
              </w:rPr>
              <w:t xml:space="preserve">UUPS Upgradeable Proxy Contracts  |  Lisk &amp; Polygon Mainnet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jc w:val="center"/>
            </w:pPr>
            <w:r>
              <w:rPr>
                <w:rFonts w:ascii="Arial" w:cs="Arial" w:eastAsia="Arial" w:hAnsi="Arial"/>
                <w:color w:val="777777"/>
                <w:sz w:val="18"/>
                <w:szCs w:val="18"/>
              </w:rPr>
              <w:t xml:space="preserve">Project</w:t>
            </w:r>
          </w:p>
          <w:p>
            <w:pPr>
              <w:jc w:val="center"/>
            </w:pPr>
            <w:r>
              <w:rPr>
                <w:rFonts w:ascii="Arial" w:cs="Arial" w:eastAsia="Arial" w:hAnsi="Arial"/>
                <w:b/>
                <w:bCs/>
                <w:sz w:val="20"/>
                <w:szCs w:val="20"/>
              </w:rPr>
              <w:t xml:space="preserve">ATSUR Provenance</w:t>
            </w:r>
          </w:p>
        </w:tc>
        <w:tc>
          <w:tcPr>
            <w:tcW w:type="dxa" w:w="234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jc w:val="center"/>
            </w:pPr>
            <w:r>
              <w:rPr>
                <w:rFonts w:ascii="Arial" w:cs="Arial" w:eastAsia="Arial" w:hAnsi="Arial"/>
                <w:color w:val="777777"/>
                <w:sz w:val="18"/>
                <w:szCs w:val="18"/>
              </w:rPr>
              <w:t xml:space="preserve">Version</w:t>
            </w:r>
          </w:p>
          <w:p>
            <w:pPr>
              <w:jc w:val="center"/>
            </w:pPr>
            <w:r>
              <w:rPr>
                <w:rFonts w:ascii="Arial" w:cs="Arial" w:eastAsia="Arial" w:hAnsi="Arial"/>
                <w:b/>
                <w:bCs/>
                <w:sz w:val="20"/>
                <w:szCs w:val="20"/>
              </w:rPr>
              <w:t xml:space="preserve">registry-onchain v1.0.0</w:t>
            </w:r>
          </w:p>
        </w:tc>
        <w:tc>
          <w:tcPr>
            <w:tcW w:type="dxa" w:w="234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jc w:val="center"/>
            </w:pPr>
            <w:r>
              <w:rPr>
                <w:rFonts w:ascii="Arial" w:cs="Arial" w:eastAsia="Arial" w:hAnsi="Arial"/>
                <w:color w:val="777777"/>
                <w:sz w:val="18"/>
                <w:szCs w:val="18"/>
              </w:rPr>
              <w:t xml:space="preserve">Date</w:t>
            </w:r>
          </w:p>
          <w:p>
            <w:pPr>
              <w:jc w:val="center"/>
            </w:pPr>
            <w:r>
              <w:rPr>
                <w:rFonts w:ascii="Arial" w:cs="Arial" w:eastAsia="Arial" w:hAnsi="Arial"/>
                <w:b/>
                <w:bCs/>
                <w:sz w:val="20"/>
                <w:szCs w:val="20"/>
              </w:rPr>
              <w:t xml:space="preserve">April 13, 2026</w:t>
            </w:r>
          </w:p>
        </w:tc>
        <w:tc>
          <w:tcPr>
            <w:tcW w:type="dxa" w:w="234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jc w:val="center"/>
            </w:pPr>
            <w:r>
              <w:rPr>
                <w:rFonts w:ascii="Arial" w:cs="Arial" w:eastAsia="Arial" w:hAnsi="Arial"/>
                <w:color w:val="777777"/>
                <w:sz w:val="18"/>
                <w:szCs w:val="18"/>
              </w:rPr>
              <w:t xml:space="preserve">Solidity Version</w:t>
            </w:r>
          </w:p>
          <w:p>
            <w:pPr>
              <w:jc w:val="center"/>
            </w:pPr>
            <w:r>
              <w:rPr>
                <w:rFonts w:ascii="Arial" w:cs="Arial" w:eastAsia="Arial" w:hAnsi="Arial"/>
                <w:b/>
                <w:bCs/>
                <w:sz w:val="20"/>
                <w:szCs w:val="20"/>
              </w:rPr>
              <w:t xml:space="preserve">0.8.23 (paris EVM)</w:t>
            </w:r>
          </w:p>
        </w:tc>
      </w:tr>
    </w:tbl>
    <w:p>
      <w:r>
        <w:t xml:space="preserve"/>
      </w:r>
    </w:p>
    <w:p>
      <w:pPr>
        <w:jc w:val="center"/>
      </w:pPr>
      <w:r>
        <w:rPr>
          <w:rFonts w:ascii="Arial" w:cs="Arial" w:eastAsia="Arial" w:hAnsi="Arial"/>
          <w:b/>
          <w:bCs/>
          <w:color w:val="E64A19"/>
          <w:sz w:val="28"/>
          <w:szCs w:val="28"/>
        </w:rPr>
        <w:t xml:space="preserve">VERDICT: </w:t>
      </w:r>
    </w:p>
    <w:p>
      <w:pPr>
        <w:jc w:val="center"/>
      </w:pPr>
      <w:r>
        <w:rPr>
          <w:rFonts w:ascii="Arial" w:cs="Arial" w:eastAsia="Arial" w:hAnsi="Arial"/>
          <w:b/>
          <w:bCs/>
          <w:color w:val="E64A19"/>
          <w:sz w:val="28"/>
          <w:szCs w:val="28"/>
        </w:rPr>
        <w:t xml:space="preserve">REQUEST CHANGES BEFORE MAINNET DEPLOYMENT</w:t>
      </w:r>
    </w:p>
    <w:p>
      <w:r>
        <w:br w:type="page"/>
      </w:r>
    </w:p>
    <w:p>
      <w:pPr>
        <w:pStyle w:val="Heading1"/>
        <w:spacing w:after="160" w:before="320"/>
      </w:pPr>
      <w:r>
        <w:rPr>
          <w:rFonts w:ascii="Arial" w:cs="Arial" w:eastAsia="Arial" w:hAnsi="Arial"/>
          <w:b/>
          <w:bCs/>
          <w:color w:val="1A237E"/>
          <w:sz w:val="32"/>
          <w:szCs w:val="32"/>
        </w:rPr>
        <w:t xml:space="preserve">1. Executive Summary</w:t>
      </w:r>
    </w:p>
    <w:p>
      <w:pPr>
        <w:spacing w:after="60" w:before="60"/>
      </w:pPr>
      <w:r>
        <w:rPr>
          <w:rFonts w:ascii="Arial" w:cs="Arial" w:eastAsia="Arial" w:hAnsi="Arial"/>
          <w:sz w:val="22"/>
          <w:szCs w:val="22"/>
        </w:rPr>
        <w:t xml:space="preserve">ATSUR Technologies engaged this internal security review team to perform a pre-deployment smart contract audit of the registry-onchain project before going live on Lisk and Polygon mainnets. The codebase is purpose-built for on-chain provenance anchoring of artworks and cultural assets, using a UUPS upgradeable proxy architecture backed by Merkle proofs and Arweave-referenced event storage.</w:t>
      </w:r>
    </w:p>
    <w:p>
      <w:r>
        <w:t xml:space="preserve"/>
      </w:r>
    </w:p>
    <w:p>
      <w:pPr>
        <w:spacing w:after="60" w:before="60"/>
      </w:pPr>
      <w:r>
        <w:rPr>
          <w:rFonts w:ascii="Arial" w:cs="Arial" w:eastAsia="Arial" w:hAnsi="Arial"/>
          <w:sz w:val="22"/>
          <w:szCs w:val="22"/>
        </w:rPr>
        <w:t xml:space="preserve">The review covered 1,164 lines of Solidity across two core contracts, 12 deployment and utility scripts, all configuration files, environment variables, and the dependency tree. The overall quality of the code is high — OpenZeppelin foundations are used correctly, access control is layered thoughtfully, and the Merkle anchoring design is sound. However, several issues ranging from HIGH to MEDIUM severity must be resolved before mainnet deployment.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C00000" w:val="clear"/>
            <w:tcMar>
              <w:top w:type="dxa" w:w="120"/>
              <w:left w:type="dxa" w:w="120"/>
              <w:bottom w:type="dxa" w:w="120"/>
              <w:right w:type="dxa" w:w="120"/>
            </w:tcMar>
          </w:tcPr>
          <w:p>
            <w:pPr>
              <w:jc w:val="center"/>
            </w:pPr>
            <w:r>
              <w:rPr>
                <w:rFonts w:ascii="Arial" w:cs="Arial" w:eastAsia="Arial" w:hAnsi="Arial"/>
                <w:b/>
                <w:bCs/>
                <w:color w:val="FFFFFF"/>
                <w:sz w:val="64"/>
                <w:szCs w:val="64"/>
              </w:rPr>
              <w:t xml:space="preserve">0</w:t>
            </w:r>
          </w:p>
          <w:p>
            <w:pPr>
              <w:jc w:val="center"/>
            </w:pPr>
            <w:r>
              <w:rPr>
                <w:rFonts w:ascii="Arial" w:cs="Arial" w:eastAsia="Arial" w:hAnsi="Arial"/>
                <w:b/>
                <w:bCs/>
                <w:color w:val="FFFFFF"/>
                <w:sz w:val="20"/>
                <w:szCs w:val="20"/>
              </w:rPr>
              <w:t xml:space="preserve">CRITICAL</w:t>
            </w:r>
          </w:p>
        </w:tc>
        <w:tc>
          <w:tcPr>
            <w:tcW w:type="dxa" w:w="1872"/>
            <w:tcBorders>
              <w:top w:val="single" w:color="CCCCCC" w:sz="1"/>
              <w:left w:val="single" w:color="CCCCCC" w:sz="1"/>
              <w:bottom w:val="single" w:color="CCCCCC" w:sz="1"/>
              <w:right w:val="single" w:color="CCCCCC" w:sz="1"/>
            </w:tcBorders>
            <w:shd w:fill="E64A19" w:val="clear"/>
            <w:tcMar>
              <w:top w:type="dxa" w:w="120"/>
              <w:left w:type="dxa" w:w="120"/>
              <w:bottom w:type="dxa" w:w="120"/>
              <w:right w:type="dxa" w:w="120"/>
            </w:tcMar>
          </w:tcPr>
          <w:p>
            <w:pPr>
              <w:jc w:val="center"/>
            </w:pPr>
            <w:r>
              <w:rPr>
                <w:rFonts w:ascii="Arial" w:cs="Arial" w:eastAsia="Arial" w:hAnsi="Arial"/>
                <w:b/>
                <w:bCs/>
                <w:color w:val="FFFFFF"/>
                <w:sz w:val="64"/>
                <w:szCs w:val="64"/>
              </w:rPr>
              <w:t xml:space="preserve">3</w:t>
            </w:r>
          </w:p>
          <w:p>
            <w:pPr>
              <w:jc w:val="center"/>
            </w:pPr>
            <w:r>
              <w:rPr>
                <w:rFonts w:ascii="Arial" w:cs="Arial" w:eastAsia="Arial" w:hAnsi="Arial"/>
                <w:b/>
                <w:bCs/>
                <w:color w:val="FFFFFF"/>
                <w:sz w:val="20"/>
                <w:szCs w:val="20"/>
              </w:rPr>
              <w:t xml:space="preserve">HIGH</w:t>
            </w:r>
          </w:p>
        </w:tc>
        <w:tc>
          <w:tcPr>
            <w:tcW w:type="dxa" w:w="1872"/>
            <w:tcBorders>
              <w:top w:val="single" w:color="CCCCCC" w:sz="1"/>
              <w:left w:val="single" w:color="CCCCCC" w:sz="1"/>
              <w:bottom w:val="single" w:color="CCCCCC" w:sz="1"/>
              <w:right w:val="single" w:color="CCCCCC" w:sz="1"/>
            </w:tcBorders>
            <w:shd w:fill="F9A825" w:val="clear"/>
            <w:tcMar>
              <w:top w:type="dxa" w:w="120"/>
              <w:left w:type="dxa" w:w="120"/>
              <w:bottom w:type="dxa" w:w="120"/>
              <w:right w:type="dxa" w:w="120"/>
            </w:tcMar>
          </w:tcPr>
          <w:p>
            <w:pPr>
              <w:jc w:val="center"/>
            </w:pPr>
            <w:r>
              <w:rPr>
                <w:rFonts w:ascii="Arial" w:cs="Arial" w:eastAsia="Arial" w:hAnsi="Arial"/>
                <w:b/>
                <w:bCs/>
                <w:color w:val="FFFFFF"/>
                <w:sz w:val="64"/>
                <w:szCs w:val="64"/>
              </w:rPr>
              <w:t xml:space="preserve">7</w:t>
            </w:r>
          </w:p>
          <w:p>
            <w:pPr>
              <w:jc w:val="center"/>
            </w:pPr>
            <w:r>
              <w:rPr>
                <w:rFonts w:ascii="Arial" w:cs="Arial" w:eastAsia="Arial" w:hAnsi="Arial"/>
                <w:b/>
                <w:bCs/>
                <w:color w:val="FFFFFF"/>
                <w:sz w:val="20"/>
                <w:szCs w:val="20"/>
              </w:rPr>
              <w:t xml:space="preserve">MEDIUM</w:t>
            </w:r>
          </w:p>
        </w:tc>
        <w:tc>
          <w:tcPr>
            <w:tcW w:type="dxa" w:w="1872"/>
            <w:tcBorders>
              <w:top w:val="single" w:color="CCCCCC" w:sz="1"/>
              <w:left w:val="single" w:color="CCCCCC" w:sz="1"/>
              <w:bottom w:val="single" w:color="CCCCCC" w:sz="1"/>
              <w:right w:val="single" w:color="CCCCCC" w:sz="1"/>
            </w:tcBorders>
            <w:shd w:fill="1565C0" w:val="clear"/>
            <w:tcMar>
              <w:top w:type="dxa" w:w="120"/>
              <w:left w:type="dxa" w:w="120"/>
              <w:bottom w:type="dxa" w:w="120"/>
              <w:right w:type="dxa" w:w="120"/>
            </w:tcMar>
          </w:tcPr>
          <w:p>
            <w:pPr>
              <w:jc w:val="center"/>
            </w:pPr>
            <w:r>
              <w:rPr>
                <w:rFonts w:ascii="Arial" w:cs="Arial" w:eastAsia="Arial" w:hAnsi="Arial"/>
                <w:b/>
                <w:bCs/>
                <w:color w:val="FFFFFF"/>
                <w:sz w:val="64"/>
                <w:szCs w:val="64"/>
              </w:rPr>
              <w:t xml:space="preserve">6</w:t>
            </w:r>
          </w:p>
          <w:p>
            <w:pPr>
              <w:jc w:val="center"/>
            </w:pPr>
            <w:r>
              <w:rPr>
                <w:rFonts w:ascii="Arial" w:cs="Arial" w:eastAsia="Arial" w:hAnsi="Arial"/>
                <w:b/>
                <w:bCs/>
                <w:color w:val="FFFFFF"/>
                <w:sz w:val="20"/>
                <w:szCs w:val="20"/>
              </w:rPr>
              <w:t xml:space="preserve">LOW</w:t>
            </w:r>
          </w:p>
        </w:tc>
        <w:tc>
          <w:tcPr>
            <w:tcW w:type="dxa" w:w="1872"/>
            <w:tcBorders>
              <w:top w:val="single" w:color="CCCCCC" w:sz="1"/>
              <w:left w:val="single" w:color="CCCCCC" w:sz="1"/>
              <w:bottom w:val="single" w:color="CCCCCC" w:sz="1"/>
              <w:right w:val="single" w:color="CCCCCC" w:sz="1"/>
            </w:tcBorders>
            <w:shd w:fill="388E3C" w:val="clear"/>
            <w:tcMar>
              <w:top w:type="dxa" w:w="120"/>
              <w:left w:type="dxa" w:w="120"/>
              <w:bottom w:type="dxa" w:w="120"/>
              <w:right w:type="dxa" w:w="120"/>
            </w:tcMar>
          </w:tcPr>
          <w:p>
            <w:pPr>
              <w:jc w:val="center"/>
            </w:pPr>
            <w:r>
              <w:rPr>
                <w:rFonts w:ascii="Arial" w:cs="Arial" w:eastAsia="Arial" w:hAnsi="Arial"/>
                <w:b/>
                <w:bCs/>
                <w:color w:val="FFFFFF"/>
                <w:sz w:val="64"/>
                <w:szCs w:val="64"/>
              </w:rPr>
              <w:t xml:space="preserve">4</w:t>
            </w:r>
          </w:p>
          <w:p>
            <w:pPr>
              <w:jc w:val="center"/>
            </w:pPr>
            <w:r>
              <w:rPr>
                <w:rFonts w:ascii="Arial" w:cs="Arial" w:eastAsia="Arial" w:hAnsi="Arial"/>
                <w:b/>
                <w:bCs/>
                <w:color w:val="FFFFFF"/>
                <w:sz w:val="20"/>
                <w:szCs w:val="20"/>
              </w:rPr>
              <w:t xml:space="preserve">INFO</w:t>
            </w:r>
          </w:p>
        </w:tc>
      </w:tr>
    </w:tbl>
    <w:p>
      <w:r>
        <w:t xml:space="preserve"/>
      </w:r>
    </w:p>
    <w:p>
      <w:pPr>
        <w:spacing w:after="60" w:before="60"/>
      </w:pPr>
      <w:r>
        <w:rPr>
          <w:rFonts w:ascii="Arial" w:cs="Arial" w:eastAsia="Arial" w:hAnsi="Arial"/>
          <w:sz w:val="22"/>
          <w:szCs w:val="22"/>
        </w:rPr>
        <w:t xml:space="preserve">The three HIGH severity findings are: (1) a ghost-actor bypass in the _requireActiveActor() check that allows events to be emitted for non-existent actors, (2) a missing multisig for the DEFAULT_ADMIN_ROLE that currently sits with a deployer EOA, and (3) a commented-out private key in the .env file that may belong to a real testnet account. All three must be resolved before mainnet.</w:t>
      </w:r>
    </w:p>
    <w:p>
      <w:r>
        <w:br w:type="page"/>
      </w:r>
    </w:p>
    <w:p>
      <w:pPr>
        <w:pStyle w:val="Heading1"/>
        <w:spacing w:after="160" w:before="320"/>
      </w:pPr>
      <w:r>
        <w:rPr>
          <w:rFonts w:ascii="Arial" w:cs="Arial" w:eastAsia="Arial" w:hAnsi="Arial"/>
          <w:b/>
          <w:bCs/>
          <w:color w:val="1A237E"/>
          <w:sz w:val="32"/>
          <w:szCs w:val="32"/>
        </w:rPr>
        <w:t xml:space="preserve">2. Scope &amp; Methodology</w:t>
      </w:r>
    </w:p>
    <w:p>
      <w:pPr>
        <w:pStyle w:val="Heading2"/>
        <w:spacing w:after="120" w:before="240"/>
      </w:pPr>
      <w:r>
        <w:rPr>
          <w:rFonts w:ascii="Arial" w:cs="Arial" w:eastAsia="Arial" w:hAnsi="Arial"/>
          <w:b/>
          <w:bCs/>
          <w:color w:val="283593"/>
          <w:sz w:val="26"/>
          <w:szCs w:val="26"/>
        </w:rPr>
        <w:t xml:space="preserve">2.1 Contracts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Contract</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Lines</w:t>
            </w:r>
          </w:p>
        </w:tc>
        <w:tc>
          <w:tcPr>
            <w:tcW w:type="dxa" w:w="4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contracts/AtsurActorRegistry.sol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574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On-chain KYC identity registry with two-tier actor model, wallet linking, and verifier delegation.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contracts/AtsurProvenance.sol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590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Merkle-root anchoring for CIDOC-CRM provenance batches. Integrates AtsurActorRegistry for submitter validation.</w:t>
            </w:r>
          </w:p>
        </w:tc>
      </w:tr>
    </w:tbl>
    <w:p>
      <w:r>
        <w:t xml:space="preserve"/>
      </w:r>
    </w:p>
    <w:p>
      <w:pPr>
        <w:pStyle w:val="Heading2"/>
        <w:spacing w:after="120" w:before="240"/>
      </w:pPr>
      <w:r>
        <w:rPr>
          <w:rFonts w:ascii="Arial" w:cs="Arial" w:eastAsia="Arial" w:hAnsi="Arial"/>
          <w:b/>
          <w:bCs/>
          <w:color w:val="283593"/>
          <w:sz w:val="26"/>
          <w:szCs w:val="26"/>
        </w:rPr>
        <w:t xml:space="preserve">2.2 Additional Files Reviewed</w:t>
      </w:r>
    </w:p>
    <w:p>
      <w:pPr>
        <w:pStyle w:val="ListParagraph"/>
        <w:numPr>
          <w:ilvl w:val="0"/>
          <w:numId w:val="2"/>
        </w:numPr>
        <w:spacing w:after="40" w:before="40"/>
        <w:ind w:left="720" w:hanging="360"/>
      </w:pPr>
      <w:r>
        <w:rPr>
          <w:rFonts w:ascii="Arial" w:cs="Arial" w:eastAsia="Arial" w:hAnsi="Arial"/>
          <w:sz w:val="22"/>
          <w:szCs w:val="22"/>
        </w:rPr>
        <w:t xml:space="preserve">scripts/deployAll.js, grantRoles.js, syncDeployment.js, IdentityCommitmentService.js</w:t>
      </w:r>
    </w:p>
    <w:p>
      <w:pPr>
        <w:pStyle w:val="ListParagraph"/>
        <w:numPr>
          <w:ilvl w:val="0"/>
          <w:numId w:val="2"/>
        </w:numPr>
        <w:spacing w:after="40" w:before="40"/>
        <w:ind w:left="720" w:hanging="360"/>
      </w:pPr>
      <w:r>
        <w:rPr>
          <w:rFonts w:ascii="Arial" w:cs="Arial" w:eastAsia="Arial" w:hAnsi="Arial"/>
          <w:sz w:val="22"/>
          <w:szCs w:val="22"/>
        </w:rPr>
        <w:t xml:space="preserve">hardhat.config.js, foundry.toml, package.json, .gitmodules</w:t>
      </w:r>
    </w:p>
    <w:p>
      <w:pPr>
        <w:pStyle w:val="ListParagraph"/>
        <w:numPr>
          <w:ilvl w:val="0"/>
          <w:numId w:val="2"/>
        </w:numPr>
        <w:spacing w:after="40" w:before="40"/>
        <w:ind w:left="720" w:hanging="360"/>
      </w:pPr>
      <w:r>
        <w:rPr>
          <w:rFonts w:ascii="Arial" w:cs="Arial" w:eastAsia="Arial" w:hAnsi="Arial"/>
          <w:sz w:val="22"/>
          <w:szCs w:val="22"/>
        </w:rPr>
        <w:t xml:space="preserve">.env (environment configuration and secret management)</w:t>
      </w:r>
    </w:p>
    <w:p>
      <w:pPr>
        <w:pStyle w:val="ListParagraph"/>
        <w:numPr>
          <w:ilvl w:val="0"/>
          <w:numId w:val="2"/>
        </w:numPr>
        <w:spacing w:after="40" w:before="40"/>
        <w:ind w:left="720" w:hanging="360"/>
      </w:pPr>
      <w:r>
        <w:rPr>
          <w:rFonts w:ascii="Arial" w:cs="Arial" w:eastAsia="Arial" w:hAnsi="Arial"/>
          <w:sz w:val="22"/>
          <w:szCs w:val="22"/>
        </w:rPr>
        <w:t xml:space="preserve">test/AtsurActorRegistry.test.js, test/AtsurProvenance.test.js</w:t>
      </w:r>
    </w:p>
    <w:p>
      <w:pPr>
        <w:pStyle w:val="ListParagraph"/>
        <w:numPr>
          <w:ilvl w:val="0"/>
          <w:numId w:val="2"/>
        </w:numPr>
        <w:spacing w:after="40" w:before="40"/>
        <w:ind w:left="720" w:hanging="360"/>
      </w:pPr>
      <w:r>
        <w:rPr>
          <w:rFonts w:ascii="Arial" w:cs="Arial" w:eastAsia="Arial" w:hAnsi="Arial"/>
          <w:sz w:val="22"/>
          <w:szCs w:val="22"/>
        </w:rPr>
        <w:t xml:space="preserve">test/foundry/AtsurActorRegistry.t.sol, test/foundry/AtsurProvenance.t.sol</w:t>
      </w:r>
    </w:p>
    <w:p>
      <w:pPr>
        <w:pStyle w:val="ListParagraph"/>
        <w:numPr>
          <w:ilvl w:val="0"/>
          <w:numId w:val="2"/>
        </w:numPr>
        <w:spacing w:after="40" w:before="40"/>
        <w:ind w:left="720" w:hanging="360"/>
      </w:pPr>
      <w:r>
        <w:rPr>
          <w:rFonts w:ascii="Arial" w:cs="Arial" w:eastAsia="Arial" w:hAnsi="Arial"/>
          <w:sz w:val="22"/>
          <w:szCs w:val="22"/>
        </w:rPr>
        <w:t xml:space="preserve">dev-docs/SECURITY.md, DEPLOYMENT.md, MULTISIG.md, GAS_OPTIMIZATION.md</w:t>
      </w:r>
    </w:p>
    <w:p>
      <w:r>
        <w:t xml:space="preserve"/>
      </w:r>
    </w:p>
    <w:p>
      <w:pPr>
        <w:pStyle w:val="Heading2"/>
        <w:spacing w:after="120" w:before="240"/>
      </w:pPr>
      <w:r>
        <w:rPr>
          <w:rFonts w:ascii="Arial" w:cs="Arial" w:eastAsia="Arial" w:hAnsi="Arial"/>
          <w:b/>
          <w:bCs/>
          <w:color w:val="283593"/>
          <w:sz w:val="26"/>
          <w:szCs w:val="26"/>
        </w:rPr>
        <w:t xml:space="preserve">2.3 Methodology</w:t>
      </w:r>
    </w:p>
    <w:p>
      <w:pPr>
        <w:spacing w:after="60" w:before="60"/>
      </w:pPr>
      <w:r>
        <w:rPr>
          <w:rFonts w:ascii="Arial" w:cs="Arial" w:eastAsia="Arial" w:hAnsi="Arial"/>
          <w:sz w:val="22"/>
          <w:szCs w:val="22"/>
        </w:rPr>
        <w:t xml:space="preserve">The audit applied the following techniques across all reviewed files:</w:t>
      </w:r>
    </w:p>
    <w:p>
      <w:pPr>
        <w:pStyle w:val="ListParagraph"/>
        <w:numPr>
          <w:ilvl w:val="0"/>
          <w:numId w:val="2"/>
        </w:numPr>
        <w:spacing w:after="40" w:before="40"/>
        <w:ind w:left="720" w:hanging="360"/>
      </w:pPr>
      <w:r>
        <w:rPr>
          <w:rFonts w:ascii="Arial" w:cs="Arial" w:eastAsia="Arial" w:hAnsi="Arial"/>
          <w:sz w:val="22"/>
          <w:szCs w:val="22"/>
        </w:rPr>
        <w:t xml:space="preserve">Manual line-by-line code review of all Solidity contracts</w:t>
      </w:r>
    </w:p>
    <w:p>
      <w:pPr>
        <w:pStyle w:val="ListParagraph"/>
        <w:numPr>
          <w:ilvl w:val="0"/>
          <w:numId w:val="2"/>
        </w:numPr>
        <w:spacing w:after="40" w:before="40"/>
        <w:ind w:left="720" w:hanging="360"/>
      </w:pPr>
      <w:r>
        <w:rPr>
          <w:rFonts w:ascii="Arial" w:cs="Arial" w:eastAsia="Arial" w:hAnsi="Arial"/>
          <w:sz w:val="22"/>
          <w:szCs w:val="22"/>
        </w:rPr>
        <w:t xml:space="preserve">OWASP Smart Contract Top 10 vulnerability checklist</w:t>
      </w:r>
    </w:p>
    <w:p>
      <w:pPr>
        <w:pStyle w:val="ListParagraph"/>
        <w:numPr>
          <w:ilvl w:val="0"/>
          <w:numId w:val="2"/>
        </w:numPr>
        <w:spacing w:after="40" w:before="40"/>
        <w:ind w:left="720" w:hanging="360"/>
      </w:pPr>
      <w:r>
        <w:rPr>
          <w:rFonts w:ascii="Arial" w:cs="Arial" w:eastAsia="Arial" w:hAnsi="Arial"/>
          <w:sz w:val="22"/>
          <w:szCs w:val="22"/>
        </w:rPr>
        <w:t xml:space="preserve">Reentrancy, integer overflow/underflow, and access control pattern analysis</w:t>
      </w:r>
    </w:p>
    <w:p>
      <w:pPr>
        <w:pStyle w:val="ListParagraph"/>
        <w:numPr>
          <w:ilvl w:val="0"/>
          <w:numId w:val="2"/>
        </w:numPr>
        <w:spacing w:after="40" w:before="40"/>
        <w:ind w:left="720" w:hanging="360"/>
      </w:pPr>
      <w:r>
        <w:rPr>
          <w:rFonts w:ascii="Arial" w:cs="Arial" w:eastAsia="Arial" w:hAnsi="Arial"/>
          <w:sz w:val="22"/>
          <w:szCs w:val="22"/>
        </w:rPr>
        <w:t xml:space="preserve">UUPS proxy storage layout and upgrade safety verification</w:t>
      </w:r>
    </w:p>
    <w:p>
      <w:pPr>
        <w:pStyle w:val="ListParagraph"/>
        <w:numPr>
          <w:ilvl w:val="0"/>
          <w:numId w:val="2"/>
        </w:numPr>
        <w:spacing w:after="40" w:before="40"/>
        <w:ind w:left="720" w:hanging="360"/>
      </w:pPr>
      <w:r>
        <w:rPr>
          <w:rFonts w:ascii="Arial" w:cs="Arial" w:eastAsia="Arial" w:hAnsi="Arial"/>
          <w:sz w:val="22"/>
          <w:szCs w:val="22"/>
        </w:rPr>
        <w:t xml:space="preserve">Deployment script logic and secrets management review</w:t>
      </w:r>
    </w:p>
    <w:p>
      <w:pPr>
        <w:pStyle w:val="ListParagraph"/>
        <w:numPr>
          <w:ilvl w:val="0"/>
          <w:numId w:val="2"/>
        </w:numPr>
        <w:spacing w:after="40" w:before="40"/>
        <w:ind w:left="720" w:hanging="360"/>
      </w:pPr>
      <w:r>
        <w:rPr>
          <w:rFonts w:ascii="Arial" w:cs="Arial" w:eastAsia="Arial" w:hAnsi="Arial"/>
          <w:sz w:val="22"/>
          <w:szCs w:val="22"/>
        </w:rPr>
        <w:t xml:space="preserve">Dependency version review against known CVE databases</w:t>
      </w:r>
    </w:p>
    <w:p>
      <w:pPr>
        <w:pStyle w:val="ListParagraph"/>
        <w:numPr>
          <w:ilvl w:val="0"/>
          <w:numId w:val="2"/>
        </w:numPr>
        <w:spacing w:after="40" w:before="40"/>
        <w:ind w:left="720" w:hanging="360"/>
      </w:pPr>
      <w:r>
        <w:rPr>
          <w:rFonts w:ascii="Arial" w:cs="Arial" w:eastAsia="Arial" w:hAnsi="Arial"/>
          <w:sz w:val="22"/>
          <w:szCs w:val="22"/>
        </w:rPr>
        <w:t xml:space="preserve">Configuration review: env vars, network settings, role assignments</w:t>
      </w:r>
    </w:p>
    <w:p>
      <w:r>
        <w:br w:type="page"/>
      </w:r>
    </w:p>
    <w:p>
      <w:pPr>
        <w:pStyle w:val="Heading1"/>
        <w:spacing w:after="160" w:before="320"/>
      </w:pPr>
      <w:r>
        <w:rPr>
          <w:rFonts w:ascii="Arial" w:cs="Arial" w:eastAsia="Arial" w:hAnsi="Arial"/>
          <w:b/>
          <w:bCs/>
          <w:color w:val="1A237E"/>
          <w:sz w:val="32"/>
          <w:szCs w:val="32"/>
        </w:rPr>
        <w:t xml:space="preserve">3.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200"/>
        <w:gridCol w:w="4960"/>
      </w:tblGrid>
      <w:tr>
        <w:trPr>
          <w:tblHeader/>
        </w:trPr>
        <w:tc>
          <w:tcPr>
            <w:tcW w:type="dxa" w:w="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1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Location</w:t>
            </w:r>
          </w:p>
        </w:tc>
        <w:tc>
          <w:tcPr>
            <w:tcW w:type="dxa" w:w="49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Title</w:t>
            </w:r>
          </w:p>
        </w:tc>
      </w:tr>
      <w:tr>
        <w:tc>
          <w:tcPr>
            <w:tcW w:type="dxa" w:w="6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jc w:val="center"/>
            </w:pPr>
            <w:r>
              <w:rPr>
                <w:rFonts w:ascii="Arial" w:cs="Arial" w:eastAsia="Arial" w:hAnsi="Arial"/>
                <w:b/>
                <w:bCs/>
                <w:sz w:val="20"/>
                <w:szCs w:val="20"/>
              </w:rPr>
              <w:t xml:space="preserve">H-01</w:t>
            </w:r>
          </w:p>
        </w:tc>
        <w:tc>
          <w:tcPr>
            <w:tcW w:type="dxa" w:w="1500"/>
            <w:tcBorders>
              <w:top w:val="single" w:color="CCCCCC" w:sz="1"/>
              <w:left w:val="single" w:color="CCCCCC" w:sz="1"/>
              <w:bottom w:val="single" w:color="CCCCCC" w:sz="1"/>
              <w:right w:val="single" w:color="CCCCCC" w:sz="1"/>
            </w:tcBorders>
            <w:shd w:fill="E64A1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22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Courier New" w:cs="Courier New" w:eastAsia="Courier New" w:hAnsi="Courier New"/>
                <w:color w:val="333333"/>
                <w:sz w:val="18"/>
                <w:szCs w:val="18"/>
              </w:rPr>
              <w:t xml:space="preserve">AtsurProvenance.sol:555</w:t>
            </w:r>
          </w:p>
        </w:tc>
        <w:tc>
          <w:tcPr>
            <w:tcW w:type="dxa" w:w="49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Arial" w:cs="Arial" w:eastAsia="Arial" w:hAnsi="Arial"/>
                <w:b/>
                <w:bCs/>
                <w:sz w:val="20"/>
                <w:szCs w:val="20"/>
              </w:rPr>
              <w:t xml:space="preserve">Ghost-Actor Bypass in _requireActiveActor() — Non-existent actors pass as Active</w:t>
            </w:r>
          </w:p>
          <w:p>
            <w:pPr>
              <w:spacing w:before="60"/>
            </w:pPr>
            <w:r>
              <w:rPr>
                <w:rFonts w:ascii="Arial" w:cs="Arial" w:eastAsia="Arial" w:hAnsi="Arial"/>
                <w:color w:val="444444"/>
                <w:sz w:val="18"/>
                <w:szCs w:val="18"/>
              </w:rPr>
            </w:r>
          </w:p>
        </w:tc>
      </w:tr>
      <w:tr>
        <w:tc>
          <w:tcPr>
            <w:tcW w:type="dxa" w:w="6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jc w:val="center"/>
            </w:pPr>
            <w:r>
              <w:rPr>
                <w:rFonts w:ascii="Arial" w:cs="Arial" w:eastAsia="Arial" w:hAnsi="Arial"/>
                <w:b/>
                <w:bCs/>
                <w:sz w:val="20"/>
                <w:szCs w:val="20"/>
              </w:rPr>
              <w:t xml:space="preserve">H-02</w:t>
            </w:r>
          </w:p>
        </w:tc>
        <w:tc>
          <w:tcPr>
            <w:tcW w:type="dxa" w:w="1500"/>
            <w:tcBorders>
              <w:top w:val="single" w:color="CCCCCC" w:sz="1"/>
              <w:left w:val="single" w:color="CCCCCC" w:sz="1"/>
              <w:bottom w:val="single" w:color="CCCCCC" w:sz="1"/>
              <w:right w:val="single" w:color="CCCCCC" w:sz="1"/>
            </w:tcBorders>
            <w:shd w:fill="E64A1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22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Courier New" w:cs="Courier New" w:eastAsia="Courier New" w:hAnsi="Courier New"/>
                <w:color w:val="333333"/>
                <w:sz w:val="18"/>
                <w:szCs w:val="18"/>
              </w:rPr>
              <w:t xml:space="preserve">.env + deployAll.js</w:t>
            </w:r>
          </w:p>
        </w:tc>
        <w:tc>
          <w:tcPr>
            <w:tcW w:type="dxa" w:w="49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Arial" w:cs="Arial" w:eastAsia="Arial" w:hAnsi="Arial"/>
                <w:b/>
                <w:bCs/>
                <w:sz w:val="20"/>
                <w:szCs w:val="20"/>
              </w:rPr>
              <w:t xml:space="preserve">MULTISIG_ADDRESS Not Configured — Admin Role Held by Deployer EOA</w:t>
            </w:r>
          </w:p>
          <w:p>
            <w:pPr>
              <w:spacing w:before="60"/>
            </w:pPr>
            <w:r>
              <w:rPr>
                <w:rFonts w:ascii="Arial" w:cs="Arial" w:eastAsia="Arial" w:hAnsi="Arial"/>
                <w:color w:val="444444"/>
                <w:sz w:val="18"/>
                <w:szCs w:val="18"/>
              </w:rPr>
            </w:r>
          </w:p>
        </w:tc>
      </w:tr>
      <w:tr>
        <w:tc>
          <w:tcPr>
            <w:tcW w:type="dxa" w:w="6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jc w:val="center"/>
            </w:pPr>
            <w:r>
              <w:rPr>
                <w:rFonts w:ascii="Arial" w:cs="Arial" w:eastAsia="Arial" w:hAnsi="Arial"/>
                <w:b/>
                <w:bCs/>
                <w:sz w:val="20"/>
                <w:szCs w:val="20"/>
              </w:rPr>
              <w:t xml:space="preserve">H-03</w:t>
            </w:r>
          </w:p>
        </w:tc>
        <w:tc>
          <w:tcPr>
            <w:tcW w:type="dxa" w:w="1500"/>
            <w:tcBorders>
              <w:top w:val="single" w:color="CCCCCC" w:sz="1"/>
              <w:left w:val="single" w:color="CCCCCC" w:sz="1"/>
              <w:bottom w:val="single" w:color="CCCCCC" w:sz="1"/>
              <w:right w:val="single" w:color="CCCCCC" w:sz="1"/>
            </w:tcBorders>
            <w:shd w:fill="E64A1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22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Courier New" w:cs="Courier New" w:eastAsia="Courier New" w:hAnsi="Courier New"/>
                <w:color w:val="333333"/>
                <w:sz w:val="18"/>
                <w:szCs w:val="18"/>
              </w:rPr>
              <w:t xml:space="preserve">.env:3</w:t>
            </w:r>
          </w:p>
        </w:tc>
        <w:tc>
          <w:tcPr>
            <w:tcW w:type="dxa" w:w="49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Arial" w:cs="Arial" w:eastAsia="Arial" w:hAnsi="Arial"/>
                <w:b/>
                <w:bCs/>
                <w:sz w:val="20"/>
                <w:szCs w:val="20"/>
              </w:rPr>
              <w:t xml:space="preserve">Commented-Out Private Key May Be a Real Testnet Key</w:t>
            </w:r>
          </w:p>
          <w:p>
            <w:pPr>
              <w:spacing w:before="60"/>
            </w:pPr>
            <w:r>
              <w:rPr>
                <w:rFonts w:ascii="Arial" w:cs="Arial" w:eastAsia="Arial" w:hAnsi="Arial"/>
                <w:color w:val="444444"/>
                <w:sz w:val="18"/>
                <w:szCs w:val="18"/>
              </w:rPr>
            </w:r>
          </w:p>
        </w:tc>
      </w:tr>
      <w:tr>
        <w:tc>
          <w:tcPr>
            <w:tcW w:type="dxa" w:w="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sz w:val="20"/>
                <w:szCs w:val="20"/>
              </w:rPr>
              <w:t xml:space="preserve">M-01</w:t>
            </w:r>
          </w:p>
        </w:tc>
        <w:tc>
          <w:tcPr>
            <w:tcW w:type="dxa" w:w="15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2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Courier New" w:cs="Courier New" w:eastAsia="Courier New" w:hAnsi="Courier New"/>
                <w:color w:val="333333"/>
                <w:sz w:val="18"/>
                <w:szCs w:val="18"/>
              </w:rPr>
              <w:t xml:space="preserve">AtsurProvenance.sol:296</w:t>
            </w:r>
          </w:p>
        </w:tc>
        <w:tc>
          <w:tcPr>
            <w:tcW w:type="dxa" w:w="4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sz w:val="20"/>
                <w:szCs w:val="20"/>
              </w:rPr>
              <w:t xml:space="preserve">anchorBatch() Checks actorExists but Not actorStatus — Suspended Submitters Can Commit Batches</w:t>
            </w:r>
          </w:p>
          <w:p>
            <w:pPr>
              <w:spacing w:before="60"/>
            </w:pPr>
            <w:r>
              <w:rPr>
                <w:rFonts w:ascii="Arial" w:cs="Arial" w:eastAsia="Arial" w:hAnsi="Arial"/>
                <w:color w:val="444444"/>
                <w:sz w:val="18"/>
                <w:szCs w:val="18"/>
              </w:rPr>
            </w:r>
          </w:p>
        </w:tc>
      </w:tr>
      <w:tr>
        <w:tc>
          <w:tcPr>
            <w:tcW w:type="dxa" w:w="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sz w:val="20"/>
                <w:szCs w:val="20"/>
              </w:rPr>
              <w:t xml:space="preserve">M-02</w:t>
            </w:r>
          </w:p>
        </w:tc>
        <w:tc>
          <w:tcPr>
            <w:tcW w:type="dxa" w:w="15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2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Courier New" w:cs="Courier New" w:eastAsia="Courier New" w:hAnsi="Courier New"/>
                <w:color w:val="333333"/>
                <w:sz w:val="18"/>
                <w:szCs w:val="18"/>
              </w:rPr>
              <w:t xml:space="preserve">AtsurProvenance.sol:116</w:t>
            </w:r>
          </w:p>
        </w:tc>
        <w:tc>
          <w:tcPr>
            <w:tcW w:type="dxa" w:w="4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sz w:val="20"/>
                <w:szCs w:val="20"/>
              </w:rPr>
              <w:t xml:space="preserve">Custom Reentrancy Guard — Storage Slot Collision Risk Across UUPS Upgrades</w:t>
            </w:r>
          </w:p>
          <w:p>
            <w:pPr>
              <w:spacing w:before="60"/>
            </w:pPr>
            <w:r>
              <w:rPr>
                <w:rFonts w:ascii="Arial" w:cs="Arial" w:eastAsia="Arial" w:hAnsi="Arial"/>
                <w:color w:val="444444"/>
                <w:sz w:val="18"/>
                <w:szCs w:val="18"/>
              </w:rPr>
            </w:r>
          </w:p>
        </w:tc>
      </w:tr>
      <w:tr>
        <w:tc>
          <w:tcPr>
            <w:tcW w:type="dxa" w:w="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sz w:val="20"/>
                <w:szCs w:val="20"/>
              </w:rPr>
              <w:t xml:space="preserve">M-03</w:t>
            </w:r>
          </w:p>
        </w:tc>
        <w:tc>
          <w:tcPr>
            <w:tcW w:type="dxa" w:w="15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2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Courier New" w:cs="Courier New" w:eastAsia="Courier New" w:hAnsi="Courier New"/>
                <w:color w:val="333333"/>
                <w:sz w:val="18"/>
                <w:szCs w:val="18"/>
              </w:rPr>
              <w:t xml:space="preserve">AtsurProvenance.sol:470</w:t>
            </w:r>
          </w:p>
        </w:tc>
        <w:tc>
          <w:tcPr>
            <w:tcW w:type="dxa" w:w="4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sz w:val="20"/>
                <w:szCs w:val="20"/>
              </w:rPr>
              <w:t xml:space="preserve">verifyProof() Is Unguarded — Anyone Can Emit Misleading ProofVerified Events</w:t>
            </w:r>
          </w:p>
          <w:p>
            <w:pPr>
              <w:spacing w:before="60"/>
            </w:pPr>
            <w:r>
              <w:rPr>
                <w:rFonts w:ascii="Arial" w:cs="Arial" w:eastAsia="Arial" w:hAnsi="Arial"/>
                <w:color w:val="444444"/>
                <w:sz w:val="18"/>
                <w:szCs w:val="18"/>
              </w:rPr>
            </w:r>
          </w:p>
        </w:tc>
      </w:tr>
      <w:tr>
        <w:tc>
          <w:tcPr>
            <w:tcW w:type="dxa" w:w="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sz w:val="20"/>
                <w:szCs w:val="20"/>
              </w:rPr>
              <w:t xml:space="preserve">M-04</w:t>
            </w:r>
          </w:p>
        </w:tc>
        <w:tc>
          <w:tcPr>
            <w:tcW w:type="dxa" w:w="15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2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Courier New" w:cs="Courier New" w:eastAsia="Courier New" w:hAnsi="Courier New"/>
                <w:color w:val="333333"/>
                <w:sz w:val="18"/>
                <w:szCs w:val="18"/>
              </w:rPr>
              <w:t xml:space="preserve">.env:2 + hardhat.config.js:65</w:t>
            </w:r>
          </w:p>
        </w:tc>
        <w:tc>
          <w:tcPr>
            <w:tcW w:type="dxa" w:w="4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sz w:val="20"/>
                <w:szCs w:val="20"/>
              </w:rPr>
              <w:t xml:space="preserve">LISK_SEPOLIA_API_KEY Contains RPC URL — Contract Verification Will Fail</w:t>
            </w:r>
          </w:p>
          <w:p>
            <w:pPr>
              <w:spacing w:before="60"/>
            </w:pPr>
            <w:r>
              <w:rPr>
                <w:rFonts w:ascii="Arial" w:cs="Arial" w:eastAsia="Arial" w:hAnsi="Arial"/>
                <w:color w:val="444444"/>
                <w:sz w:val="18"/>
                <w:szCs w:val="18"/>
              </w:rPr>
            </w:r>
          </w:p>
        </w:tc>
      </w:tr>
      <w:tr>
        <w:tc>
          <w:tcPr>
            <w:tcW w:type="dxa" w:w="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sz w:val="20"/>
                <w:szCs w:val="20"/>
              </w:rPr>
              <w:t xml:space="preserve">M-05</w:t>
            </w:r>
          </w:p>
        </w:tc>
        <w:tc>
          <w:tcPr>
            <w:tcW w:type="dxa" w:w="15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2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Courier New" w:cs="Courier New" w:eastAsia="Courier New" w:hAnsi="Courier New"/>
                <w:color w:val="333333"/>
                <w:sz w:val="18"/>
                <w:szCs w:val="18"/>
              </w:rPr>
              <w:t xml:space="preserve">AtsurActorRegistry.sol:483</w:t>
            </w:r>
          </w:p>
        </w:tc>
        <w:tc>
          <w:tcPr>
            <w:tcW w:type="dxa" w:w="4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sz w:val="20"/>
                <w:szCs w:val="20"/>
              </w:rPr>
              <w:t xml:space="preserve">Wallet Mappings Not Cleared on Actor Suspension/Revocation</w:t>
            </w:r>
          </w:p>
          <w:p>
            <w:pPr>
              <w:spacing w:before="60"/>
            </w:pPr>
            <w:r>
              <w:rPr>
                <w:rFonts w:ascii="Arial" w:cs="Arial" w:eastAsia="Arial" w:hAnsi="Arial"/>
                <w:color w:val="444444"/>
                <w:sz w:val="18"/>
                <w:szCs w:val="18"/>
              </w:rPr>
            </w:r>
          </w:p>
        </w:tc>
      </w:tr>
      <w:tr>
        <w:tc>
          <w:tcPr>
            <w:tcW w:type="dxa" w:w="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sz w:val="20"/>
                <w:szCs w:val="20"/>
              </w:rPr>
              <w:t xml:space="preserve">M-06</w:t>
            </w:r>
          </w:p>
        </w:tc>
        <w:tc>
          <w:tcPr>
            <w:tcW w:type="dxa" w:w="15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2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Courier New" w:cs="Courier New" w:eastAsia="Courier New" w:hAnsi="Courier New"/>
                <w:color w:val="333333"/>
                <w:sz w:val="18"/>
                <w:szCs w:val="18"/>
              </w:rPr>
              <w:t xml:space="preserve">CI/CD</w:t>
            </w:r>
          </w:p>
        </w:tc>
        <w:tc>
          <w:tcPr>
            <w:tcW w:type="dxa" w:w="4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sz w:val="20"/>
                <w:szCs w:val="20"/>
              </w:rPr>
              <w:t xml:space="preserve">No Automated Security Pipeline — Zero CI/CD Coverage for Pre-deploy Checks</w:t>
            </w:r>
          </w:p>
          <w:p>
            <w:pPr>
              <w:spacing w:before="60"/>
            </w:pPr>
            <w:r>
              <w:rPr>
                <w:rFonts w:ascii="Arial" w:cs="Arial" w:eastAsia="Arial" w:hAnsi="Arial"/>
                <w:color w:val="444444"/>
                <w:sz w:val="18"/>
                <w:szCs w:val="18"/>
              </w:rPr>
            </w:r>
          </w:p>
        </w:tc>
      </w:tr>
      <w:tr>
        <w:tc>
          <w:tcPr>
            <w:tcW w:type="dxa" w:w="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sz w:val="20"/>
                <w:szCs w:val="20"/>
              </w:rPr>
              <w:t xml:space="preserve">M-07</w:t>
            </w:r>
          </w:p>
        </w:tc>
        <w:tc>
          <w:tcPr>
            <w:tcW w:type="dxa" w:w="15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2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Courier New" w:cs="Courier New" w:eastAsia="Courier New" w:hAnsi="Courier New"/>
                <w:color w:val="333333"/>
                <w:sz w:val="18"/>
                <w:szCs w:val="18"/>
              </w:rPr>
              <w:t xml:space="preserve">AtsurActorRegistry.sol:412</w:t>
            </w:r>
          </w:p>
        </w:tc>
        <w:tc>
          <w:tcPr>
            <w:tcW w:type="dxa" w:w="4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sz w:val="20"/>
                <w:szCs w:val="20"/>
              </w:rPr>
              <w:t xml:space="preserve">delegateVerifier() Allows certifiedAt=0 When trainingCertified=true</w:t>
            </w:r>
          </w:p>
          <w:p>
            <w:pPr>
              <w:spacing w:before="60"/>
            </w:pPr>
            <w:r>
              <w:rPr>
                <w:rFonts w:ascii="Arial" w:cs="Arial" w:eastAsia="Arial" w:hAnsi="Arial"/>
                <w:color w:val="444444"/>
                <w:sz w:val="18"/>
                <w:szCs w:val="18"/>
              </w:rPr>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sz w:val="20"/>
                <w:szCs w:val="20"/>
              </w:rPr>
              <w:t xml:space="preserve">L-01</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color w:val="333333"/>
                <w:sz w:val="18"/>
                <w:szCs w:val="18"/>
              </w:rPr>
              <w:t xml:space="preserve">AtsurActorRegistry.sol:299</w:t>
            </w:r>
          </w:p>
        </w:tc>
        <w:tc>
          <w:tcPr>
            <w:tcW w:type="dxa" w:w="4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registerActor() Accepts Zero kycCommitment Without Validation</w:t>
            </w:r>
          </w:p>
          <w:p>
            <w:pPr>
              <w:spacing w:before="60"/>
            </w:pPr>
            <w:r>
              <w:rPr>
                <w:rFonts w:ascii="Arial" w:cs="Arial" w:eastAsia="Arial" w:hAnsi="Arial"/>
                <w:color w:val="444444"/>
                <w:sz w:val="18"/>
                <w:szCs w:val="18"/>
              </w:rPr>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sz w:val="20"/>
                <w:szCs w:val="20"/>
              </w:rPr>
              <w:t xml:space="preserve">L-02</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color w:val="333333"/>
                <w:sz w:val="18"/>
                <w:szCs w:val="18"/>
              </w:rPr>
              <w:t xml:space="preserve">AtsurActorRegistry.sol:127</w:t>
            </w:r>
          </w:p>
        </w:tc>
        <w:tc>
          <w:tcPr>
            <w:tcW w:type="dxa" w:w="4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institutionVerifiers Array Grows Unbounded — Revoked Verifiers Never Pruned</w:t>
            </w:r>
          </w:p>
          <w:p>
            <w:pPr>
              <w:spacing w:before="60"/>
            </w:pPr>
            <w:r>
              <w:rPr>
                <w:rFonts w:ascii="Arial" w:cs="Arial" w:eastAsia="Arial" w:hAnsi="Arial"/>
                <w:color w:val="444444"/>
                <w:sz w:val="18"/>
                <w:szCs w:val="18"/>
              </w:rPr>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sz w:val="20"/>
                <w:szCs w:val="20"/>
              </w:rPr>
              <w:t xml:space="preserve">L-03</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color w:val="333333"/>
                <w:sz w:val="18"/>
                <w:szCs w:val="18"/>
              </w:rPr>
              <w:t xml:space="preserve">deployAll.js:26</w:t>
            </w:r>
          </w:p>
        </w:tc>
        <w:tc>
          <w:tcPr>
            <w:tcW w:type="dxa" w:w="4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Single Operator Wallet — Key-Person Risk With No Hot Wallet Redundancy</w:t>
            </w:r>
          </w:p>
          <w:p>
            <w:pPr>
              <w:spacing w:before="60"/>
            </w:pPr>
            <w:r>
              <w:rPr>
                <w:rFonts w:ascii="Arial" w:cs="Arial" w:eastAsia="Arial" w:hAnsi="Arial"/>
                <w:color w:val="444444"/>
                <w:sz w:val="18"/>
                <w:szCs w:val="18"/>
              </w:rPr>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sz w:val="20"/>
                <w:szCs w:val="20"/>
              </w:rPr>
              <w:t xml:space="preserve">L-04</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color w:val="333333"/>
                <w:sz w:val="18"/>
                <w:szCs w:val="18"/>
              </w:rPr>
              <w:t xml:space="preserve">N/A</w:t>
            </w:r>
          </w:p>
        </w:tc>
        <w:tc>
          <w:tcPr>
            <w:tcW w:type="dxa" w:w="4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No On-chain Monitoring or Alerting Configured for Critical Events</w:t>
            </w:r>
          </w:p>
          <w:p>
            <w:pPr>
              <w:spacing w:before="60"/>
            </w:pPr>
            <w:r>
              <w:rPr>
                <w:rFonts w:ascii="Arial" w:cs="Arial" w:eastAsia="Arial" w:hAnsi="Arial"/>
                <w:color w:val="444444"/>
                <w:sz w:val="18"/>
                <w:szCs w:val="18"/>
              </w:rPr>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sz w:val="20"/>
                <w:szCs w:val="20"/>
              </w:rPr>
              <w:t xml:space="preserve">L-05</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color w:val="333333"/>
                <w:sz w:val="18"/>
                <w:szCs w:val="18"/>
              </w:rPr>
              <w:t xml:space="preserve">AtsurProvenance.sol:236</w:t>
            </w:r>
          </w:p>
        </w:tc>
        <w:tc>
          <w:tcPr>
            <w:tcW w:type="dxa" w:w="4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BATCH_COMMITTER_ROLE and PAUSER_ROLE Not Granted in initialize() — Deployment Step Risk</w:t>
            </w:r>
          </w:p>
          <w:p>
            <w:pPr>
              <w:spacing w:before="60"/>
            </w:pPr>
            <w:r>
              <w:rPr>
                <w:rFonts w:ascii="Arial" w:cs="Arial" w:eastAsia="Arial" w:hAnsi="Arial"/>
                <w:color w:val="444444"/>
                <w:sz w:val="18"/>
                <w:szCs w:val="18"/>
              </w:rPr>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sz w:val="20"/>
                <w:szCs w:val="20"/>
              </w:rPr>
              <w:t xml:space="preserve">L-06</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color w:val="333333"/>
                <w:sz w:val="18"/>
                <w:szCs w:val="18"/>
              </w:rPr>
              <w:t xml:space="preserve">package.json</w:t>
            </w:r>
          </w:p>
        </w:tc>
        <w:tc>
          <w:tcPr>
            <w:tcW w:type="dxa" w:w="4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No solhint Configuration File — Linting Runs With Defaults, Missing Custom Rules</w:t>
            </w:r>
          </w:p>
          <w:p>
            <w:pPr>
              <w:spacing w:before="60"/>
            </w:pPr>
            <w:r>
              <w:rPr>
                <w:rFonts w:ascii="Arial" w:cs="Arial" w:eastAsia="Arial" w:hAnsi="Arial"/>
                <w:color w:val="444444"/>
                <w:sz w:val="18"/>
                <w:szCs w:val="18"/>
              </w:rPr>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I-01</w:t>
            </w:r>
          </w:p>
        </w:tc>
        <w:tc>
          <w:tcPr>
            <w:tcW w:type="dxa" w:w="1500"/>
            <w:tcBorders>
              <w:top w:val="single" w:color="CCCCCC" w:sz="1"/>
              <w:left w:val="single" w:color="CCCCCC" w:sz="1"/>
              <w:bottom w:val="single" w:color="CCCCCC" w:sz="1"/>
              <w:right w:val="single" w:color="CCCCCC" w:sz="1"/>
            </w:tcBorders>
            <w:shd w:fill="388E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color w:val="333333"/>
                <w:sz w:val="18"/>
                <w:szCs w:val="18"/>
              </w:rPr>
              <w:t xml:space="preserve">AtsurActorRegistry.sol:67</w:t>
            </w:r>
          </w:p>
        </w:tc>
        <w:tc>
          <w:tcPr>
            <w:tcW w:type="dxa" w:w="4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actorId Stored Redundantly in Actor Struct — Wastes 32 Bytes of Storage Per Actor</w:t>
            </w:r>
          </w:p>
          <w:p>
            <w:pPr>
              <w:spacing w:before="60"/>
            </w:pPr>
            <w:r>
              <w:rPr>
                <w:rFonts w:ascii="Arial" w:cs="Arial" w:eastAsia="Arial" w:hAnsi="Arial"/>
                <w:color w:val="444444"/>
                <w:sz w:val="18"/>
                <w:szCs w:val="18"/>
              </w:rPr>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I-02</w:t>
            </w:r>
          </w:p>
        </w:tc>
        <w:tc>
          <w:tcPr>
            <w:tcW w:type="dxa" w:w="1500"/>
            <w:tcBorders>
              <w:top w:val="single" w:color="CCCCCC" w:sz="1"/>
              <w:left w:val="single" w:color="CCCCCC" w:sz="1"/>
              <w:bottom w:val="single" w:color="CCCCCC" w:sz="1"/>
              <w:right w:val="single" w:color="CCCCCC" w:sz="1"/>
            </w:tcBorders>
            <w:shd w:fill="388E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color w:val="333333"/>
                <w:sz w:val="18"/>
                <w:szCs w:val="18"/>
              </w:rPr>
              <w:t xml:space="preserve">AtsurProvenance.sol:547</w:t>
            </w:r>
          </w:p>
        </w:tc>
        <w:tc>
          <w:tcPr>
            <w:tcW w:type="dxa" w:w="4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version() Returns 2.0.0 — Inconsistent With Registry's 1.0.0 for Initial Deployment</w:t>
            </w:r>
          </w:p>
          <w:p>
            <w:pPr>
              <w:spacing w:before="60"/>
            </w:pPr>
            <w:r>
              <w:rPr>
                <w:rFonts w:ascii="Arial" w:cs="Arial" w:eastAsia="Arial" w:hAnsi="Arial"/>
                <w:color w:val="444444"/>
                <w:sz w:val="18"/>
                <w:szCs w:val="18"/>
              </w:rPr>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I-03</w:t>
            </w:r>
          </w:p>
        </w:tc>
        <w:tc>
          <w:tcPr>
            <w:tcW w:type="dxa" w:w="1500"/>
            <w:tcBorders>
              <w:top w:val="single" w:color="CCCCCC" w:sz="1"/>
              <w:left w:val="single" w:color="CCCCCC" w:sz="1"/>
              <w:bottom w:val="single" w:color="CCCCCC" w:sz="1"/>
              <w:right w:val="single" w:color="CCCCCC" w:sz="1"/>
            </w:tcBorders>
            <w:shd w:fill="388E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color w:val="333333"/>
                <w:sz w:val="18"/>
                <w:szCs w:val="18"/>
              </w:rPr>
              <w:t xml:space="preserve">AtsurProvenance.sol:570</w:t>
            </w:r>
          </w:p>
        </w:tc>
        <w:tc>
          <w:tcPr>
            <w:tcW w:type="dxa" w:w="4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_validateArweaveTxId() Entropy Check is Minimal — Only Catches Trivially Repeated Patterns</w:t>
            </w:r>
          </w:p>
          <w:p>
            <w:pPr>
              <w:spacing w:before="60"/>
            </w:pPr>
            <w:r>
              <w:rPr>
                <w:rFonts w:ascii="Arial" w:cs="Arial" w:eastAsia="Arial" w:hAnsi="Arial"/>
                <w:color w:val="444444"/>
                <w:sz w:val="18"/>
                <w:szCs w:val="18"/>
              </w:rPr>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I-04</w:t>
            </w:r>
          </w:p>
        </w:tc>
        <w:tc>
          <w:tcPr>
            <w:tcW w:type="dxa" w:w="1500"/>
            <w:tcBorders>
              <w:top w:val="single" w:color="CCCCCC" w:sz="1"/>
              <w:left w:val="single" w:color="CCCCCC" w:sz="1"/>
              <w:bottom w:val="single" w:color="CCCCCC" w:sz="1"/>
              <w:right w:val="single" w:color="CCCCCC" w:sz="1"/>
            </w:tcBorders>
            <w:shd w:fill="388E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color w:val="333333"/>
                <w:sz w:val="18"/>
                <w:szCs w:val="18"/>
              </w:rPr>
              <w:t xml:space="preserve">AtsurProvenance.sol:562</w:t>
            </w:r>
          </w:p>
        </w:tc>
        <w:tc>
          <w:tcPr>
            <w:tcW w:type="dxa" w:w="4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No Maximum Merkle Proof Length Validation</w:t>
            </w:r>
          </w:p>
          <w:p>
            <w:pPr>
              <w:spacing w:before="60"/>
            </w:pPr>
            <w:r>
              <w:rPr>
                <w:rFonts w:ascii="Arial" w:cs="Arial" w:eastAsia="Arial" w:hAnsi="Arial"/>
                <w:color w:val="444444"/>
                <w:sz w:val="18"/>
                <w:szCs w:val="18"/>
              </w:rPr>
            </w:r>
          </w:p>
        </w:tc>
      </w:tr>
    </w:tbl>
    <w:p>
      <w:r>
        <w:br w:type="page"/>
      </w:r>
    </w:p>
    <w:p>
      <w:pPr>
        <w:pStyle w:val="Heading1"/>
        <w:spacing w:after="160" w:before="320"/>
      </w:pPr>
      <w:r>
        <w:rPr>
          <w:rFonts w:ascii="Arial" w:cs="Arial" w:eastAsia="Arial" w:hAnsi="Arial"/>
          <w:b/>
          <w:bCs/>
          <w:color w:val="1A237E"/>
          <w:sz w:val="32"/>
          <w:szCs w:val="32"/>
        </w:rPr>
        <w:t xml:space="preserve">4. Detailed Findings</w:t>
      </w:r>
    </w:p>
    <w:p>
      <w:pPr>
        <w:pStyle w:val="Heading2"/>
        <w:spacing w:after="120" w:before="240"/>
      </w:pPr>
      <w:r>
        <w:rPr>
          <w:rFonts w:ascii="Arial" w:cs="Arial" w:eastAsia="Arial" w:hAnsi="Arial"/>
          <w:b/>
          <w:bCs/>
          <w:color w:val="283593"/>
          <w:sz w:val="26"/>
          <w:szCs w:val="26"/>
        </w:rPr>
        <w:t xml:space="preserve">H-01 [HIGH] Ghost-Actor Bypass in _requireActiveActor()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AtsurProvenance.sol:555 — _requireActiveActor()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Provenance events can be emitted with fabricated, non-existent actor IDs as creators, attestors, or certifying institutions — silently poisoning the event log trusted by all downstream indexers.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Affected Functions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recordArtworkCreation(), recordCustodyTransfer(), recordCertification()</w:t>
            </w:r>
          </w:p>
        </w:tc>
      </w:tr>
    </w:tbl>
    <w:p>
      <w:r>
        <w:t xml:space="preserve"/>
      </w:r>
    </w:p>
    <w:p>
      <w:pPr>
        <w:spacing w:after="100" w:before="200"/>
      </w:pPr>
      <w:r>
        <w:rPr>
          <w:rFonts w:ascii="Arial" w:cs="Arial" w:eastAsia="Arial" w:hAnsi="Arial"/>
          <w:b/>
          <w:bCs/>
          <w:color w:val="333333"/>
          <w:sz w:val="22"/>
          <w:szCs w:val="22"/>
        </w:rPr>
        <w:t xml:space="preserve">Description</w:t>
      </w:r>
    </w:p>
    <w:p>
      <w:pPr>
        <w:spacing w:after="60" w:before="60"/>
      </w:pPr>
      <w:r>
        <w:rPr>
          <w:rFonts w:ascii="Arial" w:cs="Arial" w:eastAsia="Arial" w:hAnsi="Arial"/>
          <w:sz w:val="22"/>
          <w:szCs w:val="22"/>
        </w:rPr>
        <w:t xml:space="preserve">The internal helper _requireActiveActor() is called in all three event-recording functions to validate that a creatorActorId, attestorActorId, or certifying actor is active. However, it does this by calling actorRegistry.getActor(actorId), which returns a zero-initialized Actor struct for any actorId that has never been registered. Because ActorStatus.Active = 0 (the first enum value in Solidity), the status check a.status != ActorStatus.Active evaluates to false for a ghost actor, and the function does not revert. The guard passes silently.</w:t>
      </w:r>
    </w:p>
    <w:p>
      <w:r>
        <w:t xml:space="preserve"/>
      </w:r>
    </w:p>
    <w:p>
      <w:pPr>
        <w:spacing w:after="100" w:before="200"/>
      </w:pPr>
      <w:r>
        <w:rPr>
          <w:rFonts w:ascii="Arial" w:cs="Arial" w:eastAsia="Arial" w:hAnsi="Arial"/>
          <w:b/>
          <w:bCs/>
          <w:color w:val="333333"/>
          <w:sz w:val="22"/>
          <w:szCs w:val="22"/>
        </w:rPr>
        <w:t xml:space="preserve">Vulnerable Code</w:t>
      </w:r>
    </w:p>
    <w:p>
      <w:pPr>
        <w:spacing w:after="40" w:before="40"/>
        <w:ind w:left="720"/>
      </w:pPr>
      <w:r>
        <w:rPr>
          <w:rFonts w:ascii="Courier New" w:cs="Courier New" w:eastAsia="Courier New" w:hAnsi="Courier New"/>
          <w:color w:val="C62828"/>
          <w:sz w:val="18"/>
          <w:szCs w:val="18"/>
        </w:rPr>
        <w:t xml:space="preserve">function _requireActiveActor(bytes32 actorId) internal view {</w:t>
      </w:r>
    </w:p>
    <w:p>
      <w:pPr>
        <w:spacing w:after="40" w:before="40"/>
        <w:ind w:left="720"/>
      </w:pPr>
      <w:r>
        <w:rPr>
          <w:rFonts w:ascii="Courier New" w:cs="Courier New" w:eastAsia="Courier New" w:hAnsi="Courier New"/>
          <w:color w:val="C62828"/>
          <w:sz w:val="18"/>
          <w:szCs w:val="18"/>
        </w:rPr>
        <w:t xml:space="preserve">    AtsurActorRegistry.Actor memory a = actorRegistry.getActor(actorId);</w:t>
      </w:r>
    </w:p>
    <w:p>
      <w:pPr>
        <w:spacing w:after="40" w:before="40"/>
        <w:ind w:left="720"/>
      </w:pPr>
      <w:r>
        <w:rPr>
          <w:rFonts w:ascii="Courier New" w:cs="Courier New" w:eastAsia="Courier New" w:hAnsi="Courier New"/>
          <w:color w:val="C62828"/>
          <w:sz w:val="18"/>
          <w:szCs w:val="18"/>
        </w:rPr>
        <w:t xml:space="preserve">    if (a.status != AtsurActorRegistry.ActorStatus.Active) {  // 0 != 0 = false for ghost</w:t>
      </w:r>
    </w:p>
    <w:p>
      <w:pPr>
        <w:spacing w:after="40" w:before="40"/>
        <w:ind w:left="720"/>
      </w:pPr>
      <w:r>
        <w:rPr>
          <w:rFonts w:ascii="Courier New" w:cs="Courier New" w:eastAsia="Courier New" w:hAnsi="Courier New"/>
          <w:color w:val="C62828"/>
          <w:sz w:val="18"/>
          <w:szCs w:val="18"/>
        </w:rPr>
        <w:t xml:space="preserve">        revert AttestorNotActive(actorId);                     // NEVER reverts for unknown actors</w:t>
      </w:r>
    </w:p>
    <w:p>
      <w:pPr>
        <w:spacing w:after="40" w:before="40"/>
        <w:ind w:left="720"/>
      </w:pPr>
      <w:r>
        <w:rPr>
          <w:rFonts w:ascii="Courier New" w:cs="Courier New" w:eastAsia="Courier New" w:hAnsi="Courier New"/>
          <w:color w:val="C62828"/>
          <w:sz w:val="18"/>
          <w:szCs w:val="18"/>
        </w:rPr>
        <w:t xml:space="preserve">    }</w:t>
      </w:r>
    </w:p>
    <w:p>
      <w:pPr>
        <w:spacing w:after="40" w:before="40"/>
        <w:ind w:left="720"/>
      </w:pPr>
      <w:r>
        <w:rPr>
          <w:rFonts w:ascii="Courier New" w:cs="Courier New" w:eastAsia="Courier New" w:hAnsi="Courier New"/>
          <w:color w:val="C62828"/>
          <w:sz w:val="18"/>
          <w:szCs w:val="18"/>
        </w:rPr>
        <w:t xml:space="preserve">}</w:t>
      </w:r>
    </w:p>
    <w:p>
      <w:r>
        <w:t xml:space="preserve"/>
      </w:r>
    </w:p>
    <w:p>
      <w:pPr>
        <w:spacing w:after="100" w:before="200"/>
      </w:pPr>
      <w:r>
        <w:rPr>
          <w:rFonts w:ascii="Arial" w:cs="Arial" w:eastAsia="Arial" w:hAnsi="Arial"/>
          <w:b/>
          <w:bCs/>
          <w:color w:val="333333"/>
          <w:sz w:val="22"/>
          <w:szCs w:val="22"/>
        </w:rPr>
        <w:t xml:space="preserve">Recommended Fix</w:t>
      </w:r>
    </w:p>
    <w:p>
      <w:pPr>
        <w:spacing w:after="60" w:before="60"/>
      </w:pPr>
      <w:r>
        <w:rPr>
          <w:rFonts w:ascii="Arial" w:cs="Arial" w:eastAsia="Arial" w:hAnsi="Arial"/>
          <w:sz w:val="22"/>
          <w:szCs w:val="22"/>
        </w:rPr>
        <w:t xml:space="preserve">Add an explicit existence check before the status check:</w:t>
      </w:r>
    </w:p>
    <w:p>
      <w:pPr>
        <w:spacing w:after="40" w:before="40"/>
        <w:ind w:left="720"/>
      </w:pPr>
      <w:r>
        <w:rPr>
          <w:rFonts w:ascii="Courier New" w:cs="Courier New" w:eastAsia="Courier New" w:hAnsi="Courier New"/>
          <w:color w:val="C62828"/>
          <w:sz w:val="18"/>
          <w:szCs w:val="18"/>
        </w:rPr>
        <w:t xml:space="preserve">function _requireActiveActor(bytes32 actorId) internal view {</w:t>
      </w:r>
    </w:p>
    <w:p>
      <w:pPr>
        <w:spacing w:after="40" w:before="40"/>
        <w:ind w:left="720"/>
      </w:pPr>
      <w:r>
        <w:rPr>
          <w:rFonts w:ascii="Courier New" w:cs="Courier New" w:eastAsia="Courier New" w:hAnsi="Courier New"/>
          <w:color w:val="C62828"/>
          <w:sz w:val="18"/>
          <w:szCs w:val="18"/>
        </w:rPr>
        <w:t xml:space="preserve">    if (!actorRegistry.actorExists(actorId)) revert AttestorNotActive(actorId);</w:t>
      </w:r>
    </w:p>
    <w:p>
      <w:pPr>
        <w:spacing w:after="40" w:before="40"/>
        <w:ind w:left="720"/>
      </w:pPr>
      <w:r>
        <w:rPr>
          <w:rFonts w:ascii="Courier New" w:cs="Courier New" w:eastAsia="Courier New" w:hAnsi="Courier New"/>
          <w:color w:val="C62828"/>
          <w:sz w:val="18"/>
          <w:szCs w:val="18"/>
        </w:rPr>
        <w:t xml:space="preserve">    AtsurActorRegistry.Actor memory a = actorRegistry.getActor(actorId);</w:t>
      </w:r>
    </w:p>
    <w:p>
      <w:pPr>
        <w:spacing w:after="40" w:before="40"/>
        <w:ind w:left="720"/>
      </w:pPr>
      <w:r>
        <w:rPr>
          <w:rFonts w:ascii="Courier New" w:cs="Courier New" w:eastAsia="Courier New" w:hAnsi="Courier New"/>
          <w:color w:val="C62828"/>
          <w:sz w:val="18"/>
          <w:szCs w:val="18"/>
        </w:rPr>
        <w:t xml:space="preserve">    if (a.status != AtsurActorRegistry.ActorStatus.Active) {</w:t>
      </w:r>
    </w:p>
    <w:p>
      <w:pPr>
        <w:spacing w:after="40" w:before="40"/>
        <w:ind w:left="720"/>
      </w:pPr>
      <w:r>
        <w:rPr>
          <w:rFonts w:ascii="Courier New" w:cs="Courier New" w:eastAsia="Courier New" w:hAnsi="Courier New"/>
          <w:color w:val="C62828"/>
          <w:sz w:val="18"/>
          <w:szCs w:val="18"/>
        </w:rPr>
        <w:t xml:space="preserve">        revert AttestorNotActive(actorId);</w:t>
      </w:r>
    </w:p>
    <w:p>
      <w:pPr>
        <w:spacing w:after="40" w:before="40"/>
        <w:ind w:left="720"/>
      </w:pPr>
      <w:r>
        <w:rPr>
          <w:rFonts w:ascii="Courier New" w:cs="Courier New" w:eastAsia="Courier New" w:hAnsi="Courier New"/>
          <w:color w:val="C62828"/>
          <w:sz w:val="18"/>
          <w:szCs w:val="18"/>
        </w:rPr>
        <w:t xml:space="preserve">    }</w:t>
      </w:r>
    </w:p>
    <w:p>
      <w:pPr>
        <w:spacing w:after="40" w:before="40"/>
        <w:ind w:left="720"/>
      </w:pPr>
      <w:r>
        <w:rPr>
          <w:rFonts w:ascii="Courier New" w:cs="Courier New" w:eastAsia="Courier New" w:hAnsi="Courier New"/>
          <w:color w:val="C62828"/>
          <w:sz w:val="18"/>
          <w:szCs w:val="18"/>
        </w:rPr>
        <w:t xml:space="preserve">}</w:t>
      </w:r>
    </w:p>
    <w:p>
      <w:r>
        <w:t xml:space="preserve"/>
      </w:r>
    </w:p>
    <w:p>
      <w:pPr>
        <w:spacing w:after="60" w:before="60"/>
      </w:pPr>
      <w:r>
        <w:rPr>
          <w:rFonts w:ascii="Arial" w:cs="Arial" w:eastAsia="Arial" w:hAnsi="Arial"/>
          <w:sz w:val="22"/>
          <w:szCs w:val="22"/>
        </w:rPr>
        <w:t xml:space="preserve">Note: recordCustodyTransfer() already uses actorRegistry.actorExists(toActorId) for the recipient check — apply the same pattern to the attestor check for consistency.</w:t>
      </w:r>
    </w:p>
    <w:p>
      <w:r>
        <w:t xml:space="preserve"/>
      </w:r>
    </w:p>
    <w:p>
      <w:pPr>
        <w:pStyle w:val="Heading2"/>
        <w:spacing w:after="120" w:before="240"/>
      </w:pPr>
      <w:r>
        <w:rPr>
          <w:rFonts w:ascii="Arial" w:cs="Arial" w:eastAsia="Arial" w:hAnsi="Arial"/>
          <w:b/>
          <w:bCs/>
          <w:color w:val="283593"/>
          <w:sz w:val="26"/>
          <w:szCs w:val="26"/>
        </w:rPr>
        <w:t xml:space="preserve">H-02 [HIGH] MULTISIG_ADDRESS Not Configured — Deployer EOA Holds Admin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.env line 9: MULTISIG_ADDRESS=0x  |  deployAll.js line 27</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single compromised deployer EOA can unilaterally upgrade both UUPS proxies to malicious implementations, effectively allowing complete replacement of contract logic and permanent loss of all provenance data integrity.</w:t>
            </w:r>
          </w:p>
        </w:tc>
      </w:tr>
    </w:tbl>
    <w:p>
      <w:r>
        <w:t xml:space="preserve"/>
      </w:r>
    </w:p>
    <w:p>
      <w:pPr>
        <w:spacing w:after="100" w:before="200"/>
      </w:pPr>
      <w:r>
        <w:rPr>
          <w:rFonts w:ascii="Arial" w:cs="Arial" w:eastAsia="Arial" w:hAnsi="Arial"/>
          <w:b/>
          <w:bCs/>
          <w:color w:val="333333"/>
          <w:sz w:val="22"/>
          <w:szCs w:val="22"/>
        </w:rPr>
        <w:t xml:space="preserve">Description</w:t>
      </w:r>
    </w:p>
    <w:p>
      <w:pPr>
        <w:spacing w:after="60" w:before="60"/>
      </w:pPr>
      <w:r>
        <w:rPr>
          <w:rFonts w:ascii="Arial" w:cs="Arial" w:eastAsia="Arial" w:hAnsi="Arial"/>
          <w:sz w:val="22"/>
          <w:szCs w:val="22"/>
        </w:rPr>
        <w:t xml:space="preserve">The deployment script deployAll.js checks for MULTISIG_ADDRESS and only transfers DEFAULT_ADMIN_ROLE to a multisig if it is set. The .env file has MULTISIG_ADDRESS=0x — an empty address. If deployed in this state, the deployer wallet retains permanent, unilateral control over UUPS upgrades and role assignments on both contracts. The deployment script correctly warns about this but does not enforce it as a precondition.</w:t>
      </w:r>
    </w:p>
    <w:p>
      <w:r>
        <w:t xml:space="preserve"/>
      </w:r>
    </w:p>
    <w:p>
      <w:pPr>
        <w:spacing w:after="100" w:before="200"/>
      </w:pPr>
      <w:r>
        <w:rPr>
          <w:rFonts w:ascii="Arial" w:cs="Arial" w:eastAsia="Arial" w:hAnsi="Arial"/>
          <w:b/>
          <w:bCs/>
          <w:color w:val="333333"/>
          <w:sz w:val="22"/>
          <w:szCs w:val="22"/>
        </w:rPr>
        <w:t xml:space="preserve">Recommended Fix</w:t>
      </w:r>
    </w:p>
    <w:p>
      <w:pPr>
        <w:spacing w:after="60" w:before="60"/>
      </w:pPr>
      <w:r>
        <w:rPr>
          <w:rFonts w:ascii="Arial" w:cs="Arial" w:eastAsia="Arial" w:hAnsi="Arial"/>
          <w:sz w:val="22"/>
          <w:szCs w:val="22"/>
        </w:rPr>
        <w:t xml:space="preserve">Three required actions before mainnet:</w:t>
      </w:r>
    </w:p>
    <w:p>
      <w:pPr>
        <w:pStyle w:val="ListParagraph"/>
        <w:numPr>
          <w:ilvl w:val="0"/>
          <w:numId w:val="2"/>
        </w:numPr>
        <w:spacing w:after="40" w:before="40"/>
        <w:ind w:left="720" w:hanging="360"/>
      </w:pPr>
      <w:r>
        <w:rPr>
          <w:rFonts w:ascii="Arial" w:cs="Arial" w:eastAsia="Arial" w:hAnsi="Arial"/>
          <w:sz w:val="22"/>
          <w:szCs w:val="22"/>
        </w:rPr>
        <w:t xml:space="preserve">Deploy a Gnosis Safe (or equivalent) multisig with a minimum 2-of-3 signing threshold on the target network.</w:t>
      </w:r>
    </w:p>
    <w:p>
      <w:pPr>
        <w:pStyle w:val="ListParagraph"/>
        <w:numPr>
          <w:ilvl w:val="0"/>
          <w:numId w:val="2"/>
        </w:numPr>
        <w:spacing w:after="40" w:before="40"/>
        <w:ind w:left="720" w:hanging="360"/>
      </w:pPr>
      <w:r>
        <w:rPr>
          <w:rFonts w:ascii="Arial" w:cs="Arial" w:eastAsia="Arial" w:hAnsi="Arial"/>
          <w:sz w:val="22"/>
          <w:szCs w:val="22"/>
        </w:rPr>
        <w:t xml:space="preserve">Set MULTISIG_ADDRESS in .env to the deployed Safe address before running deployAll.js.</w:t>
      </w:r>
    </w:p>
    <w:p>
      <w:pPr>
        <w:pStyle w:val="ListParagraph"/>
        <w:numPr>
          <w:ilvl w:val="0"/>
          <w:numId w:val="2"/>
        </w:numPr>
        <w:spacing w:after="40" w:before="40"/>
        <w:ind w:left="720" w:hanging="360"/>
      </w:pPr>
      <w:r>
        <w:rPr>
          <w:rFonts w:ascii="Arial" w:cs="Arial" w:eastAsia="Arial" w:hAnsi="Arial"/>
          <w:sz w:val="22"/>
          <w:szCs w:val="22"/>
        </w:rPr>
        <w:t xml:space="preserve">Add a hard precondition guard to deployAll.js that throws if MULTISIG_ADDRESS is empty or zero for non-local networks.</w:t>
      </w:r>
    </w:p>
    <w:p>
      <w:r>
        <w:t xml:space="preserve"/>
      </w:r>
    </w:p>
    <w:p>
      <w:pPr>
        <w:pStyle w:val="Heading2"/>
        <w:spacing w:after="120" w:before="240"/>
      </w:pPr>
      <w:r>
        <w:rPr>
          <w:rFonts w:ascii="Arial" w:cs="Arial" w:eastAsia="Arial" w:hAnsi="Arial"/>
          <w:b/>
          <w:bCs/>
          <w:color w:val="283593"/>
          <w:sz w:val="26"/>
          <w:szCs w:val="26"/>
        </w:rPr>
        <w:t xml:space="preserve">H-03 [HIGH] Commented-Out Private Key May Be a Real Testnet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.env line 3</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this private key belongs to a real account with any funds or deployed roles, anyone with access to this file (or a leak from a backup) can drain or compromise that account.</w:t>
            </w:r>
          </w:p>
        </w:tc>
      </w:tr>
    </w:tbl>
    <w:p>
      <w:r>
        <w:t xml:space="preserve"/>
      </w:r>
    </w:p>
    <w:p>
      <w:pPr>
        <w:spacing w:after="100" w:before="200"/>
      </w:pPr>
      <w:r>
        <w:rPr>
          <w:rFonts w:ascii="Arial" w:cs="Arial" w:eastAsia="Arial" w:hAnsi="Arial"/>
          <w:b/>
          <w:bCs/>
          <w:color w:val="333333"/>
          <w:sz w:val="22"/>
          <w:szCs w:val="22"/>
        </w:rPr>
        <w:t xml:space="preserve">Description</w:t>
      </w:r>
    </w:p>
    <w:p>
      <w:pPr>
        <w:spacing w:after="60" w:before="60"/>
      </w:pPr>
      <w:r>
        <w:rPr>
          <w:rFonts w:ascii="Arial" w:cs="Arial" w:eastAsia="Arial" w:hAnsi="Arial"/>
          <w:sz w:val="22"/>
          <w:szCs w:val="22"/>
        </w:rPr>
        <w:t xml:space="preserve">The .env file contains a commented-out private key (# PRIVATE_KEY=0x70098059...) that does not match Hardhat's well-known test mnemonic accounts. While the active PRIVATE_KEY is the standard Hardhat test account #0, the commented key appears distinct. If this key was previously used on any testnet with real value or elevated roles, it should be considered compromised and immediately rotated.</w:t>
      </w:r>
    </w:p>
    <w:p>
      <w:r>
        <w:t xml:space="preserve"/>
      </w:r>
    </w:p>
    <w:p>
      <w:pPr>
        <w:spacing w:after="100" w:before="200"/>
      </w:pPr>
      <w:r>
        <w:rPr>
          <w:rFonts w:ascii="Arial" w:cs="Arial" w:eastAsia="Arial" w:hAnsi="Arial"/>
          <w:b/>
          <w:bCs/>
          <w:color w:val="333333"/>
          <w:sz w:val="22"/>
          <w:szCs w:val="22"/>
        </w:rPr>
        <w:t xml:space="preserve">Recommended Fix</w:t>
      </w:r>
    </w:p>
    <w:p>
      <w:pPr>
        <w:pStyle w:val="ListParagraph"/>
        <w:numPr>
          <w:ilvl w:val="0"/>
          <w:numId w:val="2"/>
        </w:numPr>
        <w:spacing w:after="40" w:before="40"/>
        <w:ind w:left="720" w:hanging="360"/>
      </w:pPr>
      <w:r>
        <w:rPr>
          <w:rFonts w:ascii="Arial" w:cs="Arial" w:eastAsia="Arial" w:hAnsi="Arial"/>
          <w:sz w:val="22"/>
          <w:szCs w:val="22"/>
        </w:rPr>
        <w:t xml:space="preserve">Remove the commented private key from .env immediately.</w:t>
      </w:r>
    </w:p>
    <w:p>
      <w:pPr>
        <w:pStyle w:val="ListParagraph"/>
        <w:numPr>
          <w:ilvl w:val="0"/>
          <w:numId w:val="2"/>
        </w:numPr>
        <w:spacing w:after="40" w:before="40"/>
        <w:ind w:left="720" w:hanging="360"/>
      </w:pPr>
      <w:r>
        <w:rPr>
          <w:rFonts w:ascii="Arial" w:cs="Arial" w:eastAsia="Arial" w:hAnsi="Arial"/>
          <w:sz w:val="22"/>
          <w:szCs w:val="22"/>
        </w:rPr>
        <w:t xml:space="preserve">If the key was ever used on any network, rotate all associated wallets, revoke any roles, and transfer any funds.</w:t>
      </w:r>
    </w:p>
    <w:p>
      <w:pPr>
        <w:pStyle w:val="ListParagraph"/>
        <w:numPr>
          <w:ilvl w:val="0"/>
          <w:numId w:val="2"/>
        </w:numPr>
        <w:spacing w:after="40" w:before="40"/>
        <w:ind w:left="720" w:hanging="360"/>
      </w:pPr>
      <w:r>
        <w:rPr>
          <w:rFonts w:ascii="Arial" w:cs="Arial" w:eastAsia="Arial" w:hAnsi="Arial"/>
          <w:sz w:val="22"/>
          <w:szCs w:val="22"/>
        </w:rPr>
        <w:t xml:space="preserve">Use .env.example with placeholder values for documentation. Never store real keys — even commented — in version-controlled or shared config files.</w:t>
      </w:r>
    </w:p>
    <w:p>
      <w:r>
        <w:t xml:space="preserve"/>
      </w:r>
    </w:p>
    <w:p>
      <w:pPr>
        <w:pStyle w:val="Heading2"/>
        <w:spacing w:after="120" w:before="240"/>
      </w:pPr>
      <w:r>
        <w:rPr>
          <w:rFonts w:ascii="Arial" w:cs="Arial" w:eastAsia="Arial" w:hAnsi="Arial"/>
          <w:b/>
          <w:bCs/>
          <w:color w:val="283593"/>
          <w:sz w:val="26"/>
          <w:szCs w:val="26"/>
        </w:rPr>
        <w:t xml:space="preserve">M-01 [MEDIUM] Suspended Actors Can Still Submit Batches via anchorBatch()</w:t>
      </w:r>
    </w:p>
    <w:p>
      <w:pPr>
        <w:spacing w:after="60" w:before="60"/>
      </w:pPr>
      <w:r>
        <w:rPr>
          <w:rFonts w:ascii="Arial" w:cs="Arial" w:eastAsia="Arial" w:hAnsi="Arial"/>
          <w:sz w:val="22"/>
          <w:szCs w:val="22"/>
        </w:rPr>
        <w:t xml:space="preserve">anchorBatch() validates the submitterActorId against the registry using actorRegistry.actorExists(submitterActorId), which only checks existence, not active status. An actor whose status has been changed to Suspended or Revoked — perhaps due to a compliance violation — can continue submitting provenance batches as long as their wallet holds BATCH_COMMITTER_ROLE. The fix is to additionally call actorRegistry.getActor(submitterActorId).status == Active, or better, use a dedicated requireActiveActor pattern with the existence fix from H-01 applied.</w:t>
      </w:r>
    </w:p>
    <w:p>
      <w:r>
        <w:t xml:space="preserve"/>
      </w:r>
    </w:p>
    <w:p>
      <w:pPr>
        <w:pStyle w:val="Heading2"/>
        <w:spacing w:after="120" w:before="240"/>
      </w:pPr>
      <w:r>
        <w:rPr>
          <w:rFonts w:ascii="Arial" w:cs="Arial" w:eastAsia="Arial" w:hAnsi="Arial"/>
          <w:b/>
          <w:bCs/>
          <w:color w:val="283593"/>
          <w:sz w:val="26"/>
          <w:szCs w:val="26"/>
        </w:rPr>
        <w:t xml:space="preserve">M-02 [MEDIUM] Custom Reentrancy Guard — Storage Layout Risk Across Upgrades</w:t>
      </w:r>
    </w:p>
    <w:p>
      <w:pPr>
        <w:spacing w:after="60" w:before="60"/>
      </w:pPr>
      <w:r>
        <w:rPr>
          <w:rFonts w:ascii="Arial" w:cs="Arial" w:eastAsia="Arial" w:hAnsi="Arial"/>
          <w:sz w:val="22"/>
          <w:szCs w:val="22"/>
        </w:rPr>
        <w:t xml:space="preserve">AtsurProvenance implements its own nonReentrant guard using a private _status variable rather than inheriting OpenZeppelin's ReentrancyGuardUpgradeable. While functionally correct for the current implementation, the custom guard does not use a storage gap, making it vulnerable to storage slot collision if a future upgrade adds state variables before _status. This is exactly the class of bug that caused high-profile upgrade exploits. Replace with @openzeppelin/contracts-upgradeable/utils/ReentrancyGuardUpgradeable.sol and call __ReentrancyGuard_init() in the initializer.</w:t>
      </w:r>
    </w:p>
    <w:p>
      <w:r>
        <w:t xml:space="preserve"/>
      </w:r>
    </w:p>
    <w:p>
      <w:pPr>
        <w:pStyle w:val="Heading2"/>
        <w:spacing w:after="120" w:before="240"/>
      </w:pPr>
      <w:r>
        <w:rPr>
          <w:rFonts w:ascii="Arial" w:cs="Arial" w:eastAsia="Arial" w:hAnsi="Arial"/>
          <w:b/>
          <w:bCs/>
          <w:color w:val="283593"/>
          <w:sz w:val="26"/>
          <w:szCs w:val="26"/>
        </w:rPr>
        <w:t xml:space="preserve">M-03 [MEDIUM] verifyProof() Is Publicly Callable — Misleading Event Emission</w:t>
      </w:r>
    </w:p>
    <w:p>
      <w:pPr>
        <w:spacing w:after="60" w:before="60"/>
      </w:pPr>
      <w:r>
        <w:rPr>
          <w:rFonts w:ascii="Arial" w:cs="Arial" w:eastAsia="Arial" w:hAnsi="Arial"/>
          <w:sz w:val="22"/>
          <w:szCs w:val="22"/>
        </w:rPr>
        <w:t xml:space="preserve">The verifyProof() function is not access-controlled, meaning any address (not just BATCH_COMMITTER_ROLE) can call it and emit a ProofVerified event for any batchId and any arbitrary leafHash. Off-chain indexers relying on this event as a trusted signal could be misled by spam or adversarial calls. Either restrict the function to BATCH_COMMITTER_ROLE, or clearly document in the NatSpec that this event is not an authoritative source and downstream systems must re-verify the proof themselves.</w:t>
      </w:r>
    </w:p>
    <w:p>
      <w:r>
        <w:t xml:space="preserve"/>
      </w:r>
    </w:p>
    <w:p>
      <w:pPr>
        <w:pStyle w:val="Heading2"/>
        <w:spacing w:after="120" w:before="240"/>
      </w:pPr>
      <w:r>
        <w:rPr>
          <w:rFonts w:ascii="Arial" w:cs="Arial" w:eastAsia="Arial" w:hAnsi="Arial"/>
          <w:b/>
          <w:bCs/>
          <w:color w:val="283593"/>
          <w:sz w:val="26"/>
          <w:szCs w:val="26"/>
        </w:rPr>
        <w:t xml:space="preserve">M-04 [MEDIUM] LISK_SEPOLIA_API_KEY Contains RPC URL, Not API Key</w:t>
      </w:r>
    </w:p>
    <w:p>
      <w:pPr>
        <w:spacing w:after="60" w:before="60"/>
      </w:pPr>
      <w:r>
        <w:rPr>
          <w:rFonts w:ascii="Arial" w:cs="Arial" w:eastAsia="Arial" w:hAnsi="Arial"/>
          <w:sz w:val="22"/>
          <w:szCs w:val="22"/>
        </w:rPr>
        <w:t xml:space="preserve">In .env, the variable LISK_SEPOLIA_API_KEY is set to 'https://rpc.sepolia-api.lisk.com', which is an RPC URL. In hardhat.config.js line 65, this same variable is passed as the Etherscan/BlockScout API key for contract verification. This will cause contract verification on Lisk Sepolia to fail or behave unexpectedly. Rename the variable to LISK_SEPOLIA_RPC_URL and obtain a real BlockScout API key for verification.</w:t>
      </w:r>
    </w:p>
    <w:p>
      <w:r>
        <w:t xml:space="preserve"/>
      </w:r>
    </w:p>
    <w:p>
      <w:pPr>
        <w:pStyle w:val="Heading2"/>
        <w:spacing w:after="120" w:before="240"/>
      </w:pPr>
      <w:r>
        <w:rPr>
          <w:rFonts w:ascii="Arial" w:cs="Arial" w:eastAsia="Arial" w:hAnsi="Arial"/>
          <w:b/>
          <w:bCs/>
          <w:color w:val="283593"/>
          <w:sz w:val="26"/>
          <w:szCs w:val="26"/>
        </w:rPr>
        <w:t xml:space="preserve">M-05 [MEDIUM] Wallet Mappings Not Cleared on Actor Revocation</w:t>
      </w:r>
    </w:p>
    <w:p>
      <w:pPr>
        <w:spacing w:after="60" w:before="60"/>
      </w:pPr>
      <w:r>
        <w:rPr>
          <w:rFonts w:ascii="Arial" w:cs="Arial" w:eastAsia="Arial" w:hAnsi="Arial"/>
          <w:sz w:val="22"/>
          <w:szCs w:val="22"/>
        </w:rPr>
        <w:t xml:space="preserve">When setActorStatus() suspends or revokes an actor, the walletToActor mapping entries for both custodialWallet and selfCustodialWallet are not cleared. This means a revoked actor's wallet address still maps to their actorId. Any downstream system relying on walletToActor for a quick active-actor lookup (without additionally checking actor status) will receive stale data. Recommendation: clear the wallet mappings in setActorStatus() when transitioning to Revoked, or document explicitly that walletToActor must always be cross-checked with actor status.</w:t>
      </w:r>
    </w:p>
    <w:p>
      <w:r>
        <w:t xml:space="preserve"/>
      </w:r>
    </w:p>
    <w:p>
      <w:pPr>
        <w:pStyle w:val="Heading2"/>
        <w:spacing w:after="120" w:before="240"/>
      </w:pPr>
      <w:r>
        <w:rPr>
          <w:rFonts w:ascii="Arial" w:cs="Arial" w:eastAsia="Arial" w:hAnsi="Arial"/>
          <w:b/>
          <w:bCs/>
          <w:color w:val="283593"/>
          <w:sz w:val="26"/>
          <w:szCs w:val="26"/>
        </w:rPr>
        <w:t xml:space="preserve">M-06 [MEDIUM] No Automated Security Pipeline — No CI/CD</w:t>
      </w:r>
    </w:p>
    <w:p>
      <w:pPr>
        <w:spacing w:after="60" w:before="60"/>
      </w:pPr>
      <w:r>
        <w:rPr>
          <w:rFonts w:ascii="Arial" w:cs="Arial" w:eastAsia="Arial" w:hAnsi="Arial"/>
          <w:sz w:val="22"/>
          <w:szCs w:val="22"/>
        </w:rPr>
        <w:t xml:space="preserve">There are no GitHub Actions, GitLab CI, or equivalent automated pipelines configured. This means the codebase has no automated gating for: test execution, Slither or Mythril static analysis, solhint linting, gas regression testing, or dependency CVE scanning before each push or deployment. For a mainnet deployment handling real-world provenance data, automated pre-deploy verification is non-negotiable. Set up at minimum: npm test, forge test, solhint, and slither in a CI workflow.</w:t>
      </w:r>
    </w:p>
    <w:p>
      <w:r>
        <w:t xml:space="preserve"/>
      </w:r>
    </w:p>
    <w:p>
      <w:pPr>
        <w:pStyle w:val="Heading2"/>
        <w:spacing w:after="120" w:before="240"/>
      </w:pPr>
      <w:r>
        <w:rPr>
          <w:rFonts w:ascii="Arial" w:cs="Arial" w:eastAsia="Arial" w:hAnsi="Arial"/>
          <w:b/>
          <w:bCs/>
          <w:color w:val="283593"/>
          <w:sz w:val="26"/>
          <w:szCs w:val="26"/>
        </w:rPr>
        <w:t xml:space="preserve">M-07 [MEDIUM] delegateVerifier() Allows Inconsistent certifiedAt=0 When trainingCertified=true</w:t>
      </w:r>
    </w:p>
    <w:p>
      <w:pPr>
        <w:spacing w:after="60" w:before="60"/>
      </w:pPr>
      <w:r>
        <w:rPr>
          <w:rFonts w:ascii="Arial" w:cs="Arial" w:eastAsia="Arial" w:hAnsi="Arial"/>
          <w:sz w:val="22"/>
          <w:szCs w:val="22"/>
        </w:rPr>
        <w:t xml:space="preserve">The delegateVerifier() function allows callers to pass trainingCertified=true with certifiedAt=0, creating an internally inconsistent on-chain record — a verifier marked as certified but with a zero certification timestamp. The fix is to add a validation: if (trainingCertified &amp;&amp; certifiedAt == 0) revert InvalidCertificationTimestamp();</w:t>
      </w:r>
    </w:p>
    <w:p>
      <w:r>
        <w:t xml:space="preserve"/>
      </w:r>
    </w:p>
    <w:p>
      <w:pPr>
        <w:pStyle w:val="Heading2"/>
        <w:spacing w:after="120" w:before="240"/>
      </w:pPr>
      <w:r>
        <w:rPr>
          <w:rFonts w:ascii="Arial" w:cs="Arial" w:eastAsia="Arial" w:hAnsi="Arial"/>
          <w:b/>
          <w:bCs/>
          <w:color w:val="283593"/>
          <w:sz w:val="26"/>
          <w:szCs w:val="26"/>
        </w:rPr>
        <w:t xml:space="preserve">L-01 through L-06 — Low Severity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Location</w:t>
            </w:r>
          </w:p>
        </w:tc>
        <w:tc>
          <w:tcPr>
            <w:tcW w:type="dxa" w:w="63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Summary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0"/>
                <w:szCs w:val="20"/>
              </w:rPr>
              <w:t xml:space="preserve">L-01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AtsurActorRegistry.sol:299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registerActor() accepts kycCommitment=bytes32(0) with no validation. Add: if (kycCommitment == bytes32(0)) revert InvalidKycCommitment();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565C0"/>
                <w:sz w:val="20"/>
                <w:szCs w:val="20"/>
              </w:rPr>
              <w:t xml:space="preserve">L-02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AtsurActorRegistry.sol:127</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institutionVerifiers[] array is never pruned. Revoked verifiers remain in the array permanently. For large institutions this creates unbounded gas costs in getInstitutionVerifiers(). Consider a swap-and-pop pattern on revocation.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0"/>
                <w:szCs w:val="20"/>
              </w:rPr>
              <w:t xml:space="preserve">L-03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deployAll.js:25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OPERATOR_ADDRESS and BATCH_COMMITTER_ROLE wallet. If this hot wallet is compromised, all registry operations are exposed. Consider a secondary operator or an m-of-n off-chain signing scheme.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565C0"/>
                <w:sz w:val="20"/>
                <w:szCs w:val="20"/>
              </w:rPr>
              <w:t xml:space="preserve">L-04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Ops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on-chain monitoring configured (Tenderly, OpenZeppelin Defender, or equivalent). Role grants, pauses, upgrades, and large batch submissions should trigger real-time alerts.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0"/>
                <w:szCs w:val="20"/>
              </w:rPr>
              <w:t xml:space="preserve">L-05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AtsurProvenance.sol:236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BATCH_COMMITTER_ROLE and PAUSER_ROLE are not granted in initialize(). They must be set separately via grantRoles.js. Skipping this step leaves the contract inoperable without obvious error. Consider granting them in the initializer with configurable addresses.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565C0"/>
                <w:sz w:val="20"/>
                <w:szCs w:val="20"/>
              </w:rPr>
              <w:t xml:space="preserve">L-06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package.json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lint script runs solhint without a .solhint.json config file. Without explicit rules, security-critical patterns (immutable state changes, unchecked assembly, etc.) will be missed. Add a .solhint.json with security-focused rules.</w:t>
            </w:r>
          </w:p>
        </w:tc>
      </w:tr>
    </w:tbl>
    <w:p>
      <w:r>
        <w:t xml:space="preserve"/>
      </w:r>
    </w:p>
    <w:p>
      <w:pPr>
        <w:pStyle w:val="Heading2"/>
        <w:spacing w:after="120" w:before="240"/>
      </w:pPr>
      <w:r>
        <w:rPr>
          <w:rFonts w:ascii="Arial" w:cs="Arial" w:eastAsia="Arial" w:hAnsi="Arial"/>
          <w:b/>
          <w:bCs/>
          <w:color w:val="283593"/>
          <w:sz w:val="26"/>
          <w:szCs w:val="26"/>
        </w:rPr>
        <w:t xml:space="preserve">I-01 through I-04 — Informational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Location</w:t>
            </w:r>
          </w:p>
        </w:tc>
        <w:tc>
          <w:tcPr>
            <w:tcW w:type="dxa" w:w="63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Summary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88E3C"/>
                <w:sz w:val="20"/>
                <w:szCs w:val="20"/>
              </w:rPr>
              <w:t xml:space="preserve">I-01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AtsurActorRegistry.sol:67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 struct stores actorId redundantly (32 bytes wasted per actor). The actorId is already the mapping key. Remove it from the struct to reduce gas costs and storage footprint.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88E3C"/>
                <w:sz w:val="20"/>
                <w:szCs w:val="20"/>
              </w:rPr>
              <w:t xml:space="preserve">I-02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AtsurProvenance.sol:547</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AtsurProvenance.version() returns "2.0.0" while AtsurActorRegistry.version() returns "1.0.0". For an initial deployment both should start at 1.0.0. Mismatched versions could confuse upgrade tooling.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88E3C"/>
                <w:sz w:val="20"/>
                <w:szCs w:val="20"/>
              </w:rPr>
              <w:t xml:space="preserve">I-03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AtsurProvenance.sol:570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_validateArweaveTxId() only rejects bytes32(0) and all-same-byte patterns. A valid-looking but fake Arweave TX ID would pass. Consider adding a format prefix check or moving Arweave TX ID validation off-chain before submission.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88E3C"/>
                <w:sz w:val="20"/>
                <w:szCs w:val="20"/>
              </w:rPr>
              <w:t xml:space="preserve">I-04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AtsurProvenance.sol:562</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_requireValidProof() accepts any-length Merkle proof arrays with no maximum bound. A malicious BATCH_COMMITTER could pass an extremely long proof to waste gas. Add: if (proof.length &gt; 32) revert ProofTooLong();</w:t>
            </w:r>
          </w:p>
        </w:tc>
      </w:tr>
    </w:tbl>
    <w:p>
      <w:r>
        <w:br w:type="page"/>
      </w:r>
    </w:p>
    <w:p>
      <w:pPr>
        <w:pStyle w:val="Heading1"/>
        <w:spacing w:after="160" w:before="320"/>
      </w:pPr>
      <w:r>
        <w:rPr>
          <w:rFonts w:ascii="Arial" w:cs="Arial" w:eastAsia="Arial" w:hAnsi="Arial"/>
          <w:b/>
          <w:bCs/>
          <w:color w:val="1A237E"/>
          <w:sz w:val="32"/>
          <w:szCs w:val="32"/>
        </w:rPr>
        <w:t xml:space="preserve">5. Strengths — What Looks Good</w:t>
      </w:r>
    </w:p>
    <w:p>
      <w:r>
        <w:t xml:space="preserve"/>
      </w:r>
    </w:p>
    <w:p>
      <w:pPr>
        <w:spacing w:after="60" w:before="60"/>
      </w:pPr>
      <w:r>
        <w:rPr>
          <w:rFonts w:ascii="Arial" w:cs="Arial" w:eastAsia="Arial" w:hAnsi="Arial"/>
          <w:sz w:val="22"/>
          <w:szCs w:val="22"/>
        </w:rPr>
        <w:t xml:space="preserve">This is a well-architected codebase for a first production release. The following elements are positive signals of engineering maturity:</w:t>
      </w:r>
    </w:p>
    <w:p>
      <w:r>
        <w:t xml:space="preserve"/>
      </w:r>
    </w:p>
    <w:p>
      <w:pPr>
        <w:pStyle w:val="ListParagraph"/>
        <w:numPr>
          <w:ilvl w:val="0"/>
          <w:numId w:val="2"/>
        </w:numPr>
        <w:spacing w:after="40" w:before="40"/>
        <w:ind w:left="720" w:hanging="360"/>
      </w:pPr>
      <w:r>
        <w:rPr>
          <w:rFonts w:ascii="Arial" w:cs="Arial" w:eastAsia="Arial" w:hAnsi="Arial"/>
          <w:sz w:val="22"/>
          <w:szCs w:val="22"/>
        </w:rPr>
        <w:t xml:space="preserve">OpenZeppelin UUPS pattern is implemented correctly. Constructor calls _disableInitializers(). __AccessControl_init() and __Pausable_init() are properly chained in the initializer. The storage gap of 50 slots is correctly reserved for future upgrades.</w:t>
      </w:r>
    </w:p>
    <w:p>
      <w:pPr>
        <w:pStyle w:val="ListParagraph"/>
        <w:numPr>
          <w:ilvl w:val="0"/>
          <w:numId w:val="2"/>
        </w:numPr>
        <w:spacing w:after="40" w:before="40"/>
        <w:ind w:left="720" w:hanging="360"/>
      </w:pPr>
      <w:r>
        <w:rPr>
          <w:rFonts w:ascii="Arial" w:cs="Arial" w:eastAsia="Arial" w:hAnsi="Arial"/>
          <w:sz w:val="22"/>
          <w:szCs w:val="22"/>
        </w:rPr>
        <w:t xml:space="preserve">Access control is thoughtfully layered. The distinction between DEFAULT_ADMIN_ROLE (multisig) and OPERATOR_ROLE / BATCH_COMMITTER_ROLE (hot wallet) reflects a sound least-privilege design.</w:t>
      </w:r>
    </w:p>
    <w:p>
      <w:pPr>
        <w:pStyle w:val="ListParagraph"/>
        <w:numPr>
          <w:ilvl w:val="0"/>
          <w:numId w:val="2"/>
        </w:numPr>
        <w:spacing w:after="40" w:before="40"/>
        <w:ind w:left="720" w:hanging="360"/>
      </w:pPr>
      <w:r>
        <w:rPr>
          <w:rFonts w:ascii="Arial" w:cs="Arial" w:eastAsia="Arial" w:hAnsi="Arial"/>
          <w:sz w:val="22"/>
          <w:szCs w:val="22"/>
        </w:rPr>
        <w:t xml:space="preserve">No ether or token transfers anywhere. The contracts are pure state-anchoring contracts with no ETH/ERC-20 value flows, which dramatically reduces the attack surface.</w:t>
      </w:r>
    </w:p>
    <w:p>
      <w:pPr>
        <w:pStyle w:val="ListParagraph"/>
        <w:numPr>
          <w:ilvl w:val="0"/>
          <w:numId w:val="2"/>
        </w:numPr>
        <w:spacing w:after="40" w:before="40"/>
        <w:ind w:left="720" w:hanging="360"/>
      </w:pPr>
      <w:r>
        <w:rPr>
          <w:rFonts w:ascii="Arial" w:cs="Arial" w:eastAsia="Arial" w:hAnsi="Arial"/>
          <w:sz w:val="22"/>
          <w:szCs w:val="22"/>
        </w:rPr>
        <w:t xml:space="preserve">Duplicate Merkle root and Arweave TX ID prevention is correctly implemented via usedMerkleRoots and usedArweaveTxIds mappings, preventing replay attacks at the batch level.</w:t>
      </w:r>
    </w:p>
    <w:p>
      <w:pPr>
        <w:pStyle w:val="ListParagraph"/>
        <w:numPr>
          <w:ilvl w:val="0"/>
          <w:numId w:val="2"/>
        </w:numPr>
        <w:spacing w:after="40" w:before="40"/>
        <w:ind w:left="720" w:hanging="360"/>
      </w:pPr>
      <w:r>
        <w:rPr>
          <w:rFonts w:ascii="Arial" w:cs="Arial" w:eastAsia="Arial" w:hAnsi="Arial"/>
          <w:sz w:val="22"/>
          <w:szCs w:val="22"/>
        </w:rPr>
        <w:t xml:space="preserve">Custom error types throughout. All errors use Solidity custom error syntax, which is more gas-efficient than revert strings and provides better ABI-level tooling support.</w:t>
      </w:r>
    </w:p>
    <w:p>
      <w:pPr>
        <w:pStyle w:val="ListParagraph"/>
        <w:numPr>
          <w:ilvl w:val="0"/>
          <w:numId w:val="2"/>
        </w:numPr>
        <w:spacing w:after="40" w:before="40"/>
        <w:ind w:left="720" w:hanging="360"/>
      </w:pPr>
      <w:r>
        <w:rPr>
          <w:rFonts w:ascii="Arial" w:cs="Arial" w:eastAsia="Arial" w:hAnsi="Arial"/>
          <w:sz w:val="22"/>
          <w:szCs w:val="22"/>
        </w:rPr>
        <w:t xml:space="preserve">Sorted Merkle proofs via OpenZeppelin's MerkleProof library. Using the battle-tested OZ implementation prevents common hash-collision vulnerabilities in custom Merkle implementations.</w:t>
      </w:r>
    </w:p>
    <w:p>
      <w:pPr>
        <w:pStyle w:val="ListParagraph"/>
        <w:numPr>
          <w:ilvl w:val="0"/>
          <w:numId w:val="2"/>
        </w:numPr>
        <w:spacing w:after="40" w:before="40"/>
        <w:ind w:left="720" w:hanging="360"/>
      </w:pPr>
      <w:r>
        <w:rPr>
          <w:rFonts w:ascii="Arial" w:cs="Arial" w:eastAsia="Arial" w:hAnsi="Arial"/>
          <w:sz w:val="22"/>
          <w:szCs w:val="22"/>
        </w:rPr>
        <w:t xml:space="preserve">Provider-agnostic KYC commitment design. The keccak256(providerName + userId + atsurUuid + salt) scheme correctly keeps all PII off-chain while enabling deterministic on-chain verification.</w:t>
      </w:r>
    </w:p>
    <w:p>
      <w:pPr>
        <w:pStyle w:val="ListParagraph"/>
        <w:numPr>
          <w:ilvl w:val="0"/>
          <w:numId w:val="2"/>
        </w:numPr>
        <w:spacing w:after="40" w:before="40"/>
        <w:ind w:left="720" w:hanging="360"/>
      </w:pPr>
      <w:r>
        <w:rPr>
          <w:rFonts w:ascii="Arial" w:cs="Arial" w:eastAsia="Arial" w:hAnsi="Arial"/>
          <w:sz w:val="22"/>
          <w:szCs w:val="22"/>
        </w:rPr>
        <w:t xml:space="preserve">PAUSER_ROLE and pause/unpause are correctly implemented. Emergency circuit breaker for batch submissions is appropriately scoped without affecting view functions.</w:t>
      </w:r>
    </w:p>
    <w:p>
      <w:pPr>
        <w:pStyle w:val="ListParagraph"/>
        <w:numPr>
          <w:ilvl w:val="0"/>
          <w:numId w:val="2"/>
        </w:numPr>
        <w:spacing w:after="40" w:before="40"/>
        <w:ind w:left="720" w:hanging="360"/>
      </w:pPr>
      <w:r>
        <w:rPr>
          <w:rFonts w:ascii="Arial" w:cs="Arial" w:eastAsia="Arial" w:hAnsi="Arial"/>
          <w:sz w:val="22"/>
          <w:szCs w:val="22"/>
        </w:rPr>
        <w:t xml:space="preserve">Hardhat + Foundry dual test infrastructure is a strong testing posture. Foundry's fuzz testing and Hardhat's integration test suite provide good coverage complementarity.</w:t>
      </w:r>
    </w:p>
    <w:p>
      <w:pPr>
        <w:pStyle w:val="ListParagraph"/>
        <w:numPr>
          <w:ilvl w:val="0"/>
          <w:numId w:val="2"/>
        </w:numPr>
        <w:spacing w:after="40" w:before="40"/>
        <w:ind w:left="720" w:hanging="360"/>
      </w:pPr>
      <w:r>
        <w:rPr>
          <w:rFonts w:ascii="Arial" w:cs="Arial" w:eastAsia="Arial" w:hAnsi="Arial"/>
          <w:sz w:val="22"/>
          <w:szCs w:val="22"/>
        </w:rPr>
        <w:t xml:space="preserve">Gas-optimized struct packing is well-documented with explicit slot layout comments, reducing storage costs for high-volume actor and batch storage.</w:t>
      </w:r>
    </w:p>
    <w:p>
      <w:r>
        <w:br w:type="page"/>
      </w:r>
    </w:p>
    <w:p>
      <w:pPr>
        <w:pStyle w:val="Heading1"/>
        <w:spacing w:after="160" w:before="320"/>
      </w:pPr>
      <w:r>
        <w:rPr>
          <w:rFonts w:ascii="Arial" w:cs="Arial" w:eastAsia="Arial" w:hAnsi="Arial"/>
          <w:b/>
          <w:bCs/>
          <w:color w:val="1A237E"/>
          <w:sz w:val="32"/>
          <w:szCs w:val="32"/>
        </w:rPr>
        <w:t xml:space="preserve">6. Pre-Mainnet Deployment Checklist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5760"/>
        <w:gridCol w:w="1800"/>
      </w:tblGrid>
      <w:tr>
        <w:trPr>
          <w:tblHeader/>
        </w:trPr>
        <w:tc>
          <w:tcPr>
            <w:tcW w:type="dxa" w:w="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57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Required</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12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6"/>
                <w:szCs w:val="16"/>
              </w:rPr>
              <w:t xml:space="preserve">CRITICAL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 H-01: Add actorExists check to _requireActiveActor()</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4A19"/>
                <w:sz w:val="20"/>
                <w:szCs w:val="20"/>
              </w:rPr>
              <w:t xml:space="preserve">OPEN</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12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6"/>
                <w:szCs w:val="16"/>
              </w:rPr>
              <w:t xml:space="preserve">CRITICAL</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Resolve H-02: Deploy Gnosis Safe multisig and set MULTISIG_ADDRESS</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4A19"/>
                <w:sz w:val="20"/>
                <w:szCs w:val="20"/>
              </w:rPr>
              <w:t xml:space="preserve">OPEN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12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6"/>
                <w:szCs w:val="16"/>
              </w:rPr>
              <w:t xml:space="preserve">CRITICAL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 H-03: Remove commented private key from .env</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4A19"/>
                <w:sz w:val="20"/>
                <w:szCs w:val="20"/>
              </w:rPr>
              <w:t xml:space="preserve">OPEN</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1200"/>
            <w:tcBorders>
              <w:top w:val="single" w:color="CCCCCC" w:sz="1"/>
              <w:left w:val="single" w:color="CCCCCC" w:sz="1"/>
              <w:bottom w:val="single" w:color="CCCCCC" w:sz="1"/>
              <w:right w:val="single" w:color="CCCCCC" w:sz="1"/>
            </w:tcBorders>
            <w:shd w:fill="E64A19" w:val="clear"/>
            <w:tcMar>
              <w:top w:type="dxa" w:w="80"/>
              <w:left w:type="dxa" w:w="80"/>
              <w:bottom w:type="dxa" w:w="80"/>
              <w:right w:type="dxa" w:w="80"/>
            </w:tcMar>
          </w:tcPr>
          <w:p>
            <w:pPr>
              <w:jc w:val="center"/>
            </w:pPr>
            <w:r>
              <w:rPr>
                <w:rFonts w:ascii="Arial" w:cs="Arial" w:eastAsia="Arial" w:hAnsi="Arial"/>
                <w:b/>
                <w:bCs/>
                <w:color w:val="FFFFFF"/>
                <w:sz w:val="16"/>
                <w:szCs w:val="16"/>
              </w:rPr>
              <w:t xml:space="preserve">HIGH</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Resolve M-01: Check actorStatus (not just actorExists) for batch submitters</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4A19"/>
                <w:sz w:val="20"/>
                <w:szCs w:val="20"/>
              </w:rPr>
              <w:t xml:space="preserve">OPEN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1200"/>
            <w:tcBorders>
              <w:top w:val="single" w:color="CCCCCC" w:sz="1"/>
              <w:left w:val="single" w:color="CCCCCC" w:sz="1"/>
              <w:bottom w:val="single" w:color="CCCCCC" w:sz="1"/>
              <w:right w:val="single" w:color="CCCCCC" w:sz="1"/>
            </w:tcBorders>
            <w:shd w:fill="E64A19" w:val="clear"/>
            <w:tcMar>
              <w:top w:type="dxa" w:w="80"/>
              <w:left w:type="dxa" w:w="80"/>
              <w:bottom w:type="dxa" w:w="80"/>
              <w:right w:type="dxa" w:w="80"/>
            </w:tcMar>
          </w:tcPr>
          <w:p>
            <w:pPr>
              <w:jc w:val="center"/>
            </w:pPr>
            <w:r>
              <w:rPr>
                <w:rFonts w:ascii="Arial" w:cs="Arial" w:eastAsia="Arial" w:hAnsi="Arial"/>
                <w:b/>
                <w:bCs/>
                <w:color w:val="FFFFFF"/>
                <w:sz w:val="16"/>
                <w:szCs w:val="16"/>
              </w:rPr>
              <w:t xml:space="preserve">HIGH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 M-02: Replace custom nonReentrant with ReentrancyGuardUpgradeable</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4A19"/>
                <w:sz w:val="20"/>
                <w:szCs w:val="20"/>
              </w:rPr>
              <w:t xml:space="preserve">OPEN</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1200"/>
            <w:tcBorders>
              <w:top w:val="single" w:color="CCCCCC" w:sz="1"/>
              <w:left w:val="single" w:color="CCCCCC" w:sz="1"/>
              <w:bottom w:val="single" w:color="CCCCCC" w:sz="1"/>
              <w:right w:val="single" w:color="CCCCCC" w:sz="1"/>
            </w:tcBorders>
            <w:shd w:fill="E64A19" w:val="clear"/>
            <w:tcMar>
              <w:top w:type="dxa" w:w="80"/>
              <w:left w:type="dxa" w:w="80"/>
              <w:bottom w:type="dxa" w:w="80"/>
              <w:right w:type="dxa" w:w="80"/>
            </w:tcMar>
          </w:tcPr>
          <w:p>
            <w:pPr>
              <w:jc w:val="center"/>
            </w:pPr>
            <w:r>
              <w:rPr>
                <w:rFonts w:ascii="Arial" w:cs="Arial" w:eastAsia="Arial" w:hAnsi="Arial"/>
                <w:b/>
                <w:bCs/>
                <w:color w:val="FFFFFF"/>
                <w:sz w:val="16"/>
                <w:szCs w:val="16"/>
              </w:rPr>
              <w:t xml:space="preserve">HIGH</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Resolve M-03: Add access control to verifyProof() or update NatSpec</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4A19"/>
                <w:sz w:val="20"/>
                <w:szCs w:val="20"/>
              </w:rPr>
              <w:t xml:space="preserve">OPEN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1200"/>
            <w:tcBorders>
              <w:top w:val="single" w:color="CCCCCC" w:sz="1"/>
              <w:left w:val="single" w:color="CCCCCC" w:sz="1"/>
              <w:bottom w:val="single" w:color="CCCCCC" w:sz="1"/>
              <w:right w:val="single" w:color="CCCCCC" w:sz="1"/>
            </w:tcBorders>
            <w:shd w:fill="E64A19" w:val="clear"/>
            <w:tcMar>
              <w:top w:type="dxa" w:w="80"/>
              <w:left w:type="dxa" w:w="80"/>
              <w:bottom w:type="dxa" w:w="80"/>
              <w:right w:type="dxa" w:w="80"/>
            </w:tcMar>
          </w:tcPr>
          <w:p>
            <w:pPr>
              <w:jc w:val="center"/>
            </w:pPr>
            <w:r>
              <w:rPr>
                <w:rFonts w:ascii="Arial" w:cs="Arial" w:eastAsia="Arial" w:hAnsi="Arial"/>
                <w:b/>
                <w:bCs/>
                <w:color w:val="FFFFFF"/>
                <w:sz w:val="16"/>
                <w:szCs w:val="16"/>
              </w:rPr>
              <w:t xml:space="preserve">HIGH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 M-04: Fix LISK_SEPOLIA_API_KEY — use actual BlockScout API key</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4A19"/>
                <w:sz w:val="20"/>
                <w:szCs w:val="20"/>
              </w:rPr>
              <w:t xml:space="preserve">OPEN</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1200"/>
            <w:tcBorders>
              <w:top w:val="single" w:color="CCCCCC" w:sz="1"/>
              <w:left w:val="single" w:color="CCCCCC" w:sz="1"/>
              <w:bottom w:val="single" w:color="CCCCCC" w:sz="1"/>
              <w:right w:val="single" w:color="CCCCCC" w:sz="1"/>
            </w:tcBorders>
            <w:shd w:fill="E64A19" w:val="clear"/>
            <w:tcMar>
              <w:top w:type="dxa" w:w="80"/>
              <w:left w:type="dxa" w:w="80"/>
              <w:bottom w:type="dxa" w:w="80"/>
              <w:right w:type="dxa" w:w="80"/>
            </w:tcMar>
          </w:tcPr>
          <w:p>
            <w:pPr>
              <w:jc w:val="center"/>
            </w:pPr>
            <w:r>
              <w:rPr>
                <w:rFonts w:ascii="Arial" w:cs="Arial" w:eastAsia="Arial" w:hAnsi="Arial"/>
                <w:b/>
                <w:bCs/>
                <w:color w:val="FFFFFF"/>
                <w:sz w:val="16"/>
                <w:szCs w:val="16"/>
              </w:rPr>
              <w:t xml:space="preserve">HIGH</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Resolve M-05: Clear walletToActor mappings on actor revocation</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4A19"/>
                <w:sz w:val="20"/>
                <w:szCs w:val="20"/>
              </w:rPr>
              <w:t xml:space="preserve">OPEN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9</w:t>
            </w:r>
          </w:p>
        </w:tc>
        <w:tc>
          <w:tcPr>
            <w:tcW w:type="dxa" w:w="1200"/>
            <w:tcBorders>
              <w:top w:val="single" w:color="CCCCCC" w:sz="1"/>
              <w:left w:val="single" w:color="CCCCCC" w:sz="1"/>
              <w:bottom w:val="single" w:color="CCCCCC" w:sz="1"/>
              <w:right w:val="single" w:color="CCCCCC" w:sz="1"/>
            </w:tcBorders>
            <w:shd w:fill="E64A19" w:val="clear"/>
            <w:tcMar>
              <w:top w:type="dxa" w:w="80"/>
              <w:left w:type="dxa" w:w="80"/>
              <w:bottom w:type="dxa" w:w="80"/>
              <w:right w:type="dxa" w:w="80"/>
            </w:tcMar>
          </w:tcPr>
          <w:p>
            <w:pPr>
              <w:jc w:val="center"/>
            </w:pPr>
            <w:r>
              <w:rPr>
                <w:rFonts w:ascii="Arial" w:cs="Arial" w:eastAsia="Arial" w:hAnsi="Arial"/>
                <w:b/>
                <w:bCs/>
                <w:color w:val="FFFFFF"/>
                <w:sz w:val="16"/>
                <w:szCs w:val="16"/>
              </w:rPr>
              <w:t xml:space="preserve">HIGH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 M-07: Validate certifiedAt != 0 when trainingCertified = true</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4A19"/>
                <w:sz w:val="20"/>
                <w:szCs w:val="20"/>
              </w:rPr>
              <w:t xml:space="preserve">OPEN</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1200"/>
            <w:tcBorders>
              <w:top w:val="single" w:color="CCCCCC" w:sz="1"/>
              <w:left w:val="single" w:color="CCCCCC" w:sz="1"/>
              <w:bottom w:val="single" w:color="CCCCCC" w:sz="1"/>
              <w:right w:val="single" w:color="CCCCCC" w:sz="1"/>
            </w:tcBorders>
            <w:shd w:fill="F9A825"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MEDIUM</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Set up GitHub Actions CI with: forge test, hardhat test, solhint, slither</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4A19"/>
                <w:sz w:val="20"/>
                <w:szCs w:val="20"/>
              </w:rPr>
              <w:t xml:space="preserve">OPEN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11</w:t>
            </w:r>
          </w:p>
        </w:tc>
        <w:tc>
          <w:tcPr>
            <w:tcW w:type="dxa" w:w="1200"/>
            <w:tcBorders>
              <w:top w:val="single" w:color="CCCCCC" w:sz="1"/>
              <w:left w:val="single" w:color="CCCCCC" w:sz="1"/>
              <w:bottom w:val="single" w:color="CCCCCC" w:sz="1"/>
              <w:right w:val="single" w:color="CCCCCC" w:sz="1"/>
            </w:tcBorders>
            <w:shd w:fill="F9A825"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L-01 fix: reject zero kycCommitment in registerActor()</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4A19"/>
                <w:sz w:val="20"/>
                <w:szCs w:val="20"/>
              </w:rPr>
              <w:t xml:space="preserve">OPEN</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sz w:val="20"/>
                <w:szCs w:val="20"/>
              </w:rPr>
              <w:t xml:space="preserve">12</w:t>
            </w:r>
          </w:p>
        </w:tc>
        <w:tc>
          <w:tcPr>
            <w:tcW w:type="dxa" w:w="1200"/>
            <w:tcBorders>
              <w:top w:val="single" w:color="CCCCCC" w:sz="1"/>
              <w:left w:val="single" w:color="CCCCCC" w:sz="1"/>
              <w:bottom w:val="single" w:color="CCCCCC" w:sz="1"/>
              <w:right w:val="single" w:color="CCCCCC" w:sz="1"/>
            </w:tcBorders>
            <w:shd w:fill="F9A825"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MEDIUM</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Set up on-chain monitoring via Tenderly or OpenZeppelin Defender</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4A19"/>
                <w:sz w:val="20"/>
                <w:szCs w:val="20"/>
              </w:rPr>
              <w:t xml:space="preserve">OPEN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13</w:t>
            </w:r>
          </w:p>
        </w:tc>
        <w:tc>
          <w:tcPr>
            <w:tcW w:type="dxa" w:w="1200"/>
            <w:tcBorders>
              <w:top w:val="single" w:color="CCCCCC" w:sz="1"/>
              <w:left w:val="single" w:color="CCCCCC" w:sz="1"/>
              <w:bottom w:val="single" w:color="CCCCCC" w:sz="1"/>
              <w:right w:val="single" w:color="CCCCCC" w:sz="1"/>
            </w:tcBorders>
            <w:shd w:fill="F9A825"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full Slither static analysis and resolve all HIGH/MEDIUM findings</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4A19"/>
                <w:sz w:val="20"/>
                <w:szCs w:val="20"/>
              </w:rPr>
              <w:t xml:space="preserve">OPEN</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sz w:val="20"/>
                <w:szCs w:val="20"/>
              </w:rPr>
              <w:t xml:space="preserve">14</w:t>
            </w:r>
          </w:p>
        </w:tc>
        <w:tc>
          <w:tcPr>
            <w:tcW w:type="dxa" w:w="1200"/>
            <w:tcBorders>
              <w:top w:val="single" w:color="CCCCCC" w:sz="1"/>
              <w:left w:val="single" w:color="CCCCCC" w:sz="1"/>
              <w:bottom w:val="single" w:color="CCCCCC" w:sz="1"/>
              <w:right w:val="single" w:color="CCCCCC" w:sz="1"/>
            </w:tcBorders>
            <w:shd w:fill="F9A825"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MEDIUM</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Obtain independent third-party audit before mainnet for contracts handling real data</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4A19"/>
                <w:sz w:val="20"/>
                <w:szCs w:val="20"/>
              </w:rPr>
              <w:t xml:space="preserve">OPEN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15</w:t>
            </w:r>
          </w:p>
        </w:tc>
        <w:tc>
          <w:tcPr>
            <w:tcW w:type="dxa" w:w="1200"/>
            <w:tcBorders>
              <w:top w:val="single" w:color="CCCCCC" w:sz="1"/>
              <w:left w:val="single" w:color="CCCCCC" w:sz="1"/>
              <w:bottom w:val="single" w:color="CCCCCC" w:sz="1"/>
              <w:right w:val="single" w:color="CCCCCC" w:sz="1"/>
            </w:tcBorders>
            <w:shd w:fill="F9A825"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test coverage is &gt;85% across all code paths for both contracts</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4A19"/>
                <w:sz w:val="20"/>
                <w:szCs w:val="20"/>
              </w:rPr>
              <w:t xml:space="preserve">OPEN</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sz w:val="20"/>
                <w:szCs w:val="20"/>
              </w:rPr>
              <w:t xml:space="preserve">16</w:t>
            </w:r>
          </w:p>
        </w:tc>
        <w:tc>
          <w:tcPr>
            <w:tcW w:type="dxa" w:w="1200"/>
            <w:tcBorders>
              <w:top w:val="single" w:color="CCCCCC" w:sz="1"/>
              <w:left w:val="single" w:color="CCCCCC" w:sz="1"/>
              <w:bottom w:val="single" w:color="CCCCCC" w:sz="1"/>
              <w:right w:val="single" w:color="CCCCCC" w:sz="1"/>
            </w:tcBorders>
            <w:shd w:fill="1565C0" w:val="clear"/>
            <w:tcMar>
              <w:top w:type="dxa" w:w="80"/>
              <w:left w:type="dxa" w:w="80"/>
              <w:bottom w:type="dxa" w:w="80"/>
              <w:right w:type="dxa" w:w="80"/>
            </w:tcMar>
          </w:tcPr>
          <w:p>
            <w:pPr>
              <w:jc w:val="center"/>
            </w:pPr>
            <w:r>
              <w:rPr>
                <w:rFonts w:ascii="Arial" w:cs="Arial" w:eastAsia="Arial" w:hAnsi="Arial"/>
                <w:b/>
                <w:bCs/>
                <w:color w:val="FFFFFF"/>
                <w:sz w:val="16"/>
                <w:szCs w:val="16"/>
              </w:rPr>
              <w:t xml:space="preserve">LOW</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Add .solhint.json with security-focused rule set</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4A19"/>
                <w:sz w:val="20"/>
                <w:szCs w:val="20"/>
              </w:rPr>
              <w:t xml:space="preserve">OPEN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17</w:t>
            </w:r>
          </w:p>
        </w:tc>
        <w:tc>
          <w:tcPr>
            <w:tcW w:type="dxa" w:w="1200"/>
            <w:tcBorders>
              <w:top w:val="single" w:color="CCCCCC" w:sz="1"/>
              <w:left w:val="single" w:color="CCCCCC" w:sz="1"/>
              <w:bottom w:val="single" w:color="CCCCCC" w:sz="1"/>
              <w:right w:val="single" w:color="CCCCCC" w:sz="1"/>
            </w:tcBorders>
            <w:shd w:fill="1565C0" w:val="clear"/>
            <w:tcMar>
              <w:top w:type="dxa" w:w="80"/>
              <w:left w:type="dxa" w:w="80"/>
              <w:bottom w:type="dxa" w:w="80"/>
              <w:right w:type="dxa" w:w="80"/>
            </w:tcMar>
          </w:tcPr>
          <w:p>
            <w:pPr>
              <w:jc w:val="center"/>
            </w:pPr>
            <w:r>
              <w:rPr>
                <w:rFonts w:ascii="Arial" w:cs="Arial" w:eastAsia="Arial" w:hAnsi="Arial"/>
                <w:b/>
                <w:bCs/>
                <w:color w:val="FFFFFF"/>
                <w:sz w:val="16"/>
                <w:szCs w:val="16"/>
              </w:rPr>
              <w:t xml:space="preserve">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Align AtsurProvenance.version() to 1.0.0 to match registry version</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4A19"/>
                <w:sz w:val="20"/>
                <w:szCs w:val="20"/>
              </w:rPr>
              <w:t xml:space="preserve">OPEN</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sz w:val="20"/>
                <w:szCs w:val="20"/>
              </w:rPr>
              <w:t xml:space="preserve">18</w:t>
            </w:r>
          </w:p>
        </w:tc>
        <w:tc>
          <w:tcPr>
            <w:tcW w:type="dxa" w:w="1200"/>
            <w:tcBorders>
              <w:top w:val="single" w:color="CCCCCC" w:sz="1"/>
              <w:left w:val="single" w:color="CCCCCC" w:sz="1"/>
              <w:bottom w:val="single" w:color="CCCCCC" w:sz="1"/>
              <w:right w:val="single" w:color="CCCCCC" w:sz="1"/>
            </w:tcBorders>
            <w:shd w:fill="1565C0" w:val="clear"/>
            <w:tcMar>
              <w:top w:type="dxa" w:w="80"/>
              <w:left w:type="dxa" w:w="80"/>
              <w:bottom w:type="dxa" w:w="80"/>
              <w:right w:type="dxa" w:w="80"/>
            </w:tcMar>
          </w:tcPr>
          <w:p>
            <w:pPr>
              <w:jc w:val="center"/>
            </w:pPr>
            <w:r>
              <w:rPr>
                <w:rFonts w:ascii="Arial" w:cs="Arial" w:eastAsia="Arial" w:hAnsi="Arial"/>
                <w:b/>
                <w:bCs/>
                <w:color w:val="FFFFFF"/>
                <w:sz w:val="16"/>
                <w:szCs w:val="16"/>
              </w:rPr>
              <w:t xml:space="preserve">LOW</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Document wallet-mapping behavior for suspended/revoked actors for API consumers</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4A19"/>
                <w:sz w:val="20"/>
                <w:szCs w:val="20"/>
              </w:rPr>
              <w:t xml:space="preserve">OPEN</w:t>
            </w:r>
          </w:p>
        </w:tc>
      </w:tr>
    </w:tbl>
    <w:p>
      <w:r>
        <w:br w:type="page"/>
      </w:r>
    </w:p>
    <w:p>
      <w:pPr>
        <w:pStyle w:val="Heading1"/>
        <w:spacing w:after="160" w:before="320"/>
      </w:pPr>
      <w:r>
        <w:rPr>
          <w:rFonts w:ascii="Arial" w:cs="Arial" w:eastAsia="Arial" w:hAnsi="Arial"/>
          <w:b/>
          <w:bCs/>
          <w:color w:val="1A237E"/>
          <w:sz w:val="32"/>
          <w:szCs w:val="32"/>
        </w:rPr>
        <w:t xml:space="preserve">7. Dependency Analysis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3160"/>
      </w:tblGrid>
      <w:tr>
        <w:trPr>
          <w:tblHeader/>
        </w:trPr>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Package</w:t>
            </w:r>
          </w:p>
        </w:tc>
        <w:tc>
          <w:tcPr>
            <w:tcW w:type="dxa" w:w="1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 Pinned</w:t>
            </w:r>
          </w:p>
        </w:tc>
        <w:tc>
          <w:tcPr>
            <w:tcW w:type="dxa" w:w="1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CVE Risk</w:t>
            </w:r>
          </w:p>
        </w:tc>
        <w:tc>
          <w:tcPr>
            <w:tcW w:type="dxa" w:w="3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@openzeppelin/contracts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18"/>
                <w:szCs w:val="18"/>
              </w:rPr>
              <w:t xml:space="preserve">^5.0.0</w:t>
            </w:r>
          </w:p>
        </w:tc>
        <w:tc>
          <w:tcPr>
            <w:tcW w:type="dxa" w:w="1600"/>
            <w:tcBorders>
              <w:top w:val="single" w:color="CCCCCC" w:sz="1"/>
              <w:left w:val="single" w:color="CCCCCC" w:sz="1"/>
              <w:bottom w:val="single" w:color="CCCCCC" w:sz="1"/>
              <w:right w:val="single" w:color="CCCCCC" w:sz="1"/>
            </w:tcBorders>
            <w:shd w:fill="388E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OZ v5 is the current stable branch. Pin to exact version (e.g. 5.0.2) for production.</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sz w:val="18"/>
                <w:szCs w:val="18"/>
              </w:rPr>
              <w:t xml:space="preserve">@openzeppelin/contracts-upgradeable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Courier New" w:cs="Courier New" w:eastAsia="Courier New" w:hAnsi="Courier New"/>
                <w:sz w:val="18"/>
                <w:szCs w:val="18"/>
              </w:rPr>
              <w:t xml:space="preserve">^5.0.0</w:t>
            </w:r>
          </w:p>
        </w:tc>
        <w:tc>
          <w:tcPr>
            <w:tcW w:type="dxa" w:w="1600"/>
            <w:tcBorders>
              <w:top w:val="single" w:color="CCCCCC" w:sz="1"/>
              <w:left w:val="single" w:color="CCCCCC" w:sz="1"/>
              <w:bottom w:val="single" w:color="CCCCCC" w:sz="1"/>
              <w:right w:val="single" w:color="CCCCCC" w:sz="1"/>
            </w:tcBorders>
            <w:shd w:fill="388E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8"/>
                <w:szCs w:val="18"/>
              </w:rPr>
              <w:t xml:space="preserve">Same recommendation as above. Minor version drift in ^ range could introduce breaking changes.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merkletreejs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18"/>
                <w:szCs w:val="18"/>
              </w:rPr>
              <w:t xml:space="preserve">^0.3.11</w:t>
            </w:r>
          </w:p>
        </w:tc>
        <w:tc>
          <w:tcPr>
            <w:tcW w:type="dxa" w:w="16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Used for off-chain proof generation only. Verify leaf sorting matches OZ MerkleProof.sol on-chain.</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sz w:val="18"/>
                <w:szCs w:val="18"/>
              </w:rPr>
              <w:t xml:space="preserve">keccak256</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Courier New" w:cs="Courier New" w:eastAsia="Courier New" w:hAnsi="Courier New"/>
                <w:sz w:val="18"/>
                <w:szCs w:val="18"/>
              </w:rPr>
              <w:t xml:space="preserve">^1.0.6</w:t>
            </w:r>
          </w:p>
        </w:tc>
        <w:tc>
          <w:tcPr>
            <w:tcW w:type="dxa" w:w="1600"/>
            <w:tcBorders>
              <w:top w:val="single" w:color="CCCCCC" w:sz="1"/>
              <w:left w:val="single" w:color="CCCCCC" w:sz="1"/>
              <w:bottom w:val="single" w:color="CCCCCC" w:sz="1"/>
              <w:right w:val="single" w:color="CCCCCC" w:sz="1"/>
            </w:tcBorders>
            <w:shd w:fill="388E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8"/>
                <w:szCs w:val="18"/>
              </w:rPr>
              <w:t xml:space="preserve">Thin wrapper. Verify the underlying implementation matches ethers.keccak256 output for all inputs.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hardhat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18"/>
                <w:szCs w:val="18"/>
              </w:rPr>
              <w:t xml:space="preserve">^2.19.0</w:t>
            </w:r>
          </w:p>
        </w:tc>
        <w:tc>
          <w:tcPr>
            <w:tcW w:type="dxa" w:w="1600"/>
            <w:tcBorders>
              <w:top w:val="single" w:color="CCCCCC" w:sz="1"/>
              <w:left w:val="single" w:color="CCCCCC" w:sz="1"/>
              <w:bottom w:val="single" w:color="CCCCCC" w:sz="1"/>
              <w:right w:val="single" w:color="CCCCCC" w:sz="1"/>
            </w:tcBorders>
            <w:shd w:fill="388E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Dev dependency only. No mainnet surface.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sz w:val="18"/>
                <w:szCs w:val="18"/>
              </w:rPr>
              <w:t xml:space="preserve">dotenv</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Courier New" w:cs="Courier New" w:eastAsia="Courier New" w:hAnsi="Courier New"/>
                <w:sz w:val="18"/>
                <w:szCs w:val="18"/>
              </w:rPr>
              <w:t xml:space="preserve">^16.4.7</w:t>
            </w:r>
          </w:p>
        </w:tc>
        <w:tc>
          <w:tcPr>
            <w:tcW w:type="dxa" w:w="1600"/>
            <w:tcBorders>
              <w:top w:val="single" w:color="CCCCCC" w:sz="1"/>
              <w:left w:val="single" w:color="CCCCCC" w:sz="1"/>
              <w:bottom w:val="single" w:color="CCCCCC" w:sz="1"/>
              <w:right w:val="single" w:color="CCCCCC" w:sz="1"/>
            </w:tcBorders>
            <w:shd w:fill="388E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8"/>
                <w:szCs w:val="18"/>
              </w:rPr>
              <w:t xml:space="preserve">Handles secret loading. Ensure .env is never committed.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forge-std (submodule)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18"/>
                <w:szCs w:val="18"/>
              </w:rPr>
              <w:t xml:space="preserve">git HEAD</w:t>
            </w:r>
          </w:p>
        </w:tc>
        <w:tc>
          <w:tcPr>
            <w:tcW w:type="dxa" w:w="1600"/>
            <w:tcBorders>
              <w:top w:val="single" w:color="CCCCCC" w:sz="1"/>
              <w:left w:val="single" w:color="CCCCCC" w:sz="1"/>
              <w:bottom w:val="single" w:color="CCCCCC" w:sz="1"/>
              <w:right w:val="single" w:color="CCCCCC" w:sz="1"/>
            </w:tcBorders>
            <w:shd w:fill="388E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Pin to a specific tagged release, not HEAD, to prevent unexpected behavior after Foundry updates.</w:t>
            </w:r>
          </w:p>
        </w:tc>
      </w:tr>
    </w:tbl>
    <w:p>
      <w:r>
        <w:t xml:space="preserve"/>
      </w:r>
    </w:p>
    <w:p>
      <w:pPr>
        <w:spacing w:after="60" w:before="60"/>
      </w:pPr>
      <w:r>
        <w:rPr>
          <w:rFonts w:ascii="Arial" w:cs="Arial" w:eastAsia="Arial" w:hAnsi="Arial"/>
          <w:sz w:val="22"/>
          <w:szCs w:val="22"/>
        </w:rPr>
        <w:t xml:space="preserve">Recommendation: Pin all production dependencies to exact versions in package.json (remove all ^ prefixes) before mainnet deployment. Run npm audit and resolve any HIGH or CRITICAL advisories.</w:t>
      </w:r>
    </w:p>
    <w:p>
      <w:r>
        <w:br w:type="page"/>
      </w:r>
    </w:p>
    <w:p>
      <w:pPr>
        <w:pStyle w:val="Heading1"/>
        <w:spacing w:after="160" w:before="320"/>
      </w:pPr>
      <w:r>
        <w:rPr>
          <w:rFonts w:ascii="Arial" w:cs="Arial" w:eastAsia="Arial" w:hAnsi="Arial"/>
          <w:b/>
          <w:bCs/>
          <w:color w:val="1A237E"/>
          <w:sz w:val="32"/>
          <w:szCs w:val="32"/>
        </w:rPr>
        <w:t xml:space="preserve">8. Conclusion</w:t>
      </w:r>
    </w:p>
    <w:p>
      <w:r>
        <w:t xml:space="preserve"/>
      </w:r>
    </w:p>
    <w:p>
      <w:pPr>
        <w:spacing w:after="60" w:before="60"/>
      </w:pPr>
      <w:r>
        <w:rPr>
          <w:rFonts w:ascii="Arial" w:cs="Arial" w:eastAsia="Arial" w:hAnsi="Arial"/>
          <w:sz w:val="22"/>
          <w:szCs w:val="22"/>
        </w:rPr>
        <w:t xml:space="preserve">The ATSUR registry-onchain codebase demonstrates a high level of architectural maturity and follows smart contract best practices in most areas. The UUPS upgradeable proxy design is implemented correctly, the access control model is well-layered, and the overall security posture is strong for a v1 release targeting a specialized provenance use case.</w:t>
      </w:r>
    </w:p>
    <w:p>
      <w:r>
        <w:t xml:space="preserve"/>
      </w:r>
    </w:p>
    <w:p>
      <w:pPr>
        <w:spacing w:after="60" w:before="60"/>
      </w:pPr>
      <w:r>
        <w:rPr>
          <w:rFonts w:ascii="Arial" w:cs="Arial" w:eastAsia="Arial" w:hAnsi="Arial"/>
          <w:sz w:val="22"/>
          <w:szCs w:val="22"/>
        </w:rPr>
        <w:t xml:space="preserve">That said, three HIGH severity issues — the ghost-actor bypass in _requireActiveActor(), the missing multisig configuration, and the private key in the .env file — constitute genuine pre-mainnet blockers. These must be resolved and re-tested before deployment to Lisk or Polygon mainnet. The seven MEDIUM findings should also be addressed in this deployment window; most are quick fixes.</w:t>
      </w:r>
    </w:p>
    <w:p>
      <w:r>
        <w:t xml:space="preserve"/>
      </w:r>
    </w:p>
    <w:p>
      <w:pPr>
        <w:spacing w:after="60" w:before="60"/>
      </w:pPr>
      <w:r>
        <w:rPr>
          <w:rFonts w:ascii="Arial" w:cs="Arial" w:eastAsia="Arial" w:hAnsi="Arial"/>
          <w:sz w:val="22"/>
          <w:szCs w:val="22"/>
        </w:rPr>
        <w:t xml:space="preserve">After all HIGH and MEDIUM findings are resolved, we recommend commissioning an independent third-party smart contract audit from a firm with EVM provenance and on-chain identity experience (e.g., Trail of Bits, OpenZeppelin, or Certora). The codebase is clean enough that such an audit should proceed quickly and with minimal findings.</w:t>
      </w:r>
    </w:p>
    <w:p>
      <w:r>
        <w:t xml:space="preserve"/>
      </w:r>
    </w:p>
    <w:p>
      <w:pPr>
        <w:spacing w:after="60" w:before="60"/>
      </w:pPr>
      <w:r>
        <w:rPr>
          <w:rFonts w:ascii="Arial" w:cs="Arial" w:eastAsia="Arial" w:hAnsi="Arial"/>
          <w:sz w:val="22"/>
          <w:szCs w:val="22"/>
        </w:rPr>
        <w:t xml:space="preserve">Verdict: Request Changes. Do not deploy to mainnet in the current state.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37E" w:val="clear"/>
            <w:tcMar>
              <w:top w:type="dxa" w:w="240"/>
              <w:left w:type="dxa" w:w="360"/>
              <w:bottom w:type="dxa" w:w="240"/>
              <w:right w:type="dxa" w:w="360"/>
            </w:tcMar>
          </w:tcPr>
          <w:p>
            <w:pPr>
              <w:jc w:val="center"/>
            </w:pPr>
            <w:r>
              <w:rPr>
                <w:rFonts w:ascii="Arial" w:cs="Arial" w:eastAsia="Arial" w:hAnsi="Arial"/>
                <w:b/>
                <w:bCs/>
                <w:color w:val="FFFFFF"/>
                <w:sz w:val="28"/>
                <w:szCs w:val="28"/>
              </w:rPr>
              <w:t xml:space="preserve">ATSUR CyberSec Review</w:t>
            </w:r>
          </w:p>
          <w:p>
            <w:pPr>
              <w:jc w:val="center"/>
            </w:pPr>
            <w:r>
              <w:rPr>
                <w:rFonts w:ascii="Arial" w:cs="Arial" w:eastAsia="Arial" w:hAnsi="Arial"/>
                <w:color w:val="B0BEC5"/>
                <w:sz w:val="20"/>
                <w:szCs w:val="20"/>
              </w:rPr>
              <w:t xml:space="preserve">Pre-Deployment Audit  |  registry-onchain v1.0.0  |  April 13, 2026</w:t>
            </w:r>
          </w:p>
          <w:p>
            <w:pPr>
              <w:jc w:val="center"/>
            </w:pPr>
            <w:r>
              <w:rPr>
                <w:rFonts w:ascii="Arial" w:cs="Arial" w:eastAsia="Arial" w:hAnsi="Arial"/>
                <w:color w:val="90A4AE"/>
                <w:sz w:val="18"/>
                <w:szCs w:val="18"/>
              </w:rPr>
              <w:t xml:space="preserve">CONFIDENTIAL — For internal use only</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37E" w:sz="6" w:space="1"/>
      </w:pBdr>
      <w:tabs>
        <w:tab w:val="right" w:pos="9026"/>
      </w:tabs>
    </w:pPr>
    <w:r>
      <w:rPr>
        <w:rFonts w:ascii="Arial" w:cs="Arial" w:eastAsia="Arial" w:hAnsi="Arial"/>
        <w:color w:val="666666"/>
        <w:sz w:val="16"/>
        <w:szCs w:val="16"/>
      </w:rPr>
      <w:t xml:space="preserve">Prepared by: ATSUR CyberSec Review | registry-onchain v1.0.0</w:t>
    </w:r>
    <w:r>
      <w:rPr>
        <w:rFonts w:ascii="Arial" w:cs="Arial" w:eastAsia="Arial" w:hAnsi="Arial"/>
        <w:color w:val="666666"/>
        <w:sz w:val="16"/>
        <w:szCs w:val="16"/>
      </w:rPr>
      <w:t xml:space="preserve">	Page </w:t>
    </w:r>
    <w:r>
      <w:rPr>
        <w:rFonts w:ascii="Arial" w:cs="Arial" w:eastAsia="Arial" w:hAnsi="Arial"/>
        <w:color w:val="1A23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6" w:space="1"/>
      </w:pBdr>
      <w:tabs>
        <w:tab w:val="right" w:pos="9026"/>
      </w:tabs>
    </w:pPr>
    <w:r>
      <w:rPr>
        <w:rFonts w:ascii="Arial" w:cs="Arial" w:eastAsia="Arial" w:hAnsi="Arial"/>
        <w:b/>
        <w:bCs/>
        <w:color w:val="1A237E"/>
        <w:sz w:val="18"/>
        <w:szCs w:val="18"/>
      </w:rPr>
      <w:t xml:space="preserve">ATSUR REGISTRY — SMART CONTRACT SECURITY AUDIT</w:t>
    </w:r>
    <w:r>
      <w:rPr>
        <w:rFonts w:ascii="Arial" w:cs="Arial" w:eastAsia="Arial" w:hAnsi="Arial"/>
        <w:color w:val="666666"/>
        <w:sz w:val="18"/>
        <w:szCs w:val="1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37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8359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2026-04-13T19:07:17.034Z</dcterms:created>
  <dcterms:modified xsi:type="dcterms:W3CDTF">2026-04-13T19:07:17.034Z</dcterms:modified>
</cp:coreProperties>
</file>

<file path=docProps/custom.xml><?xml version="1.0" encoding="utf-8"?>
<Properties xmlns="http://schemas.openxmlformats.org/officeDocument/2006/custom-properties" xmlns:vt="http://schemas.openxmlformats.org/officeDocument/2006/docPropsVTypes"/>
</file>