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8042" w14:textId="77777777" w:rsidR="00930538" w:rsidRDefault="00000000">
      <w:pPr>
        <w:jc w:val="center"/>
      </w:pPr>
      <w:r>
        <w:rPr>
          <w:b/>
          <w:sz w:val="40"/>
        </w:rPr>
        <w:t>Detailed Project Ideas for Machine Learning and Smart Logistics</w:t>
      </w:r>
    </w:p>
    <w:p w14:paraId="315632F4" w14:textId="77777777" w:rsidR="00930538" w:rsidRDefault="00000000">
      <w:pPr>
        <w:jc w:val="center"/>
      </w:pPr>
      <w:r>
        <w:rPr>
          <w:i/>
          <w:sz w:val="24"/>
        </w:rPr>
        <w:t>IEEE 2nd International Conference on Logistics – Student Topic Allocation</w:t>
      </w:r>
    </w:p>
    <w:p w14:paraId="7C3B68D2" w14:textId="77777777" w:rsidR="00930538" w:rsidRDefault="00000000">
      <w:pPr>
        <w:pStyle w:val="Heading1"/>
      </w:pPr>
      <w:r>
        <w:t>Scope and Use</w:t>
      </w:r>
    </w:p>
    <w:p w14:paraId="0E314B49" w14:textId="77777777" w:rsidR="00930538" w:rsidRDefault="00000000">
      <w:r>
        <w:t>This document expands each assigned student idea to the same concept-note structure as the supplied example: project description, two applications, detailed methodology, research questions, public datasets, split recommendation, and a text-only workflow. Dataset links are initial feasibility recommendations and must be re-audited before implementation for licensing, annotation quality, leakage, and actual variable coverage.</w:t>
      </w:r>
    </w:p>
    <w:p w14:paraId="1421E0E6" w14:textId="77777777" w:rsidR="00930538" w:rsidRDefault="00000000">
      <w:r>
        <w:t>Critical publication rule: every study must evaluate a downstream logistics outcome—such as waiting time, route risk, utilization, bandwidth, energy, scheduling regret, or operational cost. A paper that reports only image classification or object-detection accuracy will be too shallow for the intended logistics conference framing.</w:t>
      </w:r>
    </w:p>
    <w:p w14:paraId="72BDA5ED" w14:textId="77777777" w:rsidR="00930538" w:rsidRDefault="00000000">
      <w:pPr>
        <w:pStyle w:val="Heading2"/>
      </w:pPr>
      <w:r>
        <w:t>Conference-Scale Complexity and Runtime Policy</w:t>
      </w:r>
    </w:p>
    <w:p w14:paraId="70937526" w14:textId="77777777" w:rsidR="00930538" w:rsidRDefault="00000000">
      <w:r>
        <w:t>All projects should be implemented as compact conference studies rather than full industrial systems. Each notebook should use one simple baseline and one lightweight deep-learning model, a controlled subset of the public dataset, image sizes of 128–224 pixels, batch sizes of 16–32, and approximately 5–15 training epochs with early stopping. Where pretrained models are used, freeze most backbone layers and fine-tune only the classifier or final block. Avoid large vision transformers, multi-stage end-to-end simulators, expensive hyperparameter searches, and repeated multi-seed training. Use one fixed random seed, mixed precision when a GPU is available, cached preprocessing, and a maximum of three model variants. The target is that the complete notebook can produce the main tables and figures in a short Kaggle session, preferably within 15–45 minutes on a standard GPU or within a reasonable CPU session for non-vision components.</w:t>
      </w:r>
    </w:p>
    <w:p w14:paraId="00E15CC7" w14:textId="77777777" w:rsidR="00930538" w:rsidRDefault="00000000">
      <w:pPr>
        <w:pStyle w:val="Heading1"/>
      </w:pPr>
      <w:r>
        <w:t>Student: Atta</w:t>
      </w:r>
    </w:p>
    <w:p w14:paraId="60B0FD28" w14:textId="77777777" w:rsidR="00930538" w:rsidRDefault="00000000">
      <w:r>
        <w:rPr>
          <w:b/>
        </w:rPr>
        <w:t xml:space="preserve">Field: </w:t>
      </w:r>
      <w:r>
        <w:t>Optimization Algorithms</w:t>
      </w:r>
    </w:p>
    <w:p w14:paraId="00ECD096" w14:textId="77777777" w:rsidR="00930538" w:rsidRDefault="00000000">
      <w:r>
        <w:rPr>
          <w:b/>
        </w:rPr>
        <w:t xml:space="preserve">Topic: </w:t>
      </w:r>
      <w:r>
        <w:t>Vision-Driven Warehouse Task and Robot Allocation</w:t>
      </w:r>
    </w:p>
    <w:p w14:paraId="180ABC66" w14:textId="77777777" w:rsidR="00930538" w:rsidRDefault="00000000">
      <w:r>
        <w:rPr>
          <w:b/>
        </w:rPr>
        <w:t xml:space="preserve">Title: </w:t>
      </w:r>
      <w:r>
        <w:t>Vision-Driven Deep Reinforcement Learning for Dynamic Warehouse Task and Robot Allocation</w:t>
      </w:r>
    </w:p>
    <w:p w14:paraId="6EEA477B" w14:textId="77777777" w:rsidR="00930538" w:rsidRDefault="00000000">
      <w:pPr>
        <w:pStyle w:val="Heading2"/>
      </w:pPr>
      <w:r>
        <w:t>Project Description</w:t>
      </w:r>
    </w:p>
    <w:p w14:paraId="2CC52864" w14:textId="77777777" w:rsidR="00930538" w:rsidRDefault="00000000">
      <w:r>
        <w:t>Warehouse task allocation is often based on planned inventory and robot states, but real operations include blocked aisles, unexpected worker movement, misplaced pallets, and queue formation. Static schedulers cannot react effectively when the physical state diverges from the information system.</w:t>
      </w:r>
    </w:p>
    <w:p w14:paraId="22AB5960" w14:textId="77777777" w:rsidR="00930538" w:rsidRDefault="00000000">
      <w:r>
        <w:t>The project will derive real-time warehouse state variables from camera observations and use constrained deep reinforcement learning to assign retrieval, replenishment, and transport tasks to mobile robots. The novelty is vision-calibrated control with safety constraints and explicit comparison against optimization heuristics under perception error.</w:t>
      </w:r>
    </w:p>
    <w:p w14:paraId="22907192" w14:textId="77777777" w:rsidR="00930538" w:rsidRDefault="00000000">
      <w:r>
        <w:t>The study should be presented as closed-loop warehouse control. A simulation or digital twin is necessary because public datasets do not provide complete robot-allocation labels.</w:t>
      </w:r>
    </w:p>
    <w:p w14:paraId="1A61C2A3" w14:textId="77777777" w:rsidR="00930538" w:rsidRDefault="00000000">
      <w:pPr>
        <w:pStyle w:val="Heading2"/>
      </w:pPr>
      <w:r>
        <w:t>Two Sample Applications</w:t>
      </w:r>
    </w:p>
    <w:p w14:paraId="33749D77" w14:textId="77777777" w:rsidR="00930538" w:rsidRDefault="00000000">
      <w:pPr>
        <w:pStyle w:val="ListNumber"/>
      </w:pPr>
      <w:r>
        <w:rPr>
          <w:b/>
        </w:rPr>
        <w:t xml:space="preserve">Dynamic robot dispatch: </w:t>
      </w:r>
      <w:r>
        <w:t>Robots are reassigned when cameras detect congestion or blocked aisles.</w:t>
      </w:r>
    </w:p>
    <w:p w14:paraId="1BC9A531" w14:textId="77777777" w:rsidR="00930538" w:rsidRDefault="00000000">
      <w:pPr>
        <w:pStyle w:val="ListNumber"/>
      </w:pPr>
      <w:r>
        <w:rPr>
          <w:b/>
        </w:rPr>
        <w:lastRenderedPageBreak/>
        <w:t xml:space="preserve">Human–robot warehouse coordination: </w:t>
      </w:r>
      <w:r>
        <w:t>The controller reduces conflicts by incorporating worker and forklift occupancy into task decisions.</w:t>
      </w:r>
    </w:p>
    <w:p w14:paraId="21D2FCCE" w14:textId="77777777" w:rsidR="00930538" w:rsidRDefault="00000000">
      <w:pPr>
        <w:pStyle w:val="Heading2"/>
      </w:pPr>
      <w:r>
        <w:t>Methodology</w:t>
      </w:r>
    </w:p>
    <w:p w14:paraId="3639208F" w14:textId="77777777" w:rsidR="00930538" w:rsidRDefault="00000000">
      <w:r>
        <w:t>Train object detection and tracking on synthetic industrial scenes to estimate occupancy, queues and obstacles. Build a discrete-event or grid warehouse simulator calibrated from these observations. Compare nearest-task, Hungarian assignment, genetic algorithm, PPO, SAC, and constrained PPO. State variables should include robot location, battery, task priority, aisle congestion, obstacle probability and perception confidence. Evaluate throughput, mean task completion time, travel distance, energy proxy, collision/near-conflict rate, fairness among tasks, and robustness to missed detections.</w:t>
      </w:r>
    </w:p>
    <w:p w14:paraId="48A2F0DB" w14:textId="77777777" w:rsidR="00930538" w:rsidRDefault="00000000">
      <w:pPr>
        <w:pStyle w:val="Heading2"/>
      </w:pPr>
      <w:r>
        <w:t>Simplified Conference Implementation</w:t>
      </w:r>
    </w:p>
    <w:p w14:paraId="2DFED268" w14:textId="77777777" w:rsidR="00930538" w:rsidRDefault="00000000">
      <w:r>
        <w:t>Use a small grid-world warehouse simulation with camera-derived occupancy represented by precomputed labels or a lightweight detector. Compare a nearest-task heuristic with tabular Q-learning or a small DQN trained for a limited number of episodes. Keep the map, robot count, and task count small.</w:t>
      </w:r>
    </w:p>
    <w:p w14:paraId="23DAB93F" w14:textId="77777777" w:rsidR="00930538" w:rsidRDefault="00000000">
      <w:pPr>
        <w:pStyle w:val="Heading2"/>
      </w:pPr>
      <w:r>
        <w:t>Research Questions</w:t>
      </w:r>
    </w:p>
    <w:p w14:paraId="19017B15" w14:textId="77777777" w:rsidR="00930538" w:rsidRDefault="00000000">
      <w:r>
        <w:t>RQ1: Does vision-derived state improve dynamic task allocation over information-system state alone?</w:t>
      </w:r>
    </w:p>
    <w:p w14:paraId="68DB9C42" w14:textId="77777777" w:rsidR="00930538" w:rsidRDefault="00000000">
      <w:r>
        <w:t>RQ2: Which RL algorithm provides the best throughput–safety trade-off?</w:t>
      </w:r>
    </w:p>
    <w:p w14:paraId="4C0682B1" w14:textId="77777777" w:rsidR="00930538" w:rsidRDefault="00000000">
      <w:r>
        <w:t>RQ3: How does the controller compare with heuristic and optimization baselines?</w:t>
      </w:r>
    </w:p>
    <w:p w14:paraId="30D09DAA" w14:textId="77777777" w:rsidR="00930538" w:rsidRDefault="00000000">
      <w:r>
        <w:t>RQ4: How robust is policy performance to visual detection and tracking errors?</w:t>
      </w:r>
    </w:p>
    <w:p w14:paraId="4E3D42AC" w14:textId="77777777" w:rsidR="00930538" w:rsidRDefault="00000000">
      <w:r>
        <w:t>RQ5: Can safety constraints reduce conflicts without unacceptable throughput loss?</w:t>
      </w:r>
    </w:p>
    <w:p w14:paraId="1F339801" w14:textId="77777777" w:rsidR="00930538" w:rsidRDefault="00000000">
      <w:pPr>
        <w:pStyle w:val="Heading2"/>
      </w:pPr>
      <w:r>
        <w:t>Suitable Public Kaggle Dataset(s) and Split Recommendation</w:t>
      </w:r>
    </w:p>
    <w:p w14:paraId="195B17D6" w14:textId="77777777" w:rsidR="00930538" w:rsidRDefault="00000000">
      <w:r>
        <w:rPr>
          <w:b/>
        </w:rPr>
        <w:t xml:space="preserve">Industrial Scene 01: </w:t>
      </w:r>
      <w:r>
        <w:t>Large photorealistic synthetic industrial scenes with warehouse-related objects.</w:t>
      </w:r>
      <w:r>
        <w:br/>
      </w:r>
      <w:r>
        <w:rPr>
          <w:u w:val="single"/>
        </w:rPr>
        <w:t>https://www.kaggle.com/datasets/sordi-ai/industrial-scene-01-dataset</w:t>
      </w:r>
    </w:p>
    <w:p w14:paraId="56AE2C6E" w14:textId="77777777" w:rsidR="00930538" w:rsidRDefault="00000000">
      <w:r>
        <w:rPr>
          <w:b/>
        </w:rPr>
        <w:t xml:space="preserve">Warehouse Object Detection Dataset: </w:t>
      </w:r>
      <w:r>
        <w:t>RGB, masks and depth for warehouse-state perception.</w:t>
      </w:r>
      <w:r>
        <w:br/>
      </w:r>
      <w:r>
        <w:rPr>
          <w:u w:val="single"/>
        </w:rPr>
        <w:t>https://www.kaggle.com/datasets/machowe/warehouse-object-detection-dataset</w:t>
      </w:r>
    </w:p>
    <w:p w14:paraId="72EB60EF" w14:textId="77777777" w:rsidR="00930538" w:rsidRDefault="00000000">
      <w:r>
        <w:rPr>
          <w:b/>
        </w:rPr>
        <w:t xml:space="preserve">Warehouse Operation Dataset: </w:t>
      </w:r>
      <w:r>
        <w:t>Operational variables such as unloading, order assembly and truck capacity for simulator calibration.</w:t>
      </w:r>
      <w:r>
        <w:br/>
      </w:r>
      <w:r>
        <w:rPr>
          <w:u w:val="single"/>
        </w:rPr>
        <w:t>https://www.kaggle.com/datasets/srvydv1234567/warehouse-operation-dataset</w:t>
      </w:r>
    </w:p>
    <w:p w14:paraId="4AF29D05" w14:textId="77777777" w:rsidR="00930538" w:rsidRDefault="00000000">
      <w:r>
        <w:t>Recommended split: Use scene-level 70/15/15 perception splits. Train RL on a range of warehouse layouts and demand seeds, validate on unseen seeds, and test on withheld layouts, congestion regimes and sensor-noise levels.</w:t>
      </w:r>
    </w:p>
    <w:tbl>
      <w:tblPr>
        <w:tblStyle w:val="TableGrid"/>
        <w:tblW w:w="0" w:type="auto"/>
        <w:jc w:val="center"/>
        <w:tblLook w:val="04A0" w:firstRow="1" w:lastRow="0" w:firstColumn="1" w:lastColumn="0" w:noHBand="0" w:noVBand="1"/>
      </w:tblPr>
      <w:tblGrid>
        <w:gridCol w:w="5078"/>
        <w:gridCol w:w="5078"/>
      </w:tblGrid>
      <w:tr w:rsidR="00930538" w14:paraId="33658299" w14:textId="77777777">
        <w:trPr>
          <w:tblHeader/>
          <w:jc w:val="center"/>
        </w:trPr>
        <w:tc>
          <w:tcPr>
            <w:tcW w:w="5083" w:type="dxa"/>
            <w:shd w:val="clear" w:color="auto" w:fill="E2F0D9"/>
          </w:tcPr>
          <w:p w14:paraId="587EADBE" w14:textId="77777777" w:rsidR="00930538" w:rsidRDefault="00000000">
            <w:r>
              <w:t>Split</w:t>
            </w:r>
          </w:p>
        </w:tc>
        <w:tc>
          <w:tcPr>
            <w:tcW w:w="5083" w:type="dxa"/>
            <w:shd w:val="clear" w:color="auto" w:fill="E2F0D9"/>
          </w:tcPr>
          <w:p w14:paraId="0EDC4591" w14:textId="77777777" w:rsidR="00930538" w:rsidRDefault="00000000">
            <w:r>
              <w:t>Recommendation</w:t>
            </w:r>
          </w:p>
        </w:tc>
      </w:tr>
      <w:tr w:rsidR="00930538" w14:paraId="5B5A98B0" w14:textId="77777777">
        <w:trPr>
          <w:jc w:val="center"/>
        </w:trPr>
        <w:tc>
          <w:tcPr>
            <w:tcW w:w="5083" w:type="dxa"/>
          </w:tcPr>
          <w:p w14:paraId="585006E4" w14:textId="77777777" w:rsidR="00930538" w:rsidRDefault="00000000">
            <w:r>
              <w:t>Training</w:t>
            </w:r>
          </w:p>
        </w:tc>
        <w:tc>
          <w:tcPr>
            <w:tcW w:w="5083" w:type="dxa"/>
          </w:tcPr>
          <w:p w14:paraId="11253478" w14:textId="77777777" w:rsidR="00930538" w:rsidRDefault="00000000">
            <w:r>
              <w:t>Use the model-development portion only; apply augmentation or simulation exclusively within training.</w:t>
            </w:r>
          </w:p>
        </w:tc>
      </w:tr>
      <w:tr w:rsidR="00930538" w14:paraId="6909AA28" w14:textId="77777777">
        <w:trPr>
          <w:jc w:val="center"/>
        </w:trPr>
        <w:tc>
          <w:tcPr>
            <w:tcW w:w="5083" w:type="dxa"/>
          </w:tcPr>
          <w:p w14:paraId="3DA08183" w14:textId="77777777" w:rsidR="00930538" w:rsidRDefault="00000000">
            <w:r>
              <w:t>Validation</w:t>
            </w:r>
          </w:p>
        </w:tc>
        <w:tc>
          <w:tcPr>
            <w:tcW w:w="5083" w:type="dxa"/>
          </w:tcPr>
          <w:p w14:paraId="519555CE" w14:textId="77777777" w:rsidR="00930538" w:rsidRDefault="00000000">
            <w:r>
              <w:t>Use for hyperparameter selection, thresholds, calibration and optimization weights.</w:t>
            </w:r>
          </w:p>
        </w:tc>
      </w:tr>
      <w:tr w:rsidR="00930538" w14:paraId="7E985096" w14:textId="77777777">
        <w:trPr>
          <w:jc w:val="center"/>
        </w:trPr>
        <w:tc>
          <w:tcPr>
            <w:tcW w:w="5083" w:type="dxa"/>
          </w:tcPr>
          <w:p w14:paraId="32D1B712" w14:textId="77777777" w:rsidR="00930538" w:rsidRDefault="00000000">
            <w:r>
              <w:t>Testing</w:t>
            </w:r>
          </w:p>
        </w:tc>
        <w:tc>
          <w:tcPr>
            <w:tcW w:w="5083" w:type="dxa"/>
          </w:tcPr>
          <w:p w14:paraId="3268EEA7" w14:textId="77777777" w:rsidR="00930538" w:rsidRDefault="00000000">
            <w:r>
              <w:t>Keep untouched until the complete perception-to-logistics pipeline is finalized.</w:t>
            </w:r>
          </w:p>
        </w:tc>
      </w:tr>
      <w:tr w:rsidR="00930538" w14:paraId="33589BFE" w14:textId="77777777">
        <w:trPr>
          <w:jc w:val="center"/>
        </w:trPr>
        <w:tc>
          <w:tcPr>
            <w:tcW w:w="5083" w:type="dxa"/>
          </w:tcPr>
          <w:p w14:paraId="3458751E" w14:textId="77777777" w:rsidR="00930538" w:rsidRDefault="00000000">
            <w:r>
              <w:t>External/Stress test</w:t>
            </w:r>
          </w:p>
        </w:tc>
        <w:tc>
          <w:tcPr>
            <w:tcW w:w="5083" w:type="dxa"/>
          </w:tcPr>
          <w:p w14:paraId="4091C5A8" w14:textId="77777777" w:rsidR="00930538" w:rsidRDefault="00000000">
            <w:r>
              <w:t>Use a withheld site, domain, failure mode, network regime or scenario whenever feasible.</w:t>
            </w:r>
          </w:p>
        </w:tc>
      </w:tr>
    </w:tbl>
    <w:p w14:paraId="69653092" w14:textId="77777777" w:rsidR="00930538" w:rsidRDefault="00000000">
      <w:pPr>
        <w:pStyle w:val="Heading2"/>
      </w:pPr>
      <w:r>
        <w:lastRenderedPageBreak/>
        <w:t>Overall Workflow</w:t>
      </w:r>
    </w:p>
    <w:p w14:paraId="6A052DF3" w14:textId="77777777" w:rsidR="00930538" w:rsidRDefault="00000000">
      <w:r>
        <w:t>Warehouse perception → occupancy/state extraction → simulator calibration → heuristic/optimization baselines → constrained RL → perception-noise tests → throughput/safety analysis → live-state prototype.</w:t>
      </w:r>
    </w:p>
    <w:p w14:paraId="63C0A61B" w14:textId="77777777" w:rsidR="00930538" w:rsidRDefault="00000000">
      <w:pPr>
        <w:pStyle w:val="Heading2"/>
      </w:pPr>
      <w:r>
        <w:t>Minimum Publication-Ready Outputs</w:t>
      </w:r>
    </w:p>
    <w:p w14:paraId="70B14A0C" w14:textId="77777777" w:rsidR="00930538" w:rsidRDefault="00000000">
      <w:r>
        <w:t>The executed notebook should save all figures as PDF and all result tables as CSV. At minimum, report: dataset audit; model or algorithm comparison; class- or scenario-level results; uncertainty or robustness analysis; statistical comparison across repeated seeds or scenarios; downstream logistics impact; computational/deployment metrics; and an ablation demonstrating which proposed component creates the improvement.</w:t>
      </w:r>
    </w:p>
    <w:p w14:paraId="5C72B24F" w14:textId="77777777" w:rsidR="00930538" w:rsidRDefault="00000000">
      <w:pPr>
        <w:pStyle w:val="Heading2"/>
      </w:pPr>
      <w:r>
        <w:t>Key Risk to Control</w:t>
      </w:r>
    </w:p>
    <w:p w14:paraId="372F5598" w14:textId="77777777" w:rsidR="00930538" w:rsidRDefault="00000000">
      <w:r>
        <w:t>The main risk is that public data may not provide fully synchronized visual, sensor and operational labels. Any synthetic fusion, simulated network, generated route graph, or virtual client partition must be described transparently and separated from claims based on real observations.</w:t>
      </w:r>
    </w:p>
    <w:p w14:paraId="2DF37A57" w14:textId="659EC04D" w:rsidR="00930538" w:rsidRDefault="00CF1DEF">
      <w:r w:rsidRPr="00CF1DEF">
        <w:rPr>
          <w:noProof/>
        </w:rPr>
        <w:drawing>
          <wp:inline distT="0" distB="0" distL="0" distR="0" wp14:anchorId="5AA87B65" wp14:editId="0C92AE88">
            <wp:extent cx="6455410" cy="4841875"/>
            <wp:effectExtent l="0" t="0" r="0" b="0"/>
            <wp:docPr id="104587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75917" name=""/>
                    <pic:cNvPicPr/>
                  </pic:nvPicPr>
                  <pic:blipFill>
                    <a:blip r:embed="rId8"/>
                    <a:stretch>
                      <a:fillRect/>
                    </a:stretch>
                  </pic:blipFill>
                  <pic:spPr>
                    <a:xfrm>
                      <a:off x="0" y="0"/>
                      <a:ext cx="6455410" cy="4841875"/>
                    </a:xfrm>
                    <a:prstGeom prst="rect">
                      <a:avLst/>
                    </a:prstGeom>
                  </pic:spPr>
                </pic:pic>
              </a:graphicData>
            </a:graphic>
          </wp:inline>
        </w:drawing>
      </w:r>
      <w:r w:rsidRPr="00CF1DEF">
        <w:t xml:space="preserve"> </w:t>
      </w:r>
    </w:p>
    <w:sectPr w:rsidR="00930538" w:rsidSect="00034616">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7D0BE" w14:textId="77777777" w:rsidR="00B71059" w:rsidRDefault="00B71059">
      <w:pPr>
        <w:spacing w:after="0" w:line="240" w:lineRule="auto"/>
      </w:pPr>
      <w:r>
        <w:separator/>
      </w:r>
    </w:p>
  </w:endnote>
  <w:endnote w:type="continuationSeparator" w:id="0">
    <w:p w14:paraId="186F3FDF" w14:textId="77777777" w:rsidR="00B71059" w:rsidRDefault="00B71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F1D7" w14:textId="77777777" w:rsidR="00930538" w:rsidRDefault="00000000">
    <w:pPr>
      <w:pStyle w:val="Footer"/>
      <w:jc w:val="center"/>
    </w:pPr>
    <w:r>
      <w:t>IEEE ICL 2027 – Detailed Student Project Ideas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7934F" w14:textId="77777777" w:rsidR="00B71059" w:rsidRDefault="00B71059">
      <w:pPr>
        <w:spacing w:after="0" w:line="240" w:lineRule="auto"/>
      </w:pPr>
      <w:r>
        <w:separator/>
      </w:r>
    </w:p>
  </w:footnote>
  <w:footnote w:type="continuationSeparator" w:id="0">
    <w:p w14:paraId="27737C8B" w14:textId="77777777" w:rsidR="00B71059" w:rsidRDefault="00B710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360517">
    <w:abstractNumId w:val="8"/>
  </w:num>
  <w:num w:numId="2" w16cid:durableId="1922250722">
    <w:abstractNumId w:val="6"/>
  </w:num>
  <w:num w:numId="3" w16cid:durableId="1485783454">
    <w:abstractNumId w:val="5"/>
  </w:num>
  <w:num w:numId="4" w16cid:durableId="2011248870">
    <w:abstractNumId w:val="4"/>
  </w:num>
  <w:num w:numId="5" w16cid:durableId="2066754295">
    <w:abstractNumId w:val="7"/>
  </w:num>
  <w:num w:numId="6" w16cid:durableId="262613709">
    <w:abstractNumId w:val="3"/>
  </w:num>
  <w:num w:numId="7" w16cid:durableId="806316963">
    <w:abstractNumId w:val="2"/>
  </w:num>
  <w:num w:numId="8" w16cid:durableId="1156847128">
    <w:abstractNumId w:val="1"/>
  </w:num>
  <w:num w:numId="9" w16cid:durableId="1607276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30EF"/>
    <w:rsid w:val="0029639D"/>
    <w:rsid w:val="00326F90"/>
    <w:rsid w:val="004847E5"/>
    <w:rsid w:val="00682AEE"/>
    <w:rsid w:val="006D5B53"/>
    <w:rsid w:val="006E5BF9"/>
    <w:rsid w:val="007245FE"/>
    <w:rsid w:val="00930538"/>
    <w:rsid w:val="00A042C6"/>
    <w:rsid w:val="00A13231"/>
    <w:rsid w:val="00AA1D8D"/>
    <w:rsid w:val="00B3707F"/>
    <w:rsid w:val="00B47730"/>
    <w:rsid w:val="00B54954"/>
    <w:rsid w:val="00B71059"/>
    <w:rsid w:val="00BA27F3"/>
    <w:rsid w:val="00CB0664"/>
    <w:rsid w:val="00CF1DEF"/>
    <w:rsid w:val="00D22DDB"/>
    <w:rsid w:val="00E05847"/>
    <w:rsid w:val="00E2570B"/>
    <w:rsid w:val="00E32978"/>
    <w:rsid w:val="00EC0C4F"/>
    <w:rsid w:val="00ED73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592D8"/>
  <w14:defaultImageDpi w14:val="300"/>
  <w15:docId w15:val="{007BEE6C-6D56-CB4E-8FCE-A82D5FA45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u2024122</cp:lastModifiedBy>
  <cp:revision>2</cp:revision>
  <dcterms:created xsi:type="dcterms:W3CDTF">2026-06-13T22:36:00Z</dcterms:created>
  <dcterms:modified xsi:type="dcterms:W3CDTF">2026-06-13T22:36:00Z</dcterms:modified>
  <cp:category/>
</cp:coreProperties>
</file>