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Kicker"/>
        <w:spacing w:before="1100" w:after="240"/>
      </w:pPr>
      <w:r>
        <w:t xml:space="preserve">READYRENTALS ONLINE</w:t>
      </w:r>
    </w:p>
    <w:p>
      <w:pPr>
        <w:pStyle w:val="Title"/>
      </w:pPr>
      <w:r>
        <w:t xml:space="preserve">Maintenance Work Order Platform</w:t>
      </w:r>
    </w:p>
    <w:p>
      <w:pPr>
        <w:pStyle w:val="CoverBand"/>
      </w:pPr>
      <w:r>
        <w:t xml:space="preserve">CLIENT HANDOVER &amp; OPERATIONS GUIDE</w:t>
      </w:r>
    </w:p>
    <w:p>
      <w:pPr>
        <w:pStyle w:val="CoverLead"/>
      </w:pPr>
      <w:r>
        <w:t xml:space="preserve">A practical reference for the application, VPS deployment, daily operation, data protection, and recovery.</w:t>
      </w:r>
    </w:p>
    <w:tbl>
      <w:tblPr>
        <w:tblW w:w="10080" w:type="dxa"/>
        <w:tblLayout w:type="fixed"/>
        <w:tblBorders>
          <w:top w:val="single" w:sz="5" w:color="D8E1E8"/>
          <w:left w:val="single" w:sz="5" w:color="D8E1E8"/>
          <w:bottom w:val="single" w:sz="5" w:color="D8E1E8"/>
          <w:right w:val="single" w:sz="5" w:color="D8E1E8"/>
          <w:insideH w:val="single" w:sz="4" w:color="D8E1E8"/>
          <w:insideV w:val="single" w:sz="4" w:color="D8E1E8"/>
        </w:tblBorders>
        <w:tblCellMar>
          <w:top w:w="80" w:type="dxa"/>
          <w:start w:w="95" w:type="dxa"/>
          <w:bottom w:w="80" w:type="dxa"/>
          <w:end w:w="95" w:type="dxa"/>
        </w:tblCellMar>
      </w:tblPr>
      <w:tblGrid>
        <w:gridCol w:w="2700"/>
        <w:gridCol w:w="7380"/>
      </w:tblGrid>
      <w:tr>
        <w:tc>
          <w:tcPr>
            <w:tcW w:w="2700" w:type="dxa"/>
            <w:shd w:fill="16324F"/>
            <w:vAlign w:val="center"/>
          </w:tcPr>
          <w:p>
            <w:pPr>
              <w:pStyle w:val="TableText"/>
            </w:pPr>
            <w:r>
              <w:rPr>
                <w:b/>
                <w:color w:val="FFFFFF"/>
              </w:rPr>
              <w:t xml:space="preserve">Document control</w:t>
            </w:r>
          </w:p>
        </w:tc>
        <w:tc>
          <w:tcPr>
            <w:tcW w:w="7380" w:type="dxa"/>
            <w:shd w:fill="16324F"/>
            <w:vAlign w:val="center"/>
          </w:tcPr>
          <w:p>
            <w:pPr>
              <w:pStyle w:val="TableText"/>
            </w:pPr>
            <w:r>
              <w:rPr>
                <w:b/>
                <w:color w:val="FFFFFF"/>
              </w:rPr>
              <w:t xml:space="preserve">Value</w:t>
            </w:r>
          </w:p>
        </w:tc>
      </w:tr>
      <w:tr>
        <w:tc>
          <w:tcPr>
            <w:tcW w:w="2700" w:type="dxa"/>
            <w:shd w:fill="F6F9FB"/>
            <w:vAlign w:val="center"/>
          </w:tcPr>
          <w:p>
            <w:pPr>
              <w:pStyle w:val="TableText"/>
            </w:pPr>
            <w:r>
              <w:rPr>
                <w:color w:val="243447"/>
              </w:rPr>
              <w:t xml:space="preserve">Document version</w:t>
            </w:r>
          </w:p>
        </w:tc>
        <w:tc>
          <w:tcPr>
            <w:tcW w:w="7380" w:type="dxa"/>
            <w:shd w:fill="F6F9FB"/>
            <w:vAlign w:val="center"/>
          </w:tcPr>
          <w:p>
            <w:pPr>
              <w:pStyle w:val="TableText"/>
            </w:pPr>
            <w:r>
              <w:rPr>
                <w:color w:val="243447"/>
              </w:rPr>
              <w:t xml:space="preserve">1.1</w:t>
            </w:r>
          </w:p>
        </w:tc>
      </w:tr>
      <w:tr>
        <w:tc>
          <w:tcPr>
            <w:tcW w:w="2700" w:type="dxa"/>
            <w:shd w:fill="FFFFFF"/>
            <w:vAlign w:val="center"/>
          </w:tcPr>
          <w:p>
            <w:pPr>
              <w:pStyle w:val="TableText"/>
            </w:pPr>
            <w:r>
              <w:rPr>
                <w:color w:val="243447"/>
              </w:rPr>
              <w:t xml:space="preserve">Prepared</w:t>
            </w:r>
          </w:p>
        </w:tc>
        <w:tc>
          <w:tcPr>
            <w:tcW w:w="7380" w:type="dxa"/>
            <w:shd w:fill="FFFFFF"/>
            <w:vAlign w:val="center"/>
          </w:tcPr>
          <w:p>
            <w:pPr>
              <w:pStyle w:val="TableText"/>
            </w:pPr>
            <w:r>
              <w:rPr>
                <w:color w:val="243447"/>
              </w:rPr>
              <w:t xml:space="preserve">24 September 2026</w:t>
            </w:r>
          </w:p>
        </w:tc>
      </w:tr>
      <w:tr>
        <w:tc>
          <w:tcPr>
            <w:tcW w:w="2700" w:type="dxa"/>
            <w:shd w:fill="F6F9FB"/>
            <w:vAlign w:val="center"/>
          </w:tcPr>
          <w:p>
            <w:pPr>
              <w:pStyle w:val="TableText"/>
            </w:pPr>
            <w:r>
              <w:rPr>
                <w:color w:val="243447"/>
              </w:rPr>
              <w:t xml:space="preserve">Client organization</w:t>
            </w:r>
          </w:p>
        </w:tc>
        <w:tc>
          <w:tcPr>
            <w:tcW w:w="7380" w:type="dxa"/>
            <w:shd w:fill="F6F9FB"/>
            <w:vAlign w:val="center"/>
          </w:tcPr>
          <w:p>
            <w:pPr>
              <w:pStyle w:val="TableText"/>
            </w:pPr>
            <w:r>
              <w:rPr>
                <w:color w:val="243447"/>
              </w:rPr>
              <w:t xml:space="preserve">ReadyRentalsOnline · https://readyrentalsonline.com</w:t>
            </w:r>
          </w:p>
        </w:tc>
      </w:tr>
      <w:tr>
        <w:tc>
          <w:tcPr>
            <w:tcW w:w="2700" w:type="dxa"/>
            <w:shd w:fill="FFFFFF"/>
            <w:vAlign w:val="center"/>
          </w:tcPr>
          <w:p>
            <w:pPr>
              <w:pStyle w:val="TableText"/>
            </w:pPr>
            <w:r>
              <w:rPr>
                <w:color w:val="243447"/>
              </w:rPr>
              <w:t xml:space="preserve">Developed by</w:t>
            </w:r>
          </w:p>
        </w:tc>
        <w:tc>
          <w:tcPr>
            <w:tcW w:w="7380" w:type="dxa"/>
            <w:shd w:fill="FFFFFF"/>
            <w:vAlign w:val="center"/>
          </w:tcPr>
          <w:p>
            <w:pPr>
              <w:pStyle w:val="TableText"/>
            </w:pPr>
            <w:r>
              <w:rPr>
                <w:color w:val="243447"/>
              </w:rPr>
              <w:t xml:space="preserve">Muhammad Attayab Ashraf · Automivex</w:t>
            </w:r>
          </w:p>
        </w:tc>
      </w:tr>
      <w:tr>
        <w:tc>
          <w:tcPr>
            <w:tcW w:w="2700" w:type="dxa"/>
            <w:shd w:fill="F6F9FB"/>
            <w:vAlign w:val="center"/>
          </w:tcPr>
          <w:p>
            <w:pPr>
              <w:pStyle w:val="TableText"/>
            </w:pPr>
            <w:r>
              <w:rPr>
                <w:color w:val="243447"/>
              </w:rPr>
              <w:t xml:space="preserve">Developer website</w:t>
            </w:r>
          </w:p>
        </w:tc>
        <w:tc>
          <w:tcPr>
            <w:tcW w:w="7380" w:type="dxa"/>
            <w:shd w:fill="F6F9FB"/>
            <w:vAlign w:val="center"/>
          </w:tcPr>
          <w:p>
            <w:pPr>
              <w:pStyle w:val="TableText"/>
            </w:pPr>
            <w:r>
              <w:rPr>
                <w:color w:val="243447"/>
              </w:rPr>
              <w:t xml:space="preserve">https://www.automivex.com</w:t>
            </w:r>
          </w:p>
        </w:tc>
      </w:tr>
      <w:tr>
        <w:tc>
          <w:tcPr>
            <w:tcW w:w="2700" w:type="dxa"/>
            <w:shd w:fill="FFFFFF"/>
            <w:vAlign w:val="center"/>
          </w:tcPr>
          <w:p>
            <w:pPr>
              <w:pStyle w:val="TableText"/>
            </w:pPr>
            <w:r>
              <w:rPr>
                <w:color w:val="243447"/>
              </w:rPr>
              <w:t xml:space="preserve">Developer support</w:t>
            </w:r>
          </w:p>
        </w:tc>
        <w:tc>
          <w:tcPr>
            <w:tcW w:w="7380" w:type="dxa"/>
            <w:shd w:fill="FFFFFF"/>
            <w:vAlign w:val="center"/>
          </w:tcPr>
          <w:p>
            <w:pPr>
              <w:pStyle w:val="TableText"/>
            </w:pPr>
            <w:r>
              <w:rPr>
                <w:color w:val="243447"/>
              </w:rPr>
              <w:t xml:space="preserve">attayabpc2@gmail.com · +92 317 4026038 · social@automivex.com</w:t>
            </w:r>
          </w:p>
        </w:tc>
      </w:tr>
      <w:tr>
        <w:tc>
          <w:tcPr>
            <w:tcW w:w="2700" w:type="dxa"/>
            <w:shd w:fill="F6F9FB"/>
            <w:vAlign w:val="center"/>
          </w:tcPr>
          <w:p>
            <w:pPr>
              <w:pStyle w:val="TableText"/>
            </w:pPr>
            <w:r>
              <w:rPr>
                <w:color w:val="243447"/>
              </w:rPr>
              <w:t xml:space="preserve">Deployment model</w:t>
            </w:r>
          </w:p>
        </w:tc>
        <w:tc>
          <w:tcPr>
            <w:tcW w:w="7380" w:type="dxa"/>
            <w:shd w:fill="F6F9FB"/>
            <w:vAlign w:val="center"/>
          </w:tcPr>
          <w:p>
            <w:pPr>
              <w:pStyle w:val="TableText"/>
            </w:pPr>
            <w:r>
              <w:rPr>
                <w:color w:val="243447"/>
              </w:rPr>
              <w:t xml:space="preserve">Single VPS · Docker Compose · Caddy HTTPS · PostgreSQL · local file volume</w:t>
            </w:r>
          </w:p>
        </w:tc>
      </w:tr>
    </w:tbl>
    <w:p>
      <w:pPr>
        <w:pStyle w:val="BodyText"/>
      </w:pPr>
    </w:p>
    <w:p>
      <w:pPr>
        <w:pStyle w:val="SmallNote"/>
        <w:spacing w:before="250" w:after="100"/>
      </w:pPr>
      <w:r>
        <w:t xml:space="preserve">Operational reference. Contains no production credentials. Keep it with authorized project administrators.</w:t>
      </w:r>
    </w:p>
    <w:p>
      <w:r>
        <w:br w:type="page"/>
      </w:r>
    </w:p>
    <w:p>
      <w:pPr>
        <w:pStyle w:val="Heading1"/>
        <w:spacing w:before="250" w:after="110"/>
        <w:keepNext/>
      </w:pPr>
      <w:r>
        <w:t xml:space="preserve">Contents</w:t>
      </w:r>
    </w:p>
    <w:p>
      <w:pPr>
        <w:pStyle w:val="ListBullet"/>
      </w:pPr>
      <w:r>
        <w:t xml:space="preserve">•  1. Executive summary and ownership</w:t>
      </w:r>
    </w:p>
    <w:p>
      <w:pPr>
        <w:pStyle w:val="ListBullet"/>
      </w:pPr>
      <w:r>
        <w:t xml:space="preserve">•  2. Product capabilities and account roles</w:t>
      </w:r>
    </w:p>
    <w:p>
      <w:pPr>
        <w:pStyle w:val="ListBullet"/>
      </w:pPr>
      <w:r>
        <w:t xml:space="preserve">•  3. Work-order lifecycle</w:t>
      </w:r>
    </w:p>
    <w:p>
      <w:pPr>
        <w:pStyle w:val="ListBullet"/>
      </w:pPr>
      <w:r>
        <w:t xml:space="preserve">•  4. Architecture and network boundaries</w:t>
      </w:r>
    </w:p>
    <w:p>
      <w:pPr>
        <w:pStyle w:val="ListBullet"/>
      </w:pPr>
      <w:r>
        <w:t xml:space="preserve">•  5. Data model, persistence, and retention</w:t>
      </w:r>
    </w:p>
    <w:p>
      <w:pPr>
        <w:pStyle w:val="ListBullet"/>
      </w:pPr>
      <w:r>
        <w:t xml:space="preserve">•  6. Security and privacy controls</w:t>
      </w:r>
    </w:p>
    <w:p>
      <w:pPr>
        <w:pStyle w:val="ListBullet"/>
      </w:pPr>
      <w:r>
        <w:t xml:space="preserve">•  7. Production configuration reference</w:t>
      </w:r>
    </w:p>
    <w:p>
      <w:pPr>
        <w:pStyle w:val="ListBullet"/>
      </w:pPr>
      <w:r>
        <w:t xml:space="preserve">•  8. Initial deployment and release procedure</w:t>
      </w:r>
    </w:p>
    <w:p>
      <w:pPr>
        <w:pStyle w:val="ListBullet"/>
      </w:pPr>
      <w:r>
        <w:t xml:space="preserve">•  9. Routine operations and troubleshooting</w:t>
      </w:r>
    </w:p>
    <w:p>
      <w:pPr>
        <w:pStyle w:val="ListBullet"/>
      </w:pPr>
      <w:r>
        <w:t xml:space="preserve">•  10. Backup, restore, and disaster recovery</w:t>
      </w:r>
    </w:p>
    <w:p>
      <w:pPr>
        <w:pStyle w:val="ListBullet"/>
      </w:pPr>
      <w:r>
        <w:t xml:space="preserve">•  11. Developer workflow and code map</w:t>
      </w:r>
    </w:p>
    <w:p>
      <w:pPr>
        <w:pStyle w:val="ListBullet"/>
      </w:pPr>
      <w:r>
        <w:t xml:space="preserve">•  12. API and network reference</w:t>
      </w:r>
    </w:p>
    <w:p>
      <w:pPr>
        <w:pStyle w:val="ListBullet"/>
      </w:pPr>
      <w:r>
        <w:t xml:space="preserve">•  13. Handover checklist and known limitations</w:t>
      </w:r>
    </w:p>
    <w:p>
      <w:pPr>
        <w:pStyle w:val="ListBullet"/>
      </w:pPr>
      <w:r>
        <w:t xml:space="preserve">•  Appendices: operations quick reference, glossary, change history</w:t>
      </w:r>
    </w:p>
    <w:tbl>
      <w:tblPr>
        <w:tblW w:w="10080" w:type="dxa"/>
        <w:tblBorders>
          <w:top w:val="nil"/>
          <w:left w:val="nil"/>
          <w:bottom w:val="nil"/>
          <w:right w:val="nil"/>
        </w:tblBorders>
      </w:tblPr>
      <w:tblGrid>
        <w:gridCol w:w="10080"/>
      </w:tblGrid>
      <w:tr>
        <w:tc>
          <w:tcPr>
            <w:tcW w:w="10080" w:type="dxa"/>
            <w:shd w:fill="EAF3F5"/>
            <w:tcMar>
              <w:top w:w="100" w:type="dxa"/>
              <w:start w:w="150" w:type="dxa"/>
              <w:bottom w:w="100" w:type="dxa"/>
              <w:end w:w="150" w:type="dxa"/>
            </w:tcMar>
          </w:tcPr>
          <w:p>
            <w:pPr>
              <w:pStyle w:val="Note"/>
            </w:pPr>
            <w:r>
              <w:rPr>
                <w:b/>
              </w:rPr>
              <w:t xml:space="preserve">How to use this guide: </w:t>
            </w:r>
            <w:r>
              <w:t xml:space="preserve">This guide describes the implementation in this repository. Supply real domains, provider settings, credentials, backup destinations, and recovery targets during deployment. Validate a restore before relying on the backups.</w:t>
            </w:r>
          </w:p>
        </w:tc>
      </w:tr>
    </w:tbl>
    <w:p>
      <w:pPr>
        <w:pStyle w:val="BodyText"/>
      </w:pPr>
    </w:p>
    <w:p>
      <w:pPr>
        <w:pStyle w:val="Heading1"/>
        <w:spacing w:before="250" w:after="110"/>
        <w:keepNext/>
      </w:pPr>
      <w:r>
        <w:t xml:space="preserve">1. Executive summary and ownership</w:t>
      </w:r>
    </w:p>
    <w:p>
      <w:pPr>
        <w:pStyle w:val="BodyText"/>
      </w:pPr>
      <w:r>
        <w:t xml:space="preserve">ReadyRentalsOnline is a property-maintenance work-order application. Office staff create and track work orders. A technician opens a private token link on a phone, records the work, adds notes and photo evidence, and collects tenant and technician signatures. The API generates a PDF report and sends it by email when the work order is signed off.</w:t>
      </w:r>
    </w:p>
    <w:p>
      <w:pPr>
        <w:pStyle w:val="BodyText"/>
      </w:pPr>
      <w:r>
        <w:t xml:space="preserve">The production deployment is a Docker Compose stack on one VPS. Caddy accepts public web traffic and obtains TLS certificates. The React frontend is served by Nginx; the FastAPI API connects privately to PostgreSQL. PostgreSQL records and uploaded files persist in separate named Docker volumes backed by the VPS disk. Application email uses the configured SMTP provider. Twilio SMS is optional.</w:t>
      </w:r>
    </w:p>
    <w:tbl>
      <w:tblPr>
        <w:tblW w:w="10080" w:type="dxa"/>
        <w:tblLayout w:type="fixed"/>
        <w:tblBorders>
          <w:top w:val="single" w:sz="5" w:color="D8E1E8"/>
          <w:left w:val="single" w:sz="5" w:color="D8E1E8"/>
          <w:bottom w:val="single" w:sz="5" w:color="D8E1E8"/>
          <w:right w:val="single" w:sz="5" w:color="D8E1E8"/>
          <w:insideH w:val="single" w:sz="4" w:color="D8E1E8"/>
          <w:insideV w:val="single" w:sz="4" w:color="D8E1E8"/>
        </w:tblBorders>
        <w:tblCellMar>
          <w:top w:w="80" w:type="dxa"/>
          <w:start w:w="95" w:type="dxa"/>
          <w:bottom w:w="80" w:type="dxa"/>
          <w:end w:w="95" w:type="dxa"/>
        </w:tblCellMar>
      </w:tblPr>
      <w:tblGrid>
        <w:gridCol w:w="2200"/>
        <w:gridCol w:w="7880"/>
      </w:tblGrid>
      <w:tr>
        <w:tc>
          <w:tcPr>
            <w:tcW w:w="2200" w:type="dxa"/>
            <w:shd w:fill="16324F"/>
            <w:vAlign w:val="center"/>
          </w:tcPr>
          <w:p>
            <w:pPr>
              <w:pStyle w:val="TableText"/>
            </w:pPr>
            <w:r>
              <w:rPr>
                <w:b/>
                <w:color w:val="FFFFFF"/>
              </w:rPr>
              <w:t xml:space="preserve">Area</w:t>
            </w:r>
          </w:p>
        </w:tc>
        <w:tc>
          <w:tcPr>
            <w:tcW w:w="7880" w:type="dxa"/>
            <w:shd w:fill="16324F"/>
            <w:vAlign w:val="center"/>
          </w:tcPr>
          <w:p>
            <w:pPr>
              <w:pStyle w:val="TableText"/>
            </w:pPr>
            <w:r>
              <w:rPr>
                <w:b/>
                <w:color w:val="FFFFFF"/>
              </w:rPr>
              <w:t xml:space="preserve">Current implementation</w:t>
            </w:r>
          </w:p>
        </w:tc>
      </w:tr>
      <w:tr>
        <w:tc>
          <w:tcPr>
            <w:tcW w:w="2200" w:type="dxa"/>
            <w:shd w:fill="F6F9FB"/>
            <w:vAlign w:val="center"/>
          </w:tcPr>
          <w:p>
            <w:pPr>
              <w:pStyle w:val="TableText"/>
            </w:pPr>
            <w:r>
              <w:rPr>
                <w:color w:val="243447"/>
              </w:rPr>
              <w:t xml:space="preserve">Web client</w:t>
            </w:r>
          </w:p>
        </w:tc>
        <w:tc>
          <w:tcPr>
            <w:tcW w:w="7880" w:type="dxa"/>
            <w:shd w:fill="F6F9FB"/>
            <w:vAlign w:val="center"/>
          </w:tcPr>
          <w:p>
            <w:pPr>
              <w:pStyle w:val="TableText"/>
            </w:pPr>
            <w:r>
              <w:rPr>
                <w:color w:val="243447"/>
              </w:rPr>
              <w:t xml:space="preserve">React 18 + TypeScript; built into a production Nginx image.</w:t>
            </w:r>
          </w:p>
        </w:tc>
      </w:tr>
      <w:tr>
        <w:tc>
          <w:tcPr>
            <w:tcW w:w="2200" w:type="dxa"/>
            <w:shd w:fill="FFFFFF"/>
            <w:vAlign w:val="center"/>
          </w:tcPr>
          <w:p>
            <w:pPr>
              <w:pStyle w:val="TableText"/>
            </w:pPr>
            <w:r>
              <w:rPr>
                <w:color w:val="243447"/>
              </w:rPr>
              <w:t xml:space="preserve">API</w:t>
            </w:r>
          </w:p>
        </w:tc>
        <w:tc>
          <w:tcPr>
            <w:tcW w:w="7880" w:type="dxa"/>
            <w:shd w:fill="FFFFFF"/>
            <w:vAlign w:val="center"/>
          </w:tcPr>
          <w:p>
            <w:pPr>
              <w:pStyle w:val="TableText"/>
            </w:pPr>
            <w:r>
              <w:rPr>
                <w:color w:val="243447"/>
              </w:rPr>
              <w:t xml:space="preserve">FastAPI + SQLModel; Python 3.11 container; Alembic schema migrations.</w:t>
            </w:r>
          </w:p>
        </w:tc>
      </w:tr>
      <w:tr>
        <w:tc>
          <w:tcPr>
            <w:tcW w:w="2200" w:type="dxa"/>
            <w:shd w:fill="F6F9FB"/>
            <w:vAlign w:val="center"/>
          </w:tcPr>
          <w:p>
            <w:pPr>
              <w:pStyle w:val="TableText"/>
            </w:pPr>
            <w:r>
              <w:rPr>
                <w:color w:val="243447"/>
              </w:rPr>
              <w:t xml:space="preserve">Database</w:t>
            </w:r>
          </w:p>
        </w:tc>
        <w:tc>
          <w:tcPr>
            <w:tcW w:w="7880" w:type="dxa"/>
            <w:shd w:fill="F6F9FB"/>
            <w:vAlign w:val="center"/>
          </w:tcPr>
          <w:p>
            <w:pPr>
              <w:pStyle w:val="TableText"/>
            </w:pPr>
            <w:r>
              <w:rPr>
                <w:color w:val="243447"/>
              </w:rPr>
              <w:t xml:space="preserve">PostgreSQL 16 Alpine; named persistent volume.</w:t>
            </w:r>
          </w:p>
        </w:tc>
      </w:tr>
      <w:tr>
        <w:tc>
          <w:tcPr>
            <w:tcW w:w="2200" w:type="dxa"/>
            <w:shd w:fill="FFFFFF"/>
            <w:vAlign w:val="center"/>
          </w:tcPr>
          <w:p>
            <w:pPr>
              <w:pStyle w:val="TableText"/>
            </w:pPr>
            <w:r>
              <w:rPr>
                <w:color w:val="243447"/>
              </w:rPr>
              <w:t xml:space="preserve">Files</w:t>
            </w:r>
          </w:p>
        </w:tc>
        <w:tc>
          <w:tcPr>
            <w:tcW w:w="7880" w:type="dxa"/>
            <w:shd w:fill="FFFFFF"/>
            <w:vAlign w:val="center"/>
          </w:tcPr>
          <w:p>
            <w:pPr>
              <w:pStyle w:val="TableText"/>
            </w:pPr>
            <w:r>
              <w:rPr>
                <w:color w:val="243447"/>
              </w:rPr>
              <w:t xml:space="preserve">VPS-local storage volume for photos, signatures, and generated PDFs; no S3 is required.</w:t>
            </w:r>
          </w:p>
        </w:tc>
      </w:tr>
      <w:tr>
        <w:tc>
          <w:tcPr>
            <w:tcW w:w="2200" w:type="dxa"/>
            <w:shd w:fill="F6F9FB"/>
            <w:vAlign w:val="center"/>
          </w:tcPr>
          <w:p>
            <w:pPr>
              <w:pStyle w:val="TableText"/>
            </w:pPr>
            <w:r>
              <w:rPr>
                <w:color w:val="243447"/>
              </w:rPr>
              <w:t xml:space="preserve">Ingress</w:t>
            </w:r>
          </w:p>
        </w:tc>
        <w:tc>
          <w:tcPr>
            <w:tcW w:w="7880" w:type="dxa"/>
            <w:shd w:fill="F6F9FB"/>
            <w:vAlign w:val="center"/>
          </w:tcPr>
          <w:p>
            <w:pPr>
              <w:pStyle w:val="TableText"/>
            </w:pPr>
            <w:r>
              <w:rPr>
                <w:color w:val="243447"/>
              </w:rPr>
              <w:t xml:space="preserve">Caddy reverse proxy with automatic HTTPS for separate app and API hostnames.</w:t>
            </w:r>
          </w:p>
        </w:tc>
      </w:tr>
      <w:tr>
        <w:tc>
          <w:tcPr>
            <w:tcW w:w="2200" w:type="dxa"/>
            <w:shd w:fill="FFFFFF"/>
            <w:vAlign w:val="center"/>
          </w:tcPr>
          <w:p>
            <w:pPr>
              <w:pStyle w:val="TableText"/>
            </w:pPr>
            <w:r>
              <w:rPr>
                <w:color w:val="243447"/>
              </w:rPr>
              <w:t xml:space="preserve">Notifications</w:t>
            </w:r>
          </w:p>
        </w:tc>
        <w:tc>
          <w:tcPr>
            <w:tcW w:w="7880" w:type="dxa"/>
            <w:shd w:fill="FFFFFF"/>
            <w:vAlign w:val="center"/>
          </w:tcPr>
          <w:p>
            <w:pPr>
              <w:pStyle w:val="TableText"/>
            </w:pPr>
            <w:r>
              <w:rPr>
                <w:color w:val="243447"/>
              </w:rPr>
              <w:t xml:space="preserve">SMTP for completion reports; optional Twilio for worker links.</w:t>
            </w:r>
          </w:p>
        </w:tc>
      </w:tr>
      <w:tr>
        <w:tc>
          <w:tcPr>
            <w:tcW w:w="2200" w:type="dxa"/>
            <w:shd w:fill="F6F9FB"/>
            <w:vAlign w:val="center"/>
          </w:tcPr>
          <w:p>
            <w:pPr>
              <w:pStyle w:val="TableText"/>
            </w:pPr>
            <w:r>
              <w:rPr>
                <w:color w:val="243447"/>
              </w:rPr>
              <w:t xml:space="preserve">Account roles</w:t>
            </w:r>
          </w:p>
        </w:tc>
        <w:tc>
          <w:tcPr>
            <w:tcW w:w="7880" w:type="dxa"/>
            <w:shd w:fill="F6F9FB"/>
            <w:vAlign w:val="center"/>
          </w:tcPr>
          <w:p>
            <w:pPr>
              <w:pStyle w:val="TableText"/>
            </w:pPr>
            <w:r>
              <w:rPr>
                <w:color w:val="243447"/>
              </w:rPr>
              <w:t xml:space="preserve">Owner and Admin. Existing legacy Manager-role records migrate to Admin.</w:t>
            </w:r>
          </w:p>
        </w:tc>
      </w:tr>
    </w:tbl>
    <w:p>
      <w:pPr>
        <w:pStyle w:val="BodyText"/>
      </w:pPr>
    </w:p>
    <w:tbl>
      <w:tblPr>
        <w:tblW w:w="10080" w:type="dxa"/>
        <w:tblBorders>
          <w:top w:val="nil"/>
          <w:left w:val="nil"/>
          <w:bottom w:val="nil"/>
          <w:right w:val="nil"/>
        </w:tblBorders>
      </w:tblPr>
      <w:tblGrid>
        <w:gridCol w:w="10080"/>
      </w:tblGrid>
      <w:tr>
        <w:tc>
          <w:tcPr>
            <w:tcW w:w="10080" w:type="dxa"/>
            <w:shd w:fill="F8F1E7"/>
            <w:tcMar>
              <w:top w:w="100" w:type="dxa"/>
              <w:start w:w="150" w:type="dxa"/>
              <w:bottom w:w="100" w:type="dxa"/>
              <w:end w:w="150" w:type="dxa"/>
            </w:tcMar>
          </w:tcPr>
          <w:p>
            <w:pPr>
              <w:pStyle w:val="Note"/>
            </w:pPr>
            <w:r>
              <w:rPr>
                <w:b/>
              </w:rPr>
              <w:t xml:space="preserve">Availability: </w:t>
            </w:r>
            <w:r>
              <w:t xml:space="preserve">One VPS is a single failure domain, not a high-availability design. VPS loss, disk failure, exhausted disk, or host outage can take the service offline. Use encrypted off-site backups and practice recovery on an isolated system.</w:t>
            </w:r>
          </w:p>
        </w:tc>
      </w:tr>
    </w:tbl>
    <w:p>
      <w:pPr>
        <w:pStyle w:val="BodyText"/>
      </w:pPr>
    </w:p>
    <w:p>
      <w:pPr>
        <w:pStyle w:val="Heading2"/>
        <w:spacing w:before="160" w:after="110"/>
        <w:keepNext/>
      </w:pPr>
      <w:r>
        <w:t xml:space="preserve">1.1 Project ownership and technical support</w:t>
      </w:r>
    </w:p>
    <w:p>
      <w:pPr>
        <w:pStyle w:val="BodyText"/>
      </w:pPr>
      <w:r>
        <w:t xml:space="preserve">This application was developed for ReadyRentalsOnline by Muhammad Attayab Ashraf and Automivex, a software development company. The contact details below are the developer’s company and personal support contacts. No client-personal contact details are included in this handover.</w:t>
      </w:r>
    </w:p>
    <w:tbl>
      <w:tblPr>
        <w:tblW w:w="10080" w:type="dxa"/>
        <w:tblLayout w:type="fixed"/>
        <w:tblBorders>
          <w:top w:val="single" w:sz="5" w:color="D8E1E8"/>
          <w:left w:val="single" w:sz="5" w:color="D8E1E8"/>
          <w:bottom w:val="single" w:sz="5" w:color="D8E1E8"/>
          <w:right w:val="single" w:sz="5" w:color="D8E1E8"/>
          <w:insideH w:val="single" w:sz="4" w:color="D8E1E8"/>
          <w:insideV w:val="single" w:sz="4" w:color="D8E1E8"/>
        </w:tblBorders>
        <w:tblCellMar>
          <w:top w:w="80" w:type="dxa"/>
          <w:start w:w="95" w:type="dxa"/>
          <w:bottom w:w="80" w:type="dxa"/>
          <w:end w:w="95" w:type="dxa"/>
        </w:tblCellMar>
      </w:tblPr>
      <w:tblGrid>
        <w:gridCol w:w="2900"/>
        <w:gridCol w:w="7180"/>
      </w:tblGrid>
      <w:tr>
        <w:tc>
          <w:tcPr>
            <w:tcW w:w="2900" w:type="dxa"/>
            <w:shd w:fill="16324F"/>
            <w:vAlign w:val="center"/>
          </w:tcPr>
          <w:p>
            <w:pPr>
              <w:pStyle w:val="TableText"/>
            </w:pPr>
            <w:r>
              <w:rPr>
                <w:b/>
                <w:color w:val="FFFFFF"/>
              </w:rPr>
              <w:t xml:space="preserve">Responsibility</w:t>
            </w:r>
          </w:p>
        </w:tc>
        <w:tc>
          <w:tcPr>
            <w:tcW w:w="7180" w:type="dxa"/>
            <w:shd w:fill="16324F"/>
            <w:vAlign w:val="center"/>
          </w:tcPr>
          <w:p>
            <w:pPr>
              <w:pStyle w:val="TableText"/>
            </w:pPr>
            <w:r>
              <w:rPr>
                <w:b/>
                <w:color w:val="FFFFFF"/>
              </w:rPr>
              <w:t xml:space="preserve">Contact</w:t>
            </w:r>
          </w:p>
        </w:tc>
      </w:tr>
      <w:tr>
        <w:tc>
          <w:tcPr>
            <w:tcW w:w="2900" w:type="dxa"/>
            <w:shd w:fill="F6F9FB"/>
            <w:vAlign w:val="center"/>
          </w:tcPr>
          <w:p>
            <w:pPr>
              <w:pStyle w:val="TableText"/>
            </w:pPr>
            <w:r>
              <w:rPr>
                <w:color w:val="243447"/>
              </w:rPr>
              <w:t xml:space="preserve">Developer</w:t>
            </w:r>
          </w:p>
        </w:tc>
        <w:tc>
          <w:tcPr>
            <w:tcW w:w="7180" w:type="dxa"/>
            <w:shd w:fill="F6F9FB"/>
            <w:vAlign w:val="center"/>
          </w:tcPr>
          <w:p>
            <w:pPr>
              <w:pStyle w:val="TableText"/>
            </w:pPr>
            <w:r>
              <w:rPr>
                <w:color w:val="243447"/>
              </w:rPr>
              <w:t xml:space="preserve">Muhammad Attayab Ashraf</w:t>
            </w:r>
          </w:p>
        </w:tc>
      </w:tr>
      <w:tr>
        <w:tc>
          <w:tcPr>
            <w:tcW w:w="2900" w:type="dxa"/>
            <w:shd w:fill="FFFFFF"/>
            <w:vAlign w:val="center"/>
          </w:tcPr>
          <w:p>
            <w:pPr>
              <w:pStyle w:val="TableText"/>
            </w:pPr>
            <w:r>
              <w:rPr>
                <w:color w:val="243447"/>
              </w:rPr>
              <w:t xml:space="preserve">Software company</w:t>
            </w:r>
          </w:p>
        </w:tc>
        <w:tc>
          <w:tcPr>
            <w:tcW w:w="7180" w:type="dxa"/>
            <w:shd w:fill="FFFFFF"/>
            <w:vAlign w:val="center"/>
          </w:tcPr>
          <w:p>
            <w:pPr>
              <w:pStyle w:val="TableText"/>
            </w:pPr>
            <w:r>
              <w:rPr>
                <w:color w:val="243447"/>
              </w:rPr>
              <w:t xml:space="preserve">Automivex · https://www.automivex.com</w:t>
            </w:r>
          </w:p>
        </w:tc>
      </w:tr>
      <w:tr>
        <w:tc>
          <w:tcPr>
            <w:tcW w:w="2900" w:type="dxa"/>
            <w:shd w:fill="F6F9FB"/>
            <w:vAlign w:val="center"/>
          </w:tcPr>
          <w:p>
            <w:pPr>
              <w:pStyle w:val="TableText"/>
            </w:pPr>
            <w:r>
              <w:rPr>
                <w:color w:val="243447"/>
              </w:rPr>
              <w:t xml:space="preserve">Personal technical contact</w:t>
            </w:r>
          </w:p>
        </w:tc>
        <w:tc>
          <w:tcPr>
            <w:tcW w:w="7180" w:type="dxa"/>
            <w:shd w:fill="F6F9FB"/>
            <w:vAlign w:val="center"/>
          </w:tcPr>
          <w:p>
            <w:pPr>
              <w:pStyle w:val="TableText"/>
            </w:pPr>
            <w:r>
              <w:rPr>
                <w:color w:val="243447"/>
              </w:rPr>
              <w:t xml:space="preserve">attayabpc2@gmail.com · +92 317 4026038</w:t>
            </w:r>
          </w:p>
        </w:tc>
      </w:tr>
      <w:tr>
        <w:tc>
          <w:tcPr>
            <w:tcW w:w="2900" w:type="dxa"/>
            <w:shd w:fill="FFFFFF"/>
            <w:vAlign w:val="center"/>
          </w:tcPr>
          <w:p>
            <w:pPr>
              <w:pStyle w:val="TableText"/>
            </w:pPr>
            <w:r>
              <w:rPr>
                <w:color w:val="243447"/>
              </w:rPr>
              <w:t xml:space="preserve">Company contact</w:t>
            </w:r>
          </w:p>
        </w:tc>
        <w:tc>
          <w:tcPr>
            <w:tcW w:w="7180" w:type="dxa"/>
            <w:shd w:fill="FFFFFF"/>
            <w:vAlign w:val="center"/>
          </w:tcPr>
          <w:p>
            <w:pPr>
              <w:pStyle w:val="TableText"/>
            </w:pPr>
            <w:r>
              <w:rPr>
                <w:color w:val="243447"/>
              </w:rPr>
              <w:t xml:space="preserve">social@automivex.com</w:t>
            </w:r>
          </w:p>
        </w:tc>
      </w:tr>
      <w:tr>
        <w:tc>
          <w:tcPr>
            <w:tcW w:w="2900" w:type="dxa"/>
            <w:shd w:fill="F6F9FB"/>
            <w:vAlign w:val="center"/>
          </w:tcPr>
          <w:p>
            <w:pPr>
              <w:pStyle w:val="TableText"/>
            </w:pPr>
            <w:r>
              <w:rPr>
                <w:color w:val="243447"/>
              </w:rPr>
              <w:t xml:space="preserve">Client organization</w:t>
            </w:r>
          </w:p>
        </w:tc>
        <w:tc>
          <w:tcPr>
            <w:tcW w:w="7180" w:type="dxa"/>
            <w:shd w:fill="F6F9FB"/>
            <w:vAlign w:val="center"/>
          </w:tcPr>
          <w:p>
            <w:pPr>
              <w:pStyle w:val="TableText"/>
            </w:pPr>
            <w:r>
              <w:rPr>
                <w:color w:val="243447"/>
              </w:rPr>
              <w:t xml:space="preserve">ReadyRentalsOnline · https://readyrentalsonline.com</w:t>
            </w:r>
          </w:p>
        </w:tc>
      </w:tr>
    </w:tbl>
    <w:p>
      <w:pPr>
        <w:pStyle w:val="BodyText"/>
      </w:pPr>
    </w:p>
    <w:tbl>
      <w:tblPr>
        <w:tblW w:w="10080" w:type="dxa"/>
        <w:tblBorders>
          <w:top w:val="nil"/>
          <w:left w:val="nil"/>
          <w:bottom w:val="nil"/>
          <w:right w:val="nil"/>
        </w:tblBorders>
      </w:tblPr>
      <w:tblGrid>
        <w:gridCol w:w="10080"/>
      </w:tblGrid>
      <w:tr>
        <w:tc>
          <w:tcPr>
            <w:tcW w:w="10080" w:type="dxa"/>
            <w:shd w:fill="EAF3F5"/>
            <w:tcMar>
              <w:top w:w="100" w:type="dxa"/>
              <w:start w:w="150" w:type="dxa"/>
              <w:bottom w:w="100" w:type="dxa"/>
              <w:end w:w="150" w:type="dxa"/>
            </w:tcMar>
          </w:tcPr>
          <w:p>
            <w:pPr>
              <w:pStyle w:val="Note"/>
            </w:pPr>
            <w:r>
              <w:rPr>
                <w:b/>
              </w:rPr>
              <w:t xml:space="preserve">Support hygiene: </w:t>
            </w:r>
            <w:r>
              <w:t xml:space="preserve">Share a redacted error, application version/commit, deployment method, browser or server details, and steps to reproduce. Never send .env files, passwords, database URLs, JWTs, worker links, SMTP credentials, or Twilio tokens by email.</w:t>
            </w:r>
          </w:p>
        </w:tc>
      </w:tr>
    </w:tbl>
    <w:p>
      <w:pPr>
        <w:pStyle w:val="BodyText"/>
      </w:pPr>
    </w:p>
    <w:p>
      <w:pPr>
        <w:pStyle w:val="Heading1"/>
        <w:spacing w:before="250" w:after="110"/>
        <w:keepNext/>
      </w:pPr>
      <w:r>
        <w:t xml:space="preserve">2. Product capabilities and account roles</w:t>
      </w:r>
    </w:p>
    <w:p>
      <w:pPr>
        <w:pStyle w:val="ListBullet"/>
      </w:pPr>
      <w:r>
        <w:t xml:space="preserve">•  Owner and Admin sign in to the office dashboard with JWT-based sessions.</w:t>
      </w:r>
    </w:p>
    <w:p>
      <w:pPr>
        <w:pStyle w:val="ListBullet"/>
      </w:pPr>
      <w:r>
        <w:t xml:space="preserve">•  Office users create work orders, assign technicians, set priority, and view the organization’s work orders.</w:t>
      </w:r>
    </w:p>
    <w:p>
      <w:pPr>
        <w:pStyle w:val="ListBullet"/>
      </w:pPr>
      <w:r>
        <w:t xml:space="preserve">•  The worker flow runs from a token link; technicians and tenants do not need office accounts.</w:t>
      </w:r>
    </w:p>
    <w:p>
      <w:pPr>
        <w:pStyle w:val="ListBullet"/>
      </w:pPr>
      <w:r>
        <w:t xml:space="preserve">•  Tasks support notes, before/after photos, resolution state, and explicit photo-skip selections.</w:t>
      </w:r>
    </w:p>
    <w:p>
      <w:pPr>
        <w:pStyle w:val="ListBullet"/>
      </w:pPr>
      <w:r>
        <w:t xml:space="preserve">•  The API collects tenant and technician signatures, creates a PDF report, and sends completion email.</w:t>
      </w:r>
    </w:p>
    <w:p>
      <w:pPr>
        <w:pStyle w:val="ListBullet"/>
      </w:pPr>
      <w:r>
        <w:t xml:space="preserve">•  The Owner can create/remove office Admin accounts and view audit events and activity statistics.</w:t>
      </w:r>
    </w:p>
    <w:p>
      <w:pPr>
        <w:pStyle w:val="ListBullet"/>
      </w:pPr>
      <w:r>
        <w:t xml:space="preserve">•  Admin and Owner can create or archive checklist categories. Categories are archived, not hard-deleted.</w:t>
      </w:r>
    </w:p>
    <w:p>
      <w:pPr>
        <w:pStyle w:val="ListBullet"/>
      </w:pPr>
      <w:r>
        <w:t xml:space="preserve">•  Optional Twilio SMS can deliver the worker link; manual link sharing remains available.</w:t>
      </w:r>
    </w:p>
    <w:tbl>
      <w:tblPr>
        <w:tblW w:w="10080" w:type="dxa"/>
        <w:tblLayout w:type="fixed"/>
        <w:tblBorders>
          <w:top w:val="single" w:sz="5" w:color="D8E1E8"/>
          <w:left w:val="single" w:sz="5" w:color="D8E1E8"/>
          <w:bottom w:val="single" w:sz="5" w:color="D8E1E8"/>
          <w:right w:val="single" w:sz="5" w:color="D8E1E8"/>
          <w:insideH w:val="single" w:sz="4" w:color="D8E1E8"/>
          <w:insideV w:val="single" w:sz="4" w:color="D8E1E8"/>
        </w:tblBorders>
        <w:tblCellMar>
          <w:top w:w="80" w:type="dxa"/>
          <w:start w:w="95" w:type="dxa"/>
          <w:bottom w:w="80" w:type="dxa"/>
          <w:end w:w="95" w:type="dxa"/>
        </w:tblCellMar>
      </w:tblPr>
      <w:tblGrid>
        <w:gridCol w:w="1800"/>
        <w:gridCol w:w="8280"/>
      </w:tblGrid>
      <w:tr>
        <w:tc>
          <w:tcPr>
            <w:tcW w:w="1800" w:type="dxa"/>
            <w:shd w:fill="16324F"/>
            <w:vAlign w:val="center"/>
          </w:tcPr>
          <w:p>
            <w:pPr>
              <w:pStyle w:val="TableText"/>
            </w:pPr>
            <w:r>
              <w:rPr>
                <w:b/>
                <w:color w:val="FFFFFF"/>
              </w:rPr>
              <w:t xml:space="preserve">Role</w:t>
            </w:r>
          </w:p>
        </w:tc>
        <w:tc>
          <w:tcPr>
            <w:tcW w:w="8280" w:type="dxa"/>
            <w:shd w:fill="16324F"/>
            <w:vAlign w:val="center"/>
          </w:tcPr>
          <w:p>
            <w:pPr>
              <w:pStyle w:val="TableText"/>
            </w:pPr>
            <w:r>
              <w:rPr>
                <w:b/>
                <w:color w:val="FFFFFF"/>
              </w:rPr>
              <w:t xml:space="preserve">Permissions evidenced by current API and frontend</w:t>
            </w:r>
          </w:p>
        </w:tc>
      </w:tr>
      <w:tr>
        <w:tc>
          <w:tcPr>
            <w:tcW w:w="1800" w:type="dxa"/>
            <w:shd w:fill="F6F9FB"/>
            <w:vAlign w:val="center"/>
          </w:tcPr>
          <w:p>
            <w:pPr>
              <w:pStyle w:val="TableText"/>
            </w:pPr>
            <w:r>
              <w:rPr>
                <w:color w:val="243447"/>
              </w:rPr>
              <w:t xml:space="preserve">Owner</w:t>
            </w:r>
          </w:p>
        </w:tc>
        <w:tc>
          <w:tcPr>
            <w:tcW w:w="8280" w:type="dxa"/>
            <w:shd w:fill="F6F9FB"/>
            <w:vAlign w:val="center"/>
          </w:tcPr>
          <w:p>
            <w:pPr>
              <w:pStyle w:val="TableText"/>
            </w:pPr>
            <w:r>
              <w:rPr>
                <w:color w:val="243447"/>
              </w:rPr>
              <w:t xml:space="preserve">All office work-order and category features; creates/removes Admin accounts; views audit logs; may delete signed-off work orders; can filter by creator.</w:t>
            </w:r>
          </w:p>
        </w:tc>
      </w:tr>
      <w:tr>
        <w:tc>
          <w:tcPr>
            <w:tcW w:w="1800" w:type="dxa"/>
            <w:shd w:fill="FFFFFF"/>
            <w:vAlign w:val="center"/>
          </w:tcPr>
          <w:p>
            <w:pPr>
              <w:pStyle w:val="TableText"/>
            </w:pPr>
            <w:r>
              <w:rPr>
                <w:color w:val="243447"/>
              </w:rPr>
              <w:t xml:space="preserve">Admin</w:t>
            </w:r>
          </w:p>
        </w:tc>
        <w:tc>
          <w:tcPr>
            <w:tcW w:w="8280" w:type="dxa"/>
            <w:shd w:fill="FFFFFF"/>
            <w:vAlign w:val="center"/>
          </w:tcPr>
          <w:p>
            <w:pPr>
              <w:pStyle w:val="TableText"/>
            </w:pPr>
            <w:r>
              <w:rPr>
                <w:color w:val="243447"/>
              </w:rPr>
              <w:t xml:space="preserve">Office work-order and category features; can download reports, share/resend/regenerate worker links, and email signed reports; cannot manage accounts, view audit logs, or delete signed-off orders.</w:t>
            </w:r>
          </w:p>
        </w:tc>
      </w:tr>
      <w:tr>
        <w:tc>
          <w:tcPr>
            <w:tcW w:w="1800" w:type="dxa"/>
            <w:shd w:fill="F6F9FB"/>
            <w:vAlign w:val="center"/>
          </w:tcPr>
          <w:p>
            <w:pPr>
              <w:pStyle w:val="TableText"/>
            </w:pPr>
            <w:r>
              <w:rPr>
                <w:color w:val="243447"/>
              </w:rPr>
              <w:t xml:space="preserve">Technician / tenant</w:t>
            </w:r>
          </w:p>
        </w:tc>
        <w:tc>
          <w:tcPr>
            <w:tcW w:w="8280" w:type="dxa"/>
            <w:shd w:fill="F6F9FB"/>
            <w:vAlign w:val="center"/>
          </w:tcPr>
          <w:p>
            <w:pPr>
              <w:pStyle w:val="TableText"/>
            </w:pPr>
            <w:r>
              <w:rPr>
                <w:color w:val="243447"/>
              </w:rPr>
              <w:t xml:space="preserve">No office account. A person holding the work-order token can perform the worker actions allowed by the current status.</w:t>
            </w:r>
          </w:p>
        </w:tc>
      </w:tr>
    </w:tbl>
    <w:p>
      <w:pPr>
        <w:pStyle w:val="BodyText"/>
      </w:pPr>
    </w:p>
    <w:tbl>
      <w:tblPr>
        <w:tblW w:w="10080" w:type="dxa"/>
        <w:tblBorders>
          <w:top w:val="nil"/>
          <w:left w:val="nil"/>
          <w:bottom w:val="nil"/>
          <w:right w:val="nil"/>
        </w:tblBorders>
      </w:tblPr>
      <w:tblGrid>
        <w:gridCol w:w="10080"/>
      </w:tblGrid>
      <w:tr>
        <w:tc>
          <w:tcPr>
            <w:tcW w:w="10080" w:type="dxa"/>
            <w:shd w:fill="EAF3F5"/>
            <w:tcMar>
              <w:top w:w="100" w:type="dxa"/>
              <w:start w:w="150" w:type="dxa"/>
              <w:bottom w:w="100" w:type="dxa"/>
              <w:end w:w="150" w:type="dxa"/>
            </w:tcMar>
          </w:tcPr>
          <w:p>
            <w:pPr>
              <w:pStyle w:val="Note"/>
            </w:pPr>
            <w:r>
              <w:rPr>
                <w:b/>
              </w:rPr>
              <w:t xml:space="preserve">Role migration: </w:t>
            </w:r>
            <w:r>
              <w:t xml:space="preserve">There is no separate Manager permission role in the current application. The database migration converts existing legacy Manager accounts to Admin so their login and work-order access continue. Historical migration files retain the old value only to support upgrades from older databases.</w:t>
            </w:r>
          </w:p>
        </w:tc>
      </w:tr>
    </w:tbl>
    <w:p>
      <w:pPr>
        <w:pStyle w:val="BodyText"/>
      </w:pPr>
    </w:p>
    <w:p>
      <w:pPr>
        <w:pStyle w:val="BodyText"/>
      </w:pPr>
      <w:r>
        <w:t xml:space="preserve">Office users are not isolated to their own work orders: the API returns the organization’s work orders to any authenticated Admin or Owner. “My work orders” and Owner creator filters are dashboard filters, not per-user access-control boundaries.</w:t>
      </w:r>
    </w:p>
    <w:p>
      <w:pPr>
        <w:pStyle w:val="Heading1"/>
        <w:spacing w:before="250" w:after="110"/>
        <w:keepNext/>
      </w:pPr>
      <w:r>
        <w:t xml:space="preserve">3. Work-order lifecycle</w:t>
      </w:r>
    </w:p>
    <w:p>
      <w:pPr>
        <w:pStyle w:val="Image"/>
        <w:jc w:val="center"/>
      </w:pPr>
      <w:r>
        <w:drawing>
          <wp:inline distT="0" distB="0" distL="0" distR="0">
            <wp:extent cx="6400800" cy="2645664"/>
            <wp:docPr id="2" name="lifecycle.png" descr="Figure 1. Implemented work-order status progression"/>
            <wp:cNvGraphicFramePr>
              <a:graphicFrameLocks noChangeAspect="1"/>
            </wp:cNvGraphicFramePr>
            <a:graphic>
              <a:graphicData uri="http://schemas.openxmlformats.org/drawingml/2006/picture">
                <pic:pic>
                  <pic:nvPicPr>
                    <pic:cNvPr id="2" name="lifecycle.png"/>
                    <pic:cNvPicPr/>
                  </pic:nvPicPr>
                  <pic:blipFill>
                    <a:blip r:embed="rIdImage2"/>
                    <a:stretch>
                      <a:fillRect/>
                    </a:stretch>
                  </pic:blipFill>
                  <pic:spPr>
                    <a:xfrm>
                      <a:off x="0" y="0"/>
                      <a:ext cx="6400800" cy="2645664"/>
                    </a:xfrm>
                    <a:prstGeom prst="rect">
                      <a:avLst/>
                    </a:prstGeom>
                  </pic:spPr>
                </pic:pic>
              </a:graphicData>
            </a:graphic>
          </wp:inline>
        </w:drawing>
      </w:r>
    </w:p>
    <w:p>
      <w:pPr>
        <w:pStyle w:val="Caption"/>
      </w:pPr>
      <w:r>
        <w:t xml:space="preserve">Figure 1. Implemented work-order status progression</w:t>
      </w:r>
    </w:p>
    <w:p>
      <w:pPr>
        <w:pStyle w:val="BodyText"/>
      </w:pPr>
      <w:r>
        <w:t xml:space="preserve">A newly created work order is assigned. Starting the job records its start time and moves it to in_progress. The worker updates tasks, notes, inspection information, and evidence. Completion requires resolved tasks, inspection information, and before/after photos for each item or an explicit no-picture selection. The tenant signs before the technician. The technician’s signature finalizes the order, generates the PDF, and queues the completion email task.</w:t>
      </w:r>
    </w:p>
    <w:tbl>
      <w:tblPr>
        <w:tblW w:w="10080" w:type="dxa"/>
        <w:tblLayout w:type="fixed"/>
        <w:tblBorders>
          <w:top w:val="single" w:sz="5" w:color="D8E1E8"/>
          <w:left w:val="single" w:sz="5" w:color="D8E1E8"/>
          <w:bottom w:val="single" w:sz="5" w:color="D8E1E8"/>
          <w:right w:val="single" w:sz="5" w:color="D8E1E8"/>
          <w:insideH w:val="single" w:sz="4" w:color="D8E1E8"/>
          <w:insideV w:val="single" w:sz="4" w:color="D8E1E8"/>
        </w:tblBorders>
        <w:tblCellMar>
          <w:top w:w="80" w:type="dxa"/>
          <w:start w:w="95" w:type="dxa"/>
          <w:bottom w:w="80" w:type="dxa"/>
          <w:end w:w="95" w:type="dxa"/>
        </w:tblCellMar>
      </w:tblPr>
      <w:tblGrid>
        <w:gridCol w:w="2600"/>
        <w:gridCol w:w="7480"/>
      </w:tblGrid>
      <w:tr>
        <w:tc>
          <w:tcPr>
            <w:tcW w:w="2600" w:type="dxa"/>
            <w:shd w:fill="16324F"/>
            <w:vAlign w:val="center"/>
          </w:tcPr>
          <w:p>
            <w:pPr>
              <w:pStyle w:val="TableText"/>
            </w:pPr>
            <w:r>
              <w:rPr>
                <w:b/>
                <w:color w:val="FFFFFF"/>
              </w:rPr>
              <w:t xml:space="preserve">Status</w:t>
            </w:r>
          </w:p>
        </w:tc>
        <w:tc>
          <w:tcPr>
            <w:tcW w:w="7480" w:type="dxa"/>
            <w:shd w:fill="16324F"/>
            <w:vAlign w:val="center"/>
          </w:tcPr>
          <w:p>
            <w:pPr>
              <w:pStyle w:val="TableText"/>
            </w:pPr>
            <w:r>
              <w:rPr>
                <w:b/>
                <w:color w:val="FFFFFF"/>
              </w:rPr>
              <w:t xml:space="preserve">Meaning and constraints</w:t>
            </w:r>
          </w:p>
        </w:tc>
      </w:tr>
      <w:tr>
        <w:tc>
          <w:tcPr>
            <w:tcW w:w="2600" w:type="dxa"/>
            <w:shd w:fill="F6F9FB"/>
            <w:vAlign w:val="center"/>
          </w:tcPr>
          <w:p>
            <w:pPr>
              <w:pStyle w:val="TableText"/>
            </w:pPr>
            <w:r>
              <w:rPr>
                <w:color w:val="243447"/>
              </w:rPr>
              <w:t xml:space="preserve">assigned</w:t>
            </w:r>
          </w:p>
        </w:tc>
        <w:tc>
          <w:tcPr>
            <w:tcW w:w="7480" w:type="dxa"/>
            <w:shd w:fill="F6F9FB"/>
            <w:vAlign w:val="center"/>
          </w:tcPr>
          <w:p>
            <w:pPr>
              <w:pStyle w:val="TableText"/>
            </w:pPr>
            <w:r>
              <w:rPr>
                <w:color w:val="243447"/>
              </w:rPr>
              <w:t xml:space="preserve">Created by an office user; worker can open and start it.</w:t>
            </w:r>
          </w:p>
        </w:tc>
      </w:tr>
      <w:tr>
        <w:tc>
          <w:tcPr>
            <w:tcW w:w="2600" w:type="dxa"/>
            <w:shd w:fill="FFFFFF"/>
            <w:vAlign w:val="center"/>
          </w:tcPr>
          <w:p>
            <w:pPr>
              <w:pStyle w:val="TableText"/>
            </w:pPr>
            <w:r>
              <w:rPr>
                <w:color w:val="243447"/>
              </w:rPr>
              <w:t xml:space="preserve">in_progress</w:t>
            </w:r>
          </w:p>
        </w:tc>
        <w:tc>
          <w:tcPr>
            <w:tcW w:w="7480" w:type="dxa"/>
            <w:shd w:fill="FFFFFF"/>
            <w:vAlign w:val="center"/>
          </w:tcPr>
          <w:p>
            <w:pPr>
              <w:pStyle w:val="TableText"/>
            </w:pPr>
            <w:r>
              <w:rPr>
                <w:color w:val="243447"/>
              </w:rPr>
              <w:t xml:space="preserve">Worker can update eligible item data and evidence.</w:t>
            </w:r>
          </w:p>
        </w:tc>
      </w:tr>
      <w:tr>
        <w:tc>
          <w:tcPr>
            <w:tcW w:w="2600" w:type="dxa"/>
            <w:shd w:fill="F6F9FB"/>
            <w:vAlign w:val="center"/>
          </w:tcPr>
          <w:p>
            <w:pPr>
              <w:pStyle w:val="TableText"/>
            </w:pPr>
            <w:r>
              <w:rPr>
                <w:color w:val="243447"/>
              </w:rPr>
              <w:t xml:space="preserve">completed_pending_signoff</w:t>
            </w:r>
          </w:p>
        </w:tc>
        <w:tc>
          <w:tcPr>
            <w:tcW w:w="7480" w:type="dxa"/>
            <w:shd w:fill="F6F9FB"/>
            <w:vAlign w:val="center"/>
          </w:tcPr>
          <w:p>
            <w:pPr>
              <w:pStyle w:val="TableText"/>
            </w:pPr>
            <w:r>
              <w:rPr>
                <w:color w:val="243447"/>
              </w:rPr>
              <w:t xml:space="preserve">Completion checks passed and tenant sign-off is pending/recorded before technician sign-off.</w:t>
            </w:r>
          </w:p>
        </w:tc>
      </w:tr>
      <w:tr>
        <w:tc>
          <w:tcPr>
            <w:tcW w:w="2600" w:type="dxa"/>
            <w:shd w:fill="FFFFFF"/>
            <w:vAlign w:val="center"/>
          </w:tcPr>
          <w:p>
            <w:pPr>
              <w:pStyle w:val="TableText"/>
            </w:pPr>
            <w:r>
              <w:rPr>
                <w:color w:val="243447"/>
              </w:rPr>
              <w:t xml:space="preserve">signed_off</w:t>
            </w:r>
          </w:p>
        </w:tc>
        <w:tc>
          <w:tcPr>
            <w:tcW w:w="7480" w:type="dxa"/>
            <w:shd w:fill="FFFFFF"/>
            <w:vAlign w:val="center"/>
          </w:tcPr>
          <w:p>
            <w:pPr>
              <w:pStyle w:val="TableText"/>
            </w:pPr>
            <w:r>
              <w:rPr>
                <w:color w:val="243447"/>
              </w:rPr>
              <w:t xml:space="preserve">Finalized, PDF generated, and write-locked; Owner-only work-order deletion is permitted.</w:t>
            </w:r>
          </w:p>
        </w:tc>
      </w:tr>
    </w:tbl>
    <w:p>
      <w:pPr>
        <w:pStyle w:val="BodyText"/>
      </w:pPr>
    </w:p>
    <w:tbl>
      <w:tblPr>
        <w:tblW w:w="10080" w:type="dxa"/>
        <w:tblBorders>
          <w:top w:val="nil"/>
          <w:left w:val="nil"/>
          <w:bottom w:val="nil"/>
          <w:right w:val="nil"/>
        </w:tblBorders>
      </w:tblPr>
      <w:tblGrid>
        <w:gridCol w:w="10080"/>
      </w:tblGrid>
      <w:tr>
        <w:tc>
          <w:tcPr>
            <w:tcW w:w="10080" w:type="dxa"/>
            <w:shd w:fill="F8F1E7"/>
            <w:tcMar>
              <w:top w:w="100" w:type="dxa"/>
              <w:start w:w="150" w:type="dxa"/>
              <w:bottom w:w="100" w:type="dxa"/>
              <w:end w:w="150" w:type="dxa"/>
            </w:tcMar>
          </w:tcPr>
          <w:p>
            <w:pPr>
              <w:pStyle w:val="Note"/>
            </w:pPr>
            <w:r>
              <w:rPr>
                <w:b/>
              </w:rPr>
              <w:t xml:space="preserve">Current workflow limit: </w:t>
            </w:r>
            <w:r>
              <w:t xml:space="preserve">The current WorkOrderStatus enum has four states. It has no distinct incomplete, return-visit, or reopen status. Confirm the workflow fits business operations before relying on older descriptions of an incomplete-return process.</w:t>
            </w:r>
          </w:p>
        </w:tc>
      </w:tr>
    </w:tbl>
    <w:p>
      <w:pPr>
        <w:pStyle w:val="BodyText"/>
      </w:pPr>
    </w:p>
    <w:p>
      <w:pPr>
        <w:pStyle w:val="Heading2"/>
        <w:spacing w:before="160" w:after="110"/>
        <w:keepNext/>
      </w:pPr>
      <w:r>
        <w:t xml:space="preserve">3.1 Worker-link handling</w:t>
      </w:r>
    </w:p>
    <w:p>
      <w:pPr>
        <w:pStyle w:val="BodyText"/>
      </w:pPr>
      <w:r>
        <w:t xml:space="preserve">The worker link is a bearer credential: possession of the token URL grants access to the associated worker endpoints. Share it only with the intended technician/tenant. Regenerating the link replaces the previous token; signed-off orders cannot regenerate it. Treat links as credentials and avoid including them in support messages or public channels.</w:t>
      </w:r>
    </w:p>
    <w:p>
      <w:pPr>
        <w:pStyle w:val="Heading1"/>
        <w:spacing w:before="250" w:after="110"/>
        <w:keepNext/>
      </w:pPr>
      <w:r>
        <w:t xml:space="preserve">4. Architecture and network boundaries</w:t>
      </w:r>
    </w:p>
    <w:p>
      <w:pPr>
        <w:pStyle w:val="Image"/>
        <w:jc w:val="center"/>
      </w:pPr>
      <w:r>
        <w:drawing>
          <wp:inline distT="0" distB="0" distL="0" distR="0">
            <wp:extent cx="6400800" cy="2645664"/>
            <wp:docPr id="1" name="architecture.png" descr="Figure 2. Production services and private Docker networks"/>
            <wp:cNvGraphicFramePr>
              <a:graphicFrameLocks noChangeAspect="1"/>
            </wp:cNvGraphicFramePr>
            <a:graphic>
              <a:graphicData uri="http://schemas.openxmlformats.org/drawingml/2006/picture">
                <pic:pic>
                  <pic:nvPicPr>
                    <pic:cNvPr id="1" name="architecture.png"/>
                    <pic:cNvPicPr/>
                  </pic:nvPicPr>
                  <pic:blipFill>
                    <a:blip r:embed="rIdImage1"/>
                    <a:stretch>
                      <a:fillRect/>
                    </a:stretch>
                  </pic:blipFill>
                  <pic:spPr>
                    <a:xfrm>
                      <a:off x="0" y="0"/>
                      <a:ext cx="6400800" cy="2645664"/>
                    </a:xfrm>
                    <a:prstGeom prst="rect">
                      <a:avLst/>
                    </a:prstGeom>
                  </pic:spPr>
                </pic:pic>
              </a:graphicData>
            </a:graphic>
          </wp:inline>
        </w:drawing>
      </w:r>
    </w:p>
    <w:p>
      <w:pPr>
        <w:pStyle w:val="Caption"/>
      </w:pPr>
      <w:r>
        <w:t xml:space="preserve">Figure 2. Production services and private Docker networks</w:t>
      </w:r>
    </w:p>
    <w:tbl>
      <w:tblPr>
        <w:tblW w:w="10080" w:type="dxa"/>
        <w:tblLayout w:type="fixed"/>
        <w:tblBorders>
          <w:top w:val="single" w:sz="5" w:color="D8E1E8"/>
          <w:left w:val="single" w:sz="5" w:color="D8E1E8"/>
          <w:bottom w:val="single" w:sz="5" w:color="D8E1E8"/>
          <w:right w:val="single" w:sz="5" w:color="D8E1E8"/>
          <w:insideH w:val="single" w:sz="4" w:color="D8E1E8"/>
          <w:insideV w:val="single" w:sz="4" w:color="D8E1E8"/>
        </w:tblBorders>
        <w:tblCellMar>
          <w:top w:w="80" w:type="dxa"/>
          <w:start w:w="95" w:type="dxa"/>
          <w:bottom w:w="80" w:type="dxa"/>
          <w:end w:w="95" w:type="dxa"/>
        </w:tblCellMar>
      </w:tblPr>
      <w:tblGrid>
        <w:gridCol w:w="1500"/>
        <w:gridCol w:w="3250"/>
        <w:gridCol w:w="5330"/>
      </w:tblGrid>
      <w:tr>
        <w:tc>
          <w:tcPr>
            <w:tcW w:w="1500" w:type="dxa"/>
            <w:shd w:fill="16324F"/>
            <w:vAlign w:val="center"/>
          </w:tcPr>
          <w:p>
            <w:pPr>
              <w:pStyle w:val="TableText"/>
            </w:pPr>
            <w:r>
              <w:rPr>
                <w:b/>
                <w:color w:val="FFFFFF"/>
              </w:rPr>
              <w:t xml:space="preserve">Service</w:t>
            </w:r>
          </w:p>
        </w:tc>
        <w:tc>
          <w:tcPr>
            <w:tcW w:w="3250" w:type="dxa"/>
            <w:shd w:fill="16324F"/>
            <w:vAlign w:val="center"/>
          </w:tcPr>
          <w:p>
            <w:pPr>
              <w:pStyle w:val="TableText"/>
            </w:pPr>
            <w:r>
              <w:rPr>
                <w:b/>
                <w:color w:val="FFFFFF"/>
              </w:rPr>
              <w:t xml:space="preserve">Purpose</w:t>
            </w:r>
          </w:p>
        </w:tc>
        <w:tc>
          <w:tcPr>
            <w:tcW w:w="5330" w:type="dxa"/>
            <w:shd w:fill="16324F"/>
            <w:vAlign w:val="center"/>
          </w:tcPr>
          <w:p>
            <w:pPr>
              <w:pStyle w:val="TableText"/>
            </w:pPr>
            <w:r>
              <w:rPr>
                <w:b/>
                <w:color w:val="FFFFFF"/>
              </w:rPr>
              <w:t xml:space="preserve">Exposure / persistence</w:t>
            </w:r>
          </w:p>
        </w:tc>
      </w:tr>
      <w:tr>
        <w:tc>
          <w:tcPr>
            <w:tcW w:w="1500" w:type="dxa"/>
            <w:shd w:fill="F6F9FB"/>
            <w:vAlign w:val="center"/>
          </w:tcPr>
          <w:p>
            <w:pPr>
              <w:pStyle w:val="TableText"/>
            </w:pPr>
            <w:r>
              <w:rPr>
                <w:color w:val="243447"/>
              </w:rPr>
              <w:t xml:space="preserve">caddy</w:t>
            </w:r>
          </w:p>
        </w:tc>
        <w:tc>
          <w:tcPr>
            <w:tcW w:w="3250" w:type="dxa"/>
            <w:shd w:fill="F6F9FB"/>
            <w:vAlign w:val="center"/>
          </w:tcPr>
          <w:p>
            <w:pPr>
              <w:pStyle w:val="TableText"/>
            </w:pPr>
            <w:r>
              <w:rPr>
                <w:color w:val="243447"/>
              </w:rPr>
              <w:t xml:space="preserve">HTTPS ingress and reverse proxy</w:t>
            </w:r>
          </w:p>
        </w:tc>
        <w:tc>
          <w:tcPr>
            <w:tcW w:w="5330" w:type="dxa"/>
            <w:shd w:fill="F6F9FB"/>
            <w:vAlign w:val="center"/>
          </w:tcPr>
          <w:p>
            <w:pPr>
              <w:pStyle w:val="TableText"/>
            </w:pPr>
            <w:r>
              <w:rPr>
                <w:color w:val="243447"/>
              </w:rPr>
              <w:t xml:space="preserve">Host TCP 80/443 and UDP 443; persistent caddy_data and caddy_config.</w:t>
            </w:r>
          </w:p>
        </w:tc>
      </w:tr>
      <w:tr>
        <w:tc>
          <w:tcPr>
            <w:tcW w:w="1500" w:type="dxa"/>
            <w:shd w:fill="FFFFFF"/>
            <w:vAlign w:val="center"/>
          </w:tcPr>
          <w:p>
            <w:pPr>
              <w:pStyle w:val="TableText"/>
            </w:pPr>
            <w:r>
              <w:rPr>
                <w:color w:val="243447"/>
              </w:rPr>
              <w:t xml:space="preserve">frontend</w:t>
            </w:r>
          </w:p>
        </w:tc>
        <w:tc>
          <w:tcPr>
            <w:tcW w:w="3250" w:type="dxa"/>
            <w:shd w:fill="FFFFFF"/>
            <w:vAlign w:val="center"/>
          </w:tcPr>
          <w:p>
            <w:pPr>
              <w:pStyle w:val="TableText"/>
            </w:pPr>
            <w:r>
              <w:rPr>
                <w:color w:val="243447"/>
              </w:rPr>
              <w:t xml:space="preserve">Serves the React build using Nginx</w:t>
            </w:r>
          </w:p>
        </w:tc>
        <w:tc>
          <w:tcPr>
            <w:tcW w:w="5330" w:type="dxa"/>
            <w:shd w:fill="FFFFFF"/>
            <w:vAlign w:val="center"/>
          </w:tcPr>
          <w:p>
            <w:pPr>
              <w:pStyle w:val="TableText"/>
            </w:pPr>
            <w:r>
              <w:rPr>
                <w:color w:val="243447"/>
              </w:rPr>
              <w:t xml:space="preserve">Container port 80 on proxy network only; no persistent application data.</w:t>
            </w:r>
          </w:p>
        </w:tc>
      </w:tr>
      <w:tr>
        <w:tc>
          <w:tcPr>
            <w:tcW w:w="1500" w:type="dxa"/>
            <w:shd w:fill="F6F9FB"/>
            <w:vAlign w:val="center"/>
          </w:tcPr>
          <w:p>
            <w:pPr>
              <w:pStyle w:val="TableText"/>
            </w:pPr>
            <w:r>
              <w:rPr>
                <w:color w:val="243447"/>
              </w:rPr>
              <w:t xml:space="preserve">api</w:t>
            </w:r>
          </w:p>
        </w:tc>
        <w:tc>
          <w:tcPr>
            <w:tcW w:w="3250" w:type="dxa"/>
            <w:shd w:fill="F6F9FB"/>
            <w:vAlign w:val="center"/>
          </w:tcPr>
          <w:p>
            <w:pPr>
              <w:pStyle w:val="TableText"/>
            </w:pPr>
            <w:r>
              <w:rPr>
                <w:color w:val="243447"/>
              </w:rPr>
              <w:t xml:space="preserve">Auth, work-order rules, PDF, notifications, and file routes</w:t>
            </w:r>
          </w:p>
        </w:tc>
        <w:tc>
          <w:tcPr>
            <w:tcW w:w="5330" w:type="dxa"/>
            <w:shd w:fill="F6F9FB"/>
            <w:vAlign w:val="center"/>
          </w:tcPr>
          <w:p>
            <w:pPr>
              <w:pStyle w:val="TableText"/>
            </w:pPr>
            <w:r>
              <w:rPr>
                <w:color w:val="243447"/>
              </w:rPr>
              <w:t xml:space="preserve">Container port 8000 on proxy + internal DB networks; uploads_data volume.</w:t>
            </w:r>
          </w:p>
        </w:tc>
      </w:tr>
      <w:tr>
        <w:tc>
          <w:tcPr>
            <w:tcW w:w="1500" w:type="dxa"/>
            <w:shd w:fill="FFFFFF"/>
            <w:vAlign w:val="center"/>
          </w:tcPr>
          <w:p>
            <w:pPr>
              <w:pStyle w:val="TableText"/>
            </w:pPr>
            <w:r>
              <w:rPr>
                <w:color w:val="243447"/>
              </w:rPr>
              <w:t xml:space="preserve">postgres</w:t>
            </w:r>
          </w:p>
        </w:tc>
        <w:tc>
          <w:tcPr>
            <w:tcW w:w="3250" w:type="dxa"/>
            <w:shd w:fill="FFFFFF"/>
            <w:vAlign w:val="center"/>
          </w:tcPr>
          <w:p>
            <w:pPr>
              <w:pStyle w:val="TableText"/>
            </w:pPr>
            <w:r>
              <w:rPr>
                <w:color w:val="243447"/>
              </w:rPr>
              <w:t xml:space="preserve">Relational data</w:t>
            </w:r>
          </w:p>
        </w:tc>
        <w:tc>
          <w:tcPr>
            <w:tcW w:w="5330" w:type="dxa"/>
            <w:shd w:fill="FFFFFF"/>
            <w:vAlign w:val="center"/>
          </w:tcPr>
          <w:p>
            <w:pPr>
              <w:pStyle w:val="TableText"/>
            </w:pPr>
            <w:r>
              <w:rPr>
                <w:color w:val="243447"/>
              </w:rPr>
              <w:t xml:space="preserve">Container port 5432 on internal database network only; postgres_data volume.</w:t>
            </w:r>
          </w:p>
        </w:tc>
      </w:tr>
      <w:tr>
        <w:tc>
          <w:tcPr>
            <w:tcW w:w="1500" w:type="dxa"/>
            <w:shd w:fill="F6F9FB"/>
            <w:vAlign w:val="center"/>
          </w:tcPr>
          <w:p>
            <w:pPr>
              <w:pStyle w:val="TableText"/>
            </w:pPr>
            <w:r>
              <w:rPr>
                <w:color w:val="243447"/>
              </w:rPr>
              <w:t xml:space="preserve">init_uploads</w:t>
            </w:r>
          </w:p>
        </w:tc>
        <w:tc>
          <w:tcPr>
            <w:tcW w:w="3250" w:type="dxa"/>
            <w:shd w:fill="F6F9FB"/>
            <w:vAlign w:val="center"/>
          </w:tcPr>
          <w:p>
            <w:pPr>
              <w:pStyle w:val="TableText"/>
            </w:pPr>
            <w:r>
              <w:rPr>
                <w:color w:val="243447"/>
              </w:rPr>
              <w:t xml:space="preserve">Initializes uploads volume ownership and permissions</w:t>
            </w:r>
          </w:p>
        </w:tc>
        <w:tc>
          <w:tcPr>
            <w:tcW w:w="5330" w:type="dxa"/>
            <w:shd w:fill="F6F9FB"/>
            <w:vAlign w:val="center"/>
          </w:tcPr>
          <w:p>
            <w:pPr>
              <w:pStyle w:val="TableText"/>
            </w:pPr>
            <w:r>
              <w:rPr>
                <w:color w:val="243447"/>
              </w:rPr>
              <w:t xml:space="preserve">One-shot Alpine container; no network.</w:t>
            </w:r>
          </w:p>
        </w:tc>
      </w:tr>
    </w:tbl>
    <w:p>
      <w:pPr>
        <w:pStyle w:val="BodyText"/>
      </w:pPr>
    </w:p>
    <w:p>
      <w:pPr>
        <w:pStyle w:val="Heading2"/>
        <w:spacing w:before="160" w:after="110"/>
        <w:keepNext/>
      </w:pPr>
      <w:r>
        <w:t xml:space="preserve">4.1 Request paths</w:t>
      </w:r>
    </w:p>
    <w:p>
      <w:pPr>
        <w:pStyle w:val="ListBullet"/>
      </w:pPr>
      <w:r>
        <w:t xml:space="preserve">•  Office browser: https://&lt;DOMAIN&gt; -&gt; Caddy -&gt; frontend Nginx.</w:t>
      </w:r>
    </w:p>
    <w:p>
      <w:pPr>
        <w:pStyle w:val="ListBullet"/>
      </w:pPr>
      <w:r>
        <w:t xml:space="preserve">•  Browser API calls: https://&lt;API_DOMAIN&gt; -&gt; Caddy -&gt; FastAPI api:8000.</w:t>
      </w:r>
    </w:p>
    <w:p>
      <w:pPr>
        <w:pStyle w:val="ListBullet"/>
      </w:pPr>
      <w:r>
        <w:t xml:space="preserve">•  API-to-database: postgres:5432 over the Compose database network; the port is not published on the VPS host.</w:t>
      </w:r>
    </w:p>
    <w:p>
      <w:pPr>
        <w:pStyle w:val="ListBullet"/>
      </w:pPr>
      <w:r>
        <w:t xml:space="preserve">•  API-to-files: /app/storage_data, mounted from readyrentals_uploads_data.</w:t>
      </w:r>
    </w:p>
    <w:p>
      <w:pPr>
        <w:pStyle w:val="ListBullet"/>
      </w:pPr>
      <w:r>
        <w:t xml:space="preserve">•  Outbound email/SMS: API container connects to configured SMTP and optional Twilio services.</w:t>
      </w:r>
    </w:p>
    <w:p>
      <w:pPr>
        <w:pStyle w:val="Heading2"/>
        <w:spacing w:before="160" w:after="110"/>
        <w:keepNext/>
      </w:pPr>
      <w:r>
        <w:t xml:space="preserve">4.2 Build and startup</w:t>
      </w:r>
    </w:p>
    <w:p>
      <w:pPr>
        <w:pStyle w:val="BodyText"/>
      </w:pPr>
      <w:r>
        <w:t xml:space="preserve">The frontend Dockerfile builds with Node 22 Alpine and serves the compiled Vite output from Nginx. VITE_API_BASE_URL is injected at image build time, so changing API_DOMAIN requires rebuilding the frontend. The API uses Python 3.11 slim and installs system libraries used by PDF generation. Its container command runs alembic upgrade head before starting Uvicorn. Compose waits for PostgreSQL health and upload-volume initialization before starting the API.</w:t>
      </w:r>
    </w:p>
    <w:p>
      <w:pPr>
        <w:pStyle w:val="Heading1"/>
        <w:spacing w:before="250" w:after="110"/>
        <w:keepNext/>
      </w:pPr>
      <w:r>
        <w:t xml:space="preserve">5. Data model, persistence, and retention</w:t>
      </w:r>
    </w:p>
    <w:p>
      <w:pPr>
        <w:pStyle w:val="Image"/>
        <w:jc w:val="center"/>
      </w:pPr>
      <w:r>
        <w:drawing>
          <wp:inline distT="0" distB="0" distL="0" distR="0">
            <wp:extent cx="6400800" cy="2645664"/>
            <wp:docPr id="3" name="persistence.png" descr="Figure 3. Primary persistent data and backup destinations"/>
            <wp:cNvGraphicFramePr>
              <a:graphicFrameLocks noChangeAspect="1"/>
            </wp:cNvGraphicFramePr>
            <a:graphic>
              <a:graphicData uri="http://schemas.openxmlformats.org/drawingml/2006/picture">
                <pic:pic>
                  <pic:nvPicPr>
                    <pic:cNvPr id="3" name="persistence.png"/>
                    <pic:cNvPicPr/>
                  </pic:nvPicPr>
                  <pic:blipFill>
                    <a:blip r:embed="rIdImage3"/>
                    <a:stretch>
                      <a:fillRect/>
                    </a:stretch>
                  </pic:blipFill>
                  <pic:spPr>
                    <a:xfrm>
                      <a:off x="0" y="0"/>
                      <a:ext cx="6400800" cy="2645664"/>
                    </a:xfrm>
                    <a:prstGeom prst="rect">
                      <a:avLst/>
                    </a:prstGeom>
                  </pic:spPr>
                </pic:pic>
              </a:graphicData>
            </a:graphic>
          </wp:inline>
        </w:drawing>
      </w:r>
    </w:p>
    <w:p>
      <w:pPr>
        <w:pStyle w:val="Caption"/>
      </w:pPr>
      <w:r>
        <w:t xml:space="preserve">Figure 3. Primary persistent data and backup destinations</w:t>
      </w:r>
    </w:p>
    <w:tbl>
      <w:tblPr>
        <w:tblW w:w="10080" w:type="dxa"/>
        <w:tblLayout w:type="fixed"/>
        <w:tblBorders>
          <w:top w:val="single" w:sz="5" w:color="D8E1E8"/>
          <w:left w:val="single" w:sz="5" w:color="D8E1E8"/>
          <w:bottom w:val="single" w:sz="5" w:color="D8E1E8"/>
          <w:right w:val="single" w:sz="5" w:color="D8E1E8"/>
          <w:insideH w:val="single" w:sz="4" w:color="D8E1E8"/>
          <w:insideV w:val="single" w:sz="4" w:color="D8E1E8"/>
        </w:tblBorders>
        <w:tblCellMar>
          <w:top w:w="80" w:type="dxa"/>
          <w:start w:w="95" w:type="dxa"/>
          <w:bottom w:w="80" w:type="dxa"/>
          <w:end w:w="95" w:type="dxa"/>
        </w:tblCellMar>
      </w:tblPr>
      <w:tblGrid>
        <w:gridCol w:w="2400"/>
        <w:gridCol w:w="3450"/>
        <w:gridCol w:w="4230"/>
      </w:tblGrid>
      <w:tr>
        <w:tc>
          <w:tcPr>
            <w:tcW w:w="2400" w:type="dxa"/>
            <w:shd w:fill="16324F"/>
            <w:vAlign w:val="center"/>
          </w:tcPr>
          <w:p>
            <w:pPr>
              <w:pStyle w:val="TableText"/>
            </w:pPr>
            <w:r>
              <w:rPr>
                <w:b/>
                <w:color w:val="FFFFFF"/>
              </w:rPr>
              <w:t xml:space="preserve">Storage</w:t>
            </w:r>
          </w:p>
        </w:tc>
        <w:tc>
          <w:tcPr>
            <w:tcW w:w="3450" w:type="dxa"/>
            <w:shd w:fill="16324F"/>
            <w:vAlign w:val="center"/>
          </w:tcPr>
          <w:p>
            <w:pPr>
              <w:pStyle w:val="TableText"/>
            </w:pPr>
            <w:r>
              <w:rPr>
                <w:b/>
                <w:color w:val="FFFFFF"/>
              </w:rPr>
              <w:t xml:space="preserve">Contents</w:t>
            </w:r>
          </w:p>
        </w:tc>
        <w:tc>
          <w:tcPr>
            <w:tcW w:w="4230" w:type="dxa"/>
            <w:shd w:fill="16324F"/>
            <w:vAlign w:val="center"/>
          </w:tcPr>
          <w:p>
            <w:pPr>
              <w:pStyle w:val="TableText"/>
            </w:pPr>
            <w:r>
              <w:rPr>
                <w:b/>
                <w:color w:val="FFFFFF"/>
              </w:rPr>
              <w:t xml:space="preserve">Retention / cleanup</w:t>
            </w:r>
          </w:p>
        </w:tc>
      </w:tr>
      <w:tr>
        <w:tc>
          <w:tcPr>
            <w:tcW w:w="2400" w:type="dxa"/>
            <w:shd w:fill="F6F9FB"/>
            <w:vAlign w:val="center"/>
          </w:tcPr>
          <w:p>
            <w:pPr>
              <w:pStyle w:val="TableText"/>
            </w:pPr>
            <w:r>
              <w:rPr>
                <w:color w:val="243447"/>
              </w:rPr>
              <w:t xml:space="preserve">readyrentals_postgres_data</w:t>
            </w:r>
          </w:p>
        </w:tc>
        <w:tc>
          <w:tcPr>
            <w:tcW w:w="3450" w:type="dxa"/>
            <w:shd w:fill="F6F9FB"/>
            <w:vAlign w:val="center"/>
          </w:tcPr>
          <w:p>
            <w:pPr>
              <w:pStyle w:val="TableText"/>
            </w:pPr>
            <w:r>
              <w:rPr>
                <w:color w:val="243447"/>
              </w:rPr>
              <w:t xml:space="preserve">Users, roles, work orders, task items, priorities, categories, audit logs.</w:t>
            </w:r>
          </w:p>
        </w:tc>
        <w:tc>
          <w:tcPr>
            <w:tcW w:w="4230" w:type="dxa"/>
            <w:shd w:fill="F6F9FB"/>
            <w:vAlign w:val="center"/>
          </w:tcPr>
          <w:p>
            <w:pPr>
              <w:pStyle w:val="TableText"/>
            </w:pPr>
            <w:r>
              <w:rPr>
                <w:color w:val="243447"/>
              </w:rPr>
              <w:t xml:space="preserve">Survives container replacement. No automatic work-order or audit retention job.</w:t>
            </w:r>
          </w:p>
        </w:tc>
      </w:tr>
      <w:tr>
        <w:tc>
          <w:tcPr>
            <w:tcW w:w="2400" w:type="dxa"/>
            <w:shd w:fill="FFFFFF"/>
            <w:vAlign w:val="center"/>
          </w:tcPr>
          <w:p>
            <w:pPr>
              <w:pStyle w:val="TableText"/>
            </w:pPr>
            <w:r>
              <w:rPr>
                <w:color w:val="243447"/>
              </w:rPr>
              <w:t xml:space="preserve">readyrentals_uploads_data</w:t>
            </w:r>
          </w:p>
        </w:tc>
        <w:tc>
          <w:tcPr>
            <w:tcW w:w="3450" w:type="dxa"/>
            <w:shd w:fill="FFFFFF"/>
            <w:vAlign w:val="center"/>
          </w:tcPr>
          <w:p>
            <w:pPr>
              <w:pStyle w:val="TableText"/>
            </w:pPr>
            <w:r>
              <w:rPr>
                <w:color w:val="243447"/>
              </w:rPr>
              <w:t xml:space="preserve">Work-order photos, signatures, and finalized PDFs.</w:t>
            </w:r>
          </w:p>
        </w:tc>
        <w:tc>
          <w:tcPr>
            <w:tcW w:w="4230" w:type="dxa"/>
            <w:shd w:fill="FFFFFF"/>
            <w:vAlign w:val="center"/>
          </w:tcPr>
          <w:p>
            <w:pPr>
              <w:pStyle w:val="TableText"/>
            </w:pPr>
            <w:r>
              <w:rPr>
                <w:color w:val="243447"/>
              </w:rPr>
              <w:t xml:space="preserve">Work-order assets are removed when Owner deletes the order; no age-based cleanup or total quota.</w:t>
            </w:r>
          </w:p>
        </w:tc>
      </w:tr>
      <w:tr>
        <w:tc>
          <w:tcPr>
            <w:tcW w:w="2400" w:type="dxa"/>
            <w:shd w:fill="F6F9FB"/>
            <w:vAlign w:val="center"/>
          </w:tcPr>
          <w:p>
            <w:pPr>
              <w:pStyle w:val="TableText"/>
            </w:pPr>
            <w:r>
              <w:rPr>
                <w:color w:val="243447"/>
              </w:rPr>
              <w:t xml:space="preserve">readyrentals_caddy_data/config</w:t>
            </w:r>
          </w:p>
        </w:tc>
        <w:tc>
          <w:tcPr>
            <w:tcW w:w="3450" w:type="dxa"/>
            <w:shd w:fill="F6F9FB"/>
            <w:vAlign w:val="center"/>
          </w:tcPr>
          <w:p>
            <w:pPr>
              <w:pStyle w:val="TableText"/>
            </w:pPr>
            <w:r>
              <w:rPr>
                <w:color w:val="243447"/>
              </w:rPr>
              <w:t xml:space="preserve">Caddy certificate and configuration state.</w:t>
            </w:r>
          </w:p>
        </w:tc>
        <w:tc>
          <w:tcPr>
            <w:tcW w:w="4230" w:type="dxa"/>
            <w:shd w:fill="F6F9FB"/>
            <w:vAlign w:val="center"/>
          </w:tcPr>
          <w:p>
            <w:pPr>
              <w:pStyle w:val="TableText"/>
            </w:pPr>
            <w:r>
              <w:rPr>
                <w:color w:val="243447"/>
              </w:rPr>
              <w:t xml:space="preserve">Persist these volumes. Deleting certificate state can trigger re-issuance and provider rate limits.</w:t>
            </w:r>
          </w:p>
        </w:tc>
      </w:tr>
      <w:tr>
        <w:tc>
          <w:tcPr>
            <w:tcW w:w="2400" w:type="dxa"/>
            <w:shd w:fill="FFFFFF"/>
            <w:vAlign w:val="center"/>
          </w:tcPr>
          <w:p>
            <w:pPr>
              <w:pStyle w:val="TableText"/>
            </w:pPr>
            <w:r>
              <w:rPr>
                <w:color w:val="243447"/>
              </w:rPr>
              <w:t xml:space="preserve">VPS backups/</w:t>
            </w:r>
          </w:p>
        </w:tc>
        <w:tc>
          <w:tcPr>
            <w:tcW w:w="3450" w:type="dxa"/>
            <w:shd w:fill="FFFFFF"/>
            <w:vAlign w:val="center"/>
          </w:tcPr>
          <w:p>
            <w:pPr>
              <w:pStyle w:val="TableText"/>
            </w:pPr>
            <w:r>
              <w:rPr>
                <w:color w:val="243447"/>
              </w:rPr>
              <w:t xml:space="preserve">Timestamped DB dump, uploads.tar.gz, and SHA256SUMS.</w:t>
            </w:r>
          </w:p>
        </w:tc>
        <w:tc>
          <w:tcPr>
            <w:tcW w:w="4230" w:type="dxa"/>
            <w:shd w:fill="FFFFFF"/>
            <w:vAlign w:val="center"/>
          </w:tcPr>
          <w:p>
            <w:pPr>
              <w:pStyle w:val="TableText"/>
            </w:pPr>
            <w:r>
              <w:rPr>
                <w:color w:val="243447"/>
              </w:rPr>
              <w:t xml:space="preserve">Local script prunes old timestamped backups after successful capture; same-VPS storage only.</w:t>
            </w:r>
          </w:p>
        </w:tc>
      </w:tr>
    </w:tbl>
    <w:p>
      <w:pPr>
        <w:pStyle w:val="BodyText"/>
      </w:pPr>
    </w:p>
    <w:p>
      <w:pPr>
        <w:pStyle w:val="Heading2"/>
        <w:spacing w:before="160" w:after="110"/>
        <w:keepNext/>
      </w:pPr>
      <w:r>
        <w:t xml:space="preserve">5.1 Deletion behavior</w:t>
      </w:r>
    </w:p>
    <w:p>
      <w:pPr>
        <w:pStyle w:val="BodyText"/>
      </w:pPr>
      <w:r>
        <w:t xml:space="preserve">Owner deletion of a work order removes the complete work-orders/&lt;id&gt;/ storage prefix (photos, signatures, PDFs, and leftover replaced-photo files) before deleting the row. If file-prefix cleanup fails, deletion aborts and preserves the database order for retry. The audit trail records deletion separately and remains. Removing an Admin reassigns work orders created by that account to the Owner rather than deleting those work orders. Category removal sets is_active=false so existing order history remains meaningful.</w:t>
      </w:r>
    </w:p>
    <w:p>
      <w:pPr>
        <w:pStyle w:val="Heading2"/>
        <w:spacing w:before="160" w:after="110"/>
        <w:keepNext/>
      </w:pPr>
      <w:r>
        <w:t xml:space="preserve">5.2 Capacity planning</w:t>
      </w:r>
    </w:p>
    <w:p>
      <w:pPr>
        <w:pStyle w:val="BodyText"/>
      </w:pPr>
      <w:r>
        <w:t xml:space="preserve">MAX_UPLOAD_MB is 10 MB in the production template. Allowed worker photo types are PNG, JPEG, and WEBP. Uploaded images are stored in their submitted form; the application does not resize or compress them. Each task has before and after photo slots, plus signatures and a PDF per completed order. Estimate disk from real order volume and photo sizes, include container images, database growth, logs, and local backup archives, and monitor free space in the Docker data root. There is no total upload quota or automatic file-age deletion.</w:t>
      </w:r>
    </w:p>
    <w:tbl>
      <w:tblPr>
        <w:tblW w:w="10080" w:type="dxa"/>
        <w:tblBorders>
          <w:top w:val="nil"/>
          <w:left w:val="nil"/>
          <w:bottom w:val="nil"/>
          <w:right w:val="nil"/>
        </w:tblBorders>
      </w:tblPr>
      <w:tblGrid>
        <w:gridCol w:w="10080"/>
      </w:tblGrid>
      <w:tr>
        <w:tc>
          <w:tcPr>
            <w:tcW w:w="10080" w:type="dxa"/>
            <w:shd w:fill="F8F1E7"/>
            <w:tcMar>
              <w:top w:w="100" w:type="dxa"/>
              <w:start w:w="150" w:type="dxa"/>
              <w:bottom w:w="100" w:type="dxa"/>
              <w:end w:w="150" w:type="dxa"/>
            </w:tcMar>
          </w:tcPr>
          <w:p>
            <w:pPr>
              <w:pStyle w:val="Note"/>
            </w:pPr>
            <w:r>
              <w:rPr>
                <w:b/>
              </w:rPr>
              <w:t xml:space="preserve">Important: </w:t>
            </w:r>
            <w:r>
              <w:t xml:space="preserve">Deleting old local backup directories saves disk space but can remove the only recovery copy if off-site Restic is not configured. Do not prune Docker volumes as a disk-space fix.</w:t>
            </w:r>
          </w:p>
        </w:tc>
      </w:tr>
    </w:tbl>
    <w:p>
      <w:pPr>
        <w:pStyle w:val="BodyText"/>
      </w:pPr>
    </w:p>
    <w:p>
      <w:pPr>
        <w:pStyle w:val="Heading1"/>
        <w:spacing w:before="250" w:after="110"/>
        <w:keepNext/>
      </w:pPr>
      <w:r>
        <w:t xml:space="preserve">6. Security and privacy</w:t>
      </w:r>
    </w:p>
    <w:tbl>
      <w:tblPr>
        <w:tblW w:w="10080" w:type="dxa"/>
        <w:tblLayout w:type="fixed"/>
        <w:tblBorders>
          <w:top w:val="single" w:sz="5" w:color="D8E1E8"/>
          <w:left w:val="single" w:sz="5" w:color="D8E1E8"/>
          <w:bottom w:val="single" w:sz="5" w:color="D8E1E8"/>
          <w:right w:val="single" w:sz="5" w:color="D8E1E8"/>
          <w:insideH w:val="single" w:sz="4" w:color="D8E1E8"/>
          <w:insideV w:val="single" w:sz="4" w:color="D8E1E8"/>
        </w:tblBorders>
        <w:tblCellMar>
          <w:top w:w="80" w:type="dxa"/>
          <w:start w:w="95" w:type="dxa"/>
          <w:bottom w:w="80" w:type="dxa"/>
          <w:end w:w="95" w:type="dxa"/>
        </w:tblCellMar>
      </w:tblPr>
      <w:tblGrid>
        <w:gridCol w:w="1800"/>
        <w:gridCol w:w="8280"/>
      </w:tblGrid>
      <w:tr>
        <w:tc>
          <w:tcPr>
            <w:tcW w:w="1800" w:type="dxa"/>
            <w:shd w:fill="16324F"/>
            <w:vAlign w:val="center"/>
          </w:tcPr>
          <w:p>
            <w:pPr>
              <w:pStyle w:val="TableText"/>
            </w:pPr>
            <w:r>
              <w:rPr>
                <w:b/>
                <w:color w:val="FFFFFF"/>
              </w:rPr>
              <w:t xml:space="preserve">Control</w:t>
            </w:r>
          </w:p>
        </w:tc>
        <w:tc>
          <w:tcPr>
            <w:tcW w:w="8280" w:type="dxa"/>
            <w:shd w:fill="16324F"/>
            <w:vAlign w:val="center"/>
          </w:tcPr>
          <w:p>
            <w:pPr>
              <w:pStyle w:val="TableText"/>
            </w:pPr>
            <w:r>
              <w:rPr>
                <w:b/>
                <w:color w:val="FFFFFF"/>
              </w:rPr>
              <w:t xml:space="preserve">Current implementation and operator responsibility</w:t>
            </w:r>
          </w:p>
        </w:tc>
      </w:tr>
      <w:tr>
        <w:tc>
          <w:tcPr>
            <w:tcW w:w="1800" w:type="dxa"/>
            <w:shd w:fill="F6F9FB"/>
            <w:vAlign w:val="center"/>
          </w:tcPr>
          <w:p>
            <w:pPr>
              <w:pStyle w:val="TableText"/>
            </w:pPr>
            <w:r>
              <w:rPr>
                <w:color w:val="243447"/>
              </w:rPr>
              <w:t xml:space="preserve">HTTPS</w:t>
            </w:r>
          </w:p>
        </w:tc>
        <w:tc>
          <w:tcPr>
            <w:tcW w:w="8280" w:type="dxa"/>
            <w:shd w:fill="F6F9FB"/>
            <w:vAlign w:val="center"/>
          </w:tcPr>
          <w:p>
            <w:pPr>
              <w:pStyle w:val="TableText"/>
            </w:pPr>
            <w:r>
              <w:rPr>
                <w:color w:val="243447"/>
              </w:rPr>
              <w:t xml:space="preserve">Caddy obtains certificates for public app/API domains. DNS and inbound TCP 80/443 must reach the VPS.</w:t>
            </w:r>
          </w:p>
        </w:tc>
      </w:tr>
      <w:tr>
        <w:tc>
          <w:tcPr>
            <w:tcW w:w="1800" w:type="dxa"/>
            <w:shd w:fill="FFFFFF"/>
            <w:vAlign w:val="center"/>
          </w:tcPr>
          <w:p>
            <w:pPr>
              <w:pStyle w:val="TableText"/>
            </w:pPr>
            <w:r>
              <w:rPr>
                <w:color w:val="243447"/>
              </w:rPr>
              <w:t xml:space="preserve">Network</w:t>
            </w:r>
          </w:p>
        </w:tc>
        <w:tc>
          <w:tcPr>
            <w:tcW w:w="8280" w:type="dxa"/>
            <w:shd w:fill="FFFFFF"/>
            <w:vAlign w:val="center"/>
          </w:tcPr>
          <w:p>
            <w:pPr>
              <w:pStyle w:val="TableText"/>
            </w:pPr>
            <w:r>
              <w:rPr>
                <w:color w:val="243447"/>
              </w:rPr>
              <w:t xml:space="preserve">Only Caddy publishes ports. Keep API/PostgreSQL un-published; do not expose their container ports publicly.</w:t>
            </w:r>
          </w:p>
        </w:tc>
      </w:tr>
      <w:tr>
        <w:tc>
          <w:tcPr>
            <w:tcW w:w="1800" w:type="dxa"/>
            <w:shd w:fill="F6F9FB"/>
            <w:vAlign w:val="center"/>
          </w:tcPr>
          <w:p>
            <w:pPr>
              <w:pStyle w:val="TableText"/>
            </w:pPr>
            <w:r>
              <w:rPr>
                <w:color w:val="243447"/>
              </w:rPr>
              <w:t xml:space="preserve">Passwords</w:t>
            </w:r>
          </w:p>
        </w:tc>
        <w:tc>
          <w:tcPr>
            <w:tcW w:w="8280" w:type="dxa"/>
            <w:shd w:fill="F6F9FB"/>
            <w:vAlign w:val="center"/>
          </w:tcPr>
          <w:p>
            <w:pPr>
              <w:pStyle w:val="TableText"/>
            </w:pPr>
            <w:r>
              <w:rPr>
                <w:color w:val="243447"/>
              </w:rPr>
              <w:t xml:space="preserve">Office account passwords are bcrypt-hashed. Use unique accounts and strong, unique passwords.</w:t>
            </w:r>
          </w:p>
        </w:tc>
      </w:tr>
      <w:tr>
        <w:tc>
          <w:tcPr>
            <w:tcW w:w="1800" w:type="dxa"/>
            <w:shd w:fill="FFFFFF"/>
            <w:vAlign w:val="center"/>
          </w:tcPr>
          <w:p>
            <w:pPr>
              <w:pStyle w:val="TableText"/>
            </w:pPr>
            <w:r>
              <w:rPr>
                <w:color w:val="243447"/>
              </w:rPr>
              <w:t xml:space="preserve">JWT</w:t>
            </w:r>
          </w:p>
        </w:tc>
        <w:tc>
          <w:tcPr>
            <w:tcW w:w="8280" w:type="dxa"/>
            <w:shd w:fill="FFFFFF"/>
            <w:vAlign w:val="center"/>
          </w:tcPr>
          <w:p>
            <w:pPr>
              <w:pStyle w:val="TableText"/>
            </w:pPr>
            <w:r>
              <w:rPr>
                <w:color w:val="243447"/>
              </w:rPr>
              <w:t xml:space="preserve">Signed with JWT_SECRET, default expiry 480 minutes. Browser token is stored in localStorage; protect user devices and shared-browser access.</w:t>
            </w:r>
          </w:p>
        </w:tc>
      </w:tr>
      <w:tr>
        <w:tc>
          <w:tcPr>
            <w:tcW w:w="1800" w:type="dxa"/>
            <w:shd w:fill="F6F9FB"/>
            <w:vAlign w:val="center"/>
          </w:tcPr>
          <w:p>
            <w:pPr>
              <w:pStyle w:val="TableText"/>
            </w:pPr>
            <w:r>
              <w:rPr>
                <w:color w:val="243447"/>
              </w:rPr>
              <w:t xml:space="preserve">Owner setup</w:t>
            </w:r>
          </w:p>
        </w:tc>
        <w:tc>
          <w:tcPr>
            <w:tcW w:w="8280" w:type="dxa"/>
            <w:shd w:fill="F6F9FB"/>
            <w:vAlign w:val="center"/>
          </w:tcPr>
          <w:p>
            <w:pPr>
              <w:pStyle w:val="TableText"/>
            </w:pPr>
            <w:r>
              <w:rPr>
                <w:color w:val="243447"/>
              </w:rPr>
              <w:t xml:space="preserve">OWNER_CODE is required for initial Owner setup. Generate a long random value and store it securely.</w:t>
            </w:r>
          </w:p>
        </w:tc>
      </w:tr>
      <w:tr>
        <w:tc>
          <w:tcPr>
            <w:tcW w:w="1800" w:type="dxa"/>
            <w:shd w:fill="FFFFFF"/>
            <w:vAlign w:val="center"/>
          </w:tcPr>
          <w:p>
            <w:pPr>
              <w:pStyle w:val="TableText"/>
            </w:pPr>
            <w:r>
              <w:rPr>
                <w:color w:val="243447"/>
              </w:rPr>
              <w:t xml:space="preserve">Worker token</w:t>
            </w:r>
          </w:p>
        </w:tc>
        <w:tc>
          <w:tcPr>
            <w:tcW w:w="8280" w:type="dxa"/>
            <w:shd w:fill="FFFFFF"/>
            <w:vAlign w:val="center"/>
          </w:tcPr>
          <w:p>
            <w:pPr>
              <w:pStyle w:val="TableText"/>
            </w:pPr>
            <w:r>
              <w:rPr>
                <w:color w:val="243447"/>
              </w:rPr>
              <w:t xml:space="preserve">Worker URL is a bearer credential without a separate worker login or token expiry. Regenerate a leaked link where supported.</w:t>
            </w:r>
          </w:p>
        </w:tc>
      </w:tr>
      <w:tr>
        <w:tc>
          <w:tcPr>
            <w:tcW w:w="1800" w:type="dxa"/>
            <w:shd w:fill="F6F9FB"/>
            <w:vAlign w:val="center"/>
          </w:tcPr>
          <w:p>
            <w:pPr>
              <w:pStyle w:val="TableText"/>
            </w:pPr>
            <w:r>
              <w:rPr>
                <w:color w:val="243447"/>
              </w:rPr>
              <w:t xml:space="preserve">Files</w:t>
            </w:r>
          </w:p>
        </w:tc>
        <w:tc>
          <w:tcPr>
            <w:tcW w:w="8280" w:type="dxa"/>
            <w:shd w:fill="F6F9FB"/>
            <w:vAlign w:val="center"/>
          </w:tcPr>
          <w:p>
            <w:pPr>
              <w:pStyle w:val="TableText"/>
            </w:pPr>
            <w:r>
              <w:rPr>
                <w:color w:val="243447"/>
              </w:rPr>
              <w:t xml:space="preserve">Local /files route is served by StaticFiles without office-account JWT authorization. Anyone who obtains an asset URL may be able to access it.</w:t>
            </w:r>
          </w:p>
        </w:tc>
      </w:tr>
      <w:tr>
        <w:tc>
          <w:tcPr>
            <w:tcW w:w="1800" w:type="dxa"/>
            <w:shd w:fill="FFFFFF"/>
            <w:vAlign w:val="center"/>
          </w:tcPr>
          <w:p>
            <w:pPr>
              <w:pStyle w:val="TableText"/>
            </w:pPr>
            <w:r>
              <w:rPr>
                <w:color w:val="243447"/>
              </w:rPr>
              <w:t xml:space="preserve">Secrets</w:t>
            </w:r>
          </w:p>
        </w:tc>
        <w:tc>
          <w:tcPr>
            <w:tcW w:w="8280" w:type="dxa"/>
            <w:shd w:fill="FFFFFF"/>
            <w:vAlign w:val="center"/>
          </w:tcPr>
          <w:p>
            <w:pPr>
              <w:pStyle w:val="TableText"/>
            </w:pPr>
            <w:r>
              <w:rPr>
                <w:color w:val="243447"/>
              </w:rPr>
              <w:t xml:space="preserve">Keep .env.production out of Git; chmod 600 on VPS. Redact database URLs, JWTs, SMTP/Twilio keys, and tokens in tickets/logs.</w:t>
            </w:r>
          </w:p>
        </w:tc>
      </w:tr>
      <w:tr>
        <w:tc>
          <w:tcPr>
            <w:tcW w:w="1800" w:type="dxa"/>
            <w:shd w:fill="F6F9FB"/>
            <w:vAlign w:val="center"/>
          </w:tcPr>
          <w:p>
            <w:pPr>
              <w:pStyle w:val="TableText"/>
            </w:pPr>
            <w:r>
              <w:rPr>
                <w:color w:val="243447"/>
              </w:rPr>
              <w:t xml:space="preserve">Resource/log limits</w:t>
            </w:r>
          </w:p>
        </w:tc>
        <w:tc>
          <w:tcPr>
            <w:tcW w:w="8280" w:type="dxa"/>
            <w:shd w:fill="F6F9FB"/>
            <w:vAlign w:val="center"/>
          </w:tcPr>
          <w:p>
            <w:pPr>
              <w:pStyle w:val="TableText"/>
            </w:pPr>
            <w:r>
              <w:rPr>
                <w:color w:val="243447"/>
              </w:rPr>
              <w:t xml:space="preserve">Compose has no explicit service memory limits or Docker log-size rotation. Configure host monitoring and bounded logging.</w:t>
            </w:r>
          </w:p>
        </w:tc>
      </w:tr>
      <w:tr>
        <w:tc>
          <w:tcPr>
            <w:tcW w:w="1800" w:type="dxa"/>
            <w:shd w:fill="FFFFFF"/>
            <w:vAlign w:val="center"/>
          </w:tcPr>
          <w:p>
            <w:pPr>
              <w:pStyle w:val="TableText"/>
            </w:pPr>
            <w:r>
              <w:rPr>
                <w:color w:val="243447"/>
              </w:rPr>
              <w:t xml:space="preserve">Backups</w:t>
            </w:r>
          </w:p>
        </w:tc>
        <w:tc>
          <w:tcPr>
            <w:tcW w:w="8280" w:type="dxa"/>
            <w:shd w:fill="FFFFFF"/>
            <w:vAlign w:val="center"/>
          </w:tcPr>
          <w:p>
            <w:pPr>
              <w:pStyle w:val="TableText"/>
            </w:pPr>
            <w:r>
              <w:rPr>
                <w:color w:val="243447"/>
              </w:rPr>
              <w:t xml:space="preserve">VPS-local backup is not disaster protection. Configure encrypted off-site backup and prove recovery by restoring.</w:t>
            </w:r>
          </w:p>
        </w:tc>
      </w:tr>
    </w:tbl>
    <w:p>
      <w:pPr>
        <w:pStyle w:val="BodyText"/>
      </w:pPr>
    </w:p>
    <w:tbl>
      <w:tblPr>
        <w:tblW w:w="10080" w:type="dxa"/>
        <w:tblBorders>
          <w:top w:val="nil"/>
          <w:left w:val="nil"/>
          <w:bottom w:val="nil"/>
          <w:right w:val="nil"/>
        </w:tblBorders>
      </w:tblPr>
      <w:tblGrid>
        <w:gridCol w:w="10080"/>
      </w:tblGrid>
      <w:tr>
        <w:tc>
          <w:tcPr>
            <w:tcW w:w="10080" w:type="dxa"/>
            <w:shd w:fill="F8F1E7"/>
            <w:tcMar>
              <w:top w:w="100" w:type="dxa"/>
              <w:start w:w="150" w:type="dxa"/>
              <w:bottom w:w="100" w:type="dxa"/>
              <w:end w:w="150" w:type="dxa"/>
            </w:tcMar>
          </w:tcPr>
          <w:p>
            <w:pPr>
              <w:pStyle w:val="Note"/>
            </w:pPr>
            <w:r>
              <w:rPr>
                <w:b/>
              </w:rPr>
              <w:t xml:space="preserve">Privacy review: </w:t>
            </w:r>
            <w:r>
              <w:t xml:space="preserve">Orders can contain names, phone numbers, addresses, notes, signatures, and property images. ReadyRentalsOnline should define access expectations, retention/deletion policy, incident handling, and any applicable privacy requirements. This document is an implementation handover, not a legal compliance determination.</w:t>
            </w:r>
          </w:p>
        </w:tc>
      </w:tr>
    </w:tbl>
    <w:p>
      <w:pPr>
        <w:pStyle w:val="BodyText"/>
      </w:pPr>
    </w:p>
    <w:p>
      <w:pPr>
        <w:pStyle w:val="Heading1"/>
        <w:spacing w:before="250" w:after="110"/>
        <w:keepNext/>
      </w:pPr>
      <w:r>
        <w:t xml:space="preserve">7. Production configuration reference</w:t>
      </w:r>
    </w:p>
    <w:p>
      <w:pPr>
        <w:pStyle w:val="BodyText"/>
      </w:pPr>
      <w:r>
        <w:t xml:space="preserve">Start from .env.production.example on the VPS. The populated .env.production file is a secret and is intentionally not included in this document. Production Compose pins storage to a local VPS volume and SMTP email. Twilio settings are optional.</w:t>
      </w:r>
    </w:p>
    <w:tbl>
      <w:tblPr>
        <w:tblW w:w="10080" w:type="dxa"/>
        <w:tblLayout w:type="fixed"/>
        <w:tblBorders>
          <w:top w:val="single" w:sz="5" w:color="D8E1E8"/>
          <w:left w:val="single" w:sz="5" w:color="D8E1E8"/>
          <w:bottom w:val="single" w:sz="5" w:color="D8E1E8"/>
          <w:right w:val="single" w:sz="5" w:color="D8E1E8"/>
          <w:insideH w:val="single" w:sz="4" w:color="D8E1E8"/>
          <w:insideV w:val="single" w:sz="4" w:color="D8E1E8"/>
        </w:tblBorders>
        <w:tblCellMar>
          <w:top w:w="80" w:type="dxa"/>
          <w:start w:w="95" w:type="dxa"/>
          <w:bottom w:w="80" w:type="dxa"/>
          <w:end w:w="95" w:type="dxa"/>
        </w:tblCellMar>
      </w:tblPr>
      <w:tblGrid>
        <w:gridCol w:w="3100"/>
        <w:gridCol w:w="6980"/>
      </w:tblGrid>
      <w:tr>
        <w:tc>
          <w:tcPr>
            <w:tcW w:w="3100" w:type="dxa"/>
            <w:shd w:fill="16324F"/>
            <w:vAlign w:val="center"/>
          </w:tcPr>
          <w:p>
            <w:pPr>
              <w:pStyle w:val="TableText"/>
            </w:pPr>
            <w:r>
              <w:rPr>
                <w:b/>
                <w:color w:val="FFFFFF"/>
              </w:rPr>
              <w:t xml:space="preserve">Variable(s)</w:t>
            </w:r>
          </w:p>
        </w:tc>
        <w:tc>
          <w:tcPr>
            <w:tcW w:w="6980" w:type="dxa"/>
            <w:shd w:fill="16324F"/>
            <w:vAlign w:val="center"/>
          </w:tcPr>
          <w:p>
            <w:pPr>
              <w:pStyle w:val="TableText"/>
            </w:pPr>
            <w:r>
              <w:rPr>
                <w:b/>
                <w:color w:val="FFFFFF"/>
              </w:rPr>
              <w:t xml:space="preserve">Purpose and guidance</w:t>
            </w:r>
          </w:p>
        </w:tc>
      </w:tr>
      <w:tr>
        <w:tc>
          <w:tcPr>
            <w:tcW w:w="3100" w:type="dxa"/>
            <w:shd w:fill="F6F9FB"/>
            <w:vAlign w:val="center"/>
          </w:tcPr>
          <w:p>
            <w:pPr>
              <w:pStyle w:val="TableText"/>
            </w:pPr>
            <w:r>
              <w:rPr>
                <w:color w:val="243447"/>
              </w:rPr>
              <w:t xml:space="preserve">DOMAIN / API_DOMAIN</w:t>
            </w:r>
          </w:p>
        </w:tc>
        <w:tc>
          <w:tcPr>
            <w:tcW w:w="6980" w:type="dxa"/>
            <w:shd w:fill="F6F9FB"/>
            <w:vAlign w:val="center"/>
          </w:tcPr>
          <w:p>
            <w:pPr>
              <w:pStyle w:val="TableText"/>
            </w:pPr>
            <w:r>
              <w:rPr>
                <w:color w:val="243447"/>
              </w:rPr>
              <w:t xml:space="preserve">Public app and API hostnames; use hostnames without https:// and point DNS A records to the VPS.</w:t>
            </w:r>
          </w:p>
        </w:tc>
      </w:tr>
      <w:tr>
        <w:tc>
          <w:tcPr>
            <w:tcW w:w="3100" w:type="dxa"/>
            <w:shd w:fill="FFFFFF"/>
            <w:vAlign w:val="center"/>
          </w:tcPr>
          <w:p>
            <w:pPr>
              <w:pStyle w:val="TableText"/>
            </w:pPr>
            <w:r>
              <w:rPr>
                <w:color w:val="243447"/>
              </w:rPr>
              <w:t xml:space="preserve">ACME_EMAIL</w:t>
            </w:r>
          </w:p>
        </w:tc>
        <w:tc>
          <w:tcPr>
            <w:tcW w:w="6980" w:type="dxa"/>
            <w:shd w:fill="FFFFFF"/>
            <w:vAlign w:val="center"/>
          </w:tcPr>
          <w:p>
            <w:pPr>
              <w:pStyle w:val="TableText"/>
            </w:pPr>
            <w:r>
              <w:rPr>
                <w:color w:val="243447"/>
              </w:rPr>
              <w:t xml:space="preserve">Monitored address for Caddy certificate account notices.</w:t>
            </w:r>
          </w:p>
        </w:tc>
      </w:tr>
      <w:tr>
        <w:tc>
          <w:tcPr>
            <w:tcW w:w="3100" w:type="dxa"/>
            <w:shd w:fill="F6F9FB"/>
            <w:vAlign w:val="center"/>
          </w:tcPr>
          <w:p>
            <w:pPr>
              <w:pStyle w:val="TableText"/>
            </w:pPr>
            <w:r>
              <w:rPr>
                <w:color w:val="243447"/>
              </w:rPr>
              <w:t xml:space="preserve">POSTGRES_DB / POSTGRES_USER</w:t>
            </w:r>
          </w:p>
        </w:tc>
        <w:tc>
          <w:tcPr>
            <w:tcW w:w="6980" w:type="dxa"/>
            <w:shd w:fill="F6F9FB"/>
            <w:vAlign w:val="center"/>
          </w:tcPr>
          <w:p>
            <w:pPr>
              <w:pStyle w:val="TableText"/>
            </w:pPr>
            <w:r>
              <w:rPr>
                <w:color w:val="243447"/>
              </w:rPr>
              <w:t xml:space="preserve">Application database name and login.</w:t>
            </w:r>
          </w:p>
        </w:tc>
      </w:tr>
      <w:tr>
        <w:tc>
          <w:tcPr>
            <w:tcW w:w="3100" w:type="dxa"/>
            <w:shd w:fill="FFFFFF"/>
            <w:vAlign w:val="center"/>
          </w:tcPr>
          <w:p>
            <w:pPr>
              <w:pStyle w:val="TableText"/>
            </w:pPr>
            <w:r>
              <w:rPr>
                <w:color w:val="243447"/>
              </w:rPr>
              <w:t xml:space="preserve">POSTGRES_PASSWORD</w:t>
            </w:r>
          </w:p>
        </w:tc>
        <w:tc>
          <w:tcPr>
            <w:tcW w:w="6980" w:type="dxa"/>
            <w:shd w:fill="FFFFFF"/>
            <w:vAlign w:val="center"/>
          </w:tcPr>
          <w:p>
            <w:pPr>
              <w:pStyle w:val="TableText"/>
            </w:pPr>
            <w:r>
              <w:rPr>
                <w:color w:val="243447"/>
              </w:rPr>
              <w:t xml:space="preserve">Unique random DB password. Do not reuse JWT or owner secrets.</w:t>
            </w:r>
          </w:p>
        </w:tc>
      </w:tr>
      <w:tr>
        <w:tc>
          <w:tcPr>
            <w:tcW w:w="3100" w:type="dxa"/>
            <w:shd w:fill="F6F9FB"/>
            <w:vAlign w:val="center"/>
          </w:tcPr>
          <w:p>
            <w:pPr>
              <w:pStyle w:val="TableText"/>
            </w:pPr>
            <w:r>
              <w:rPr>
                <w:color w:val="243447"/>
              </w:rPr>
              <w:t xml:space="preserve">JWT_SECRET</w:t>
            </w:r>
          </w:p>
        </w:tc>
        <w:tc>
          <w:tcPr>
            <w:tcW w:w="6980" w:type="dxa"/>
            <w:shd w:fill="F6F9FB"/>
            <w:vAlign w:val="center"/>
          </w:tcPr>
          <w:p>
            <w:pPr>
              <w:pStyle w:val="TableText"/>
            </w:pPr>
            <w:r>
              <w:rPr>
                <w:color w:val="243447"/>
              </w:rPr>
              <w:t xml:space="preserve">Independent random signing key; rotating it invalidates current office sessions.</w:t>
            </w:r>
          </w:p>
        </w:tc>
      </w:tr>
      <w:tr>
        <w:tc>
          <w:tcPr>
            <w:tcW w:w="3100" w:type="dxa"/>
            <w:shd w:fill="FFFFFF"/>
            <w:vAlign w:val="center"/>
          </w:tcPr>
          <w:p>
            <w:pPr>
              <w:pStyle w:val="TableText"/>
            </w:pPr>
            <w:r>
              <w:rPr>
                <w:color w:val="243447"/>
              </w:rPr>
              <w:t xml:space="preserve">JWT_ALGORITHM / JWT_EXPIRE_MINUTES</w:t>
            </w:r>
          </w:p>
        </w:tc>
        <w:tc>
          <w:tcPr>
            <w:tcW w:w="6980" w:type="dxa"/>
            <w:shd w:fill="FFFFFF"/>
            <w:vAlign w:val="center"/>
          </w:tcPr>
          <w:p>
            <w:pPr>
              <w:pStyle w:val="TableText"/>
            </w:pPr>
            <w:r>
              <w:rPr>
                <w:color w:val="243447"/>
              </w:rPr>
              <w:t xml:space="preserve">Template uses HS256 and 480 minutes (8 hours). Keep code and setting compatible.</w:t>
            </w:r>
          </w:p>
        </w:tc>
      </w:tr>
      <w:tr>
        <w:tc>
          <w:tcPr>
            <w:tcW w:w="3100" w:type="dxa"/>
            <w:shd w:fill="F6F9FB"/>
            <w:vAlign w:val="center"/>
          </w:tcPr>
          <w:p>
            <w:pPr>
              <w:pStyle w:val="TableText"/>
            </w:pPr>
            <w:r>
              <w:rPr>
                <w:color w:val="243447"/>
              </w:rPr>
              <w:t xml:space="preserve">OWNER_CODE</w:t>
            </w:r>
          </w:p>
        </w:tc>
        <w:tc>
          <w:tcPr>
            <w:tcW w:w="6980" w:type="dxa"/>
            <w:shd w:fill="F6F9FB"/>
            <w:vAlign w:val="center"/>
          </w:tcPr>
          <w:p>
            <w:pPr>
              <w:pStyle w:val="TableText"/>
            </w:pPr>
            <w:r>
              <w:rPr>
                <w:color w:val="243447"/>
              </w:rPr>
              <w:t xml:space="preserve">Independent secret used to register/claim the first Owner account.</w:t>
            </w:r>
          </w:p>
        </w:tc>
      </w:tr>
      <w:tr>
        <w:tc>
          <w:tcPr>
            <w:tcW w:w="3100" w:type="dxa"/>
            <w:shd w:fill="FFFFFF"/>
            <w:vAlign w:val="center"/>
          </w:tcPr>
          <w:p>
            <w:pPr>
              <w:pStyle w:val="TableText"/>
            </w:pPr>
            <w:r>
              <w:rPr>
                <w:color w:val="243447"/>
              </w:rPr>
              <w:t xml:space="preserve">OWNER_NAME / OWNER_EMAIL</w:t>
            </w:r>
          </w:p>
        </w:tc>
        <w:tc>
          <w:tcPr>
            <w:tcW w:w="6980" w:type="dxa"/>
            <w:shd w:fill="FFFFFF"/>
            <w:vAlign w:val="center"/>
          </w:tcPr>
          <w:p>
            <w:pPr>
              <w:pStyle w:val="TableText"/>
            </w:pPr>
            <w:r>
              <w:rPr>
                <w:color w:val="243447"/>
              </w:rPr>
              <w:t xml:space="preserve">Owner defaults used by application configuration and notification recipient resolution.</w:t>
            </w:r>
          </w:p>
        </w:tc>
      </w:tr>
      <w:tr>
        <w:tc>
          <w:tcPr>
            <w:tcW w:w="3100" w:type="dxa"/>
            <w:shd w:fill="F6F9FB"/>
            <w:vAlign w:val="center"/>
          </w:tcPr>
          <w:p>
            <w:pPr>
              <w:pStyle w:val="TableText"/>
            </w:pPr>
            <w:r>
              <w:rPr>
                <w:color w:val="243447"/>
              </w:rPr>
              <w:t xml:space="preserve">EMAIL_BACKEND</w:t>
            </w:r>
          </w:p>
        </w:tc>
        <w:tc>
          <w:tcPr>
            <w:tcW w:w="6980" w:type="dxa"/>
            <w:shd w:fill="F6F9FB"/>
            <w:vAlign w:val="center"/>
          </w:tcPr>
          <w:p>
            <w:pPr>
              <w:pStyle w:val="TableText"/>
            </w:pPr>
            <w:r>
              <w:rPr>
                <w:color w:val="243447"/>
              </w:rPr>
              <w:t xml:space="preserve">Production Compose requires smtp.</w:t>
            </w:r>
          </w:p>
        </w:tc>
      </w:tr>
      <w:tr>
        <w:tc>
          <w:tcPr>
            <w:tcW w:w="3100" w:type="dxa"/>
            <w:shd w:fill="FFFFFF"/>
            <w:vAlign w:val="center"/>
          </w:tcPr>
          <w:p>
            <w:pPr>
              <w:pStyle w:val="TableText"/>
            </w:pPr>
            <w:r>
              <w:rPr>
                <w:color w:val="243447"/>
              </w:rPr>
              <w:t xml:space="preserve">MAIL_FROM / MAIL_FROM_NAME</w:t>
            </w:r>
          </w:p>
        </w:tc>
        <w:tc>
          <w:tcPr>
            <w:tcW w:w="6980" w:type="dxa"/>
            <w:shd w:fill="FFFFFF"/>
            <w:vAlign w:val="center"/>
          </w:tcPr>
          <w:p>
            <w:pPr>
              <w:pStyle w:val="TableText"/>
            </w:pPr>
            <w:r>
              <w:rPr>
                <w:color w:val="243447"/>
              </w:rPr>
              <w:t xml:space="preserve">Sender address and display name authorized by the SMTP provider.</w:t>
            </w:r>
          </w:p>
        </w:tc>
      </w:tr>
      <w:tr>
        <w:tc>
          <w:tcPr>
            <w:tcW w:w="3100" w:type="dxa"/>
            <w:shd w:fill="F6F9FB"/>
            <w:vAlign w:val="center"/>
          </w:tcPr>
          <w:p>
            <w:pPr>
              <w:pStyle w:val="TableText"/>
            </w:pPr>
            <w:r>
              <w:rPr>
                <w:color w:val="243447"/>
              </w:rPr>
              <w:t xml:space="preserve">SMTP_HOST / PORT / USER / PASSWORD</w:t>
            </w:r>
          </w:p>
        </w:tc>
        <w:tc>
          <w:tcPr>
            <w:tcW w:w="6980" w:type="dxa"/>
            <w:shd w:fill="F6F9FB"/>
            <w:vAlign w:val="center"/>
          </w:tcPr>
          <w:p>
            <w:pPr>
              <w:pStyle w:val="TableText"/>
            </w:pPr>
            <w:r>
              <w:rPr>
                <w:color w:val="243447"/>
              </w:rPr>
              <w:t xml:space="preserve">Provider submission host, port, and SMTP credentials; prefer provider-issued app credentials.</w:t>
            </w:r>
          </w:p>
        </w:tc>
      </w:tr>
      <w:tr>
        <w:tc>
          <w:tcPr>
            <w:tcW w:w="3100" w:type="dxa"/>
            <w:shd w:fill="FFFFFF"/>
            <w:vAlign w:val="center"/>
          </w:tcPr>
          <w:p>
            <w:pPr>
              <w:pStyle w:val="TableText"/>
            </w:pPr>
            <w:r>
              <w:rPr>
                <w:color w:val="243447"/>
              </w:rPr>
              <w:t xml:space="preserve">SMTP_STARTTLS / SMTP_SSL</w:t>
            </w:r>
          </w:p>
        </w:tc>
        <w:tc>
          <w:tcPr>
            <w:tcW w:w="6980" w:type="dxa"/>
            <w:shd w:fill="FFFFFF"/>
            <w:vAlign w:val="center"/>
          </w:tcPr>
          <w:p>
            <w:pPr>
              <w:pStyle w:val="TableText"/>
            </w:pPr>
            <w:r>
              <w:rPr>
                <w:color w:val="243447"/>
              </w:rPr>
              <w:t xml:space="preserve">Match the provider. Typical submission is 587 + STARTTLS or 465 + implicit TLS; do not enable both.</w:t>
            </w:r>
          </w:p>
        </w:tc>
      </w:tr>
      <w:tr>
        <w:tc>
          <w:tcPr>
            <w:tcW w:w="3100" w:type="dxa"/>
            <w:shd w:fill="F6F9FB"/>
            <w:vAlign w:val="center"/>
          </w:tcPr>
          <w:p>
            <w:pPr>
              <w:pStyle w:val="TableText"/>
            </w:pPr>
            <w:r>
              <w:rPr>
                <w:color w:val="243447"/>
              </w:rPr>
              <w:t xml:space="preserve">STORAGE_BACKEND / STORAGE_LOCAL_DIR</w:t>
            </w:r>
          </w:p>
        </w:tc>
        <w:tc>
          <w:tcPr>
            <w:tcW w:w="6980" w:type="dxa"/>
            <w:shd w:fill="F6F9FB"/>
            <w:vAlign w:val="center"/>
          </w:tcPr>
          <w:p>
            <w:pPr>
              <w:pStyle w:val="TableText"/>
            </w:pPr>
            <w:r>
              <w:rPr>
                <w:color w:val="243447"/>
              </w:rPr>
              <w:t xml:space="preserve">Compose forces local and /app/storage_data, backed by uploads_data.</w:t>
            </w:r>
          </w:p>
        </w:tc>
      </w:tr>
      <w:tr>
        <w:tc>
          <w:tcPr>
            <w:tcW w:w="3100" w:type="dxa"/>
            <w:shd w:fill="FFFFFF"/>
            <w:vAlign w:val="center"/>
          </w:tcPr>
          <w:p>
            <w:pPr>
              <w:pStyle w:val="TableText"/>
            </w:pPr>
            <w:r>
              <w:rPr>
                <w:color w:val="243447"/>
              </w:rPr>
              <w:t xml:space="preserve">MAX_UPLOAD_MB</w:t>
            </w:r>
          </w:p>
        </w:tc>
        <w:tc>
          <w:tcPr>
            <w:tcW w:w="6980" w:type="dxa"/>
            <w:shd w:fill="FFFFFF"/>
            <w:vAlign w:val="center"/>
          </w:tcPr>
          <w:p>
            <w:pPr>
              <w:pStyle w:val="TableText"/>
            </w:pPr>
            <w:r>
              <w:rPr>
                <w:color w:val="243447"/>
              </w:rPr>
              <w:t xml:space="preserve">Per-photo size limit; production template uses 10 MB.</w:t>
            </w:r>
          </w:p>
        </w:tc>
      </w:tr>
      <w:tr>
        <w:tc>
          <w:tcPr>
            <w:tcW w:w="3100" w:type="dxa"/>
            <w:shd w:fill="F6F9FB"/>
            <w:vAlign w:val="center"/>
          </w:tcPr>
          <w:p>
            <w:pPr>
              <w:pStyle w:val="TableText"/>
            </w:pPr>
            <w:r>
              <w:rPr>
                <w:color w:val="243447"/>
              </w:rPr>
              <w:t xml:space="preserve">TWILIO_ACCOUNT_SID / AUTH_TOKEN / FROM_NUMBER</w:t>
            </w:r>
          </w:p>
        </w:tc>
        <w:tc>
          <w:tcPr>
            <w:tcW w:w="6980" w:type="dxa"/>
            <w:shd w:fill="F6F9FB"/>
            <w:vAlign w:val="center"/>
          </w:tcPr>
          <w:p>
            <w:pPr>
              <w:pStyle w:val="TableText"/>
            </w:pPr>
            <w:r>
              <w:rPr>
                <w:color w:val="243447"/>
              </w:rPr>
              <w:t xml:space="preserve">Optional SMS config. Leave all blank to disable. Use SMS-capable E.164 sender number.</w:t>
            </w:r>
          </w:p>
        </w:tc>
      </w:tr>
      <w:tr>
        <w:tc>
          <w:tcPr>
            <w:tcW w:w="3100" w:type="dxa"/>
            <w:shd w:fill="FFFFFF"/>
            <w:vAlign w:val="center"/>
          </w:tcPr>
          <w:p>
            <w:pPr>
              <w:pStyle w:val="TableText"/>
            </w:pPr>
            <w:r>
              <w:rPr>
                <w:color w:val="243447"/>
              </w:rPr>
              <w:t xml:space="preserve">COMPANY_NAME / PHONE / EMAIL / WEBSITE</w:t>
            </w:r>
          </w:p>
        </w:tc>
        <w:tc>
          <w:tcPr>
            <w:tcW w:w="6980" w:type="dxa"/>
            <w:shd w:fill="FFFFFF"/>
            <w:vAlign w:val="center"/>
          </w:tcPr>
          <w:p>
            <w:pPr>
              <w:pStyle w:val="TableText"/>
            </w:pPr>
            <w:r>
              <w:rPr>
                <w:color w:val="243447"/>
              </w:rPr>
              <w:t xml:space="preserve">Brand/contact values printed in generated report and completion email template.</w:t>
            </w:r>
          </w:p>
        </w:tc>
      </w:tr>
    </w:tbl>
    <w:p>
      <w:pPr>
        <w:pStyle w:val="BodyText"/>
      </w:pPr>
    </w:p>
    <w:tbl>
      <w:tblPr>
        <w:tblW w:w="10080" w:type="dxa"/>
        <w:tblBorders>
          <w:top w:val="nil"/>
          <w:left w:val="nil"/>
          <w:bottom w:val="nil"/>
          <w:right w:val="nil"/>
        </w:tblBorders>
      </w:tblPr>
      <w:tblGrid>
        <w:gridCol w:w="10080"/>
      </w:tblGrid>
      <w:tr>
        <w:tc>
          <w:tcPr>
            <w:tcW w:w="10080" w:type="dxa"/>
            <w:shd w:fill="EAF3F5"/>
            <w:tcMar>
              <w:top w:w="100" w:type="dxa"/>
              <w:start w:w="150" w:type="dxa"/>
              <w:bottom w:w="100" w:type="dxa"/>
              <w:end w:w="150" w:type="dxa"/>
            </w:tcMar>
          </w:tcPr>
          <w:p>
            <w:pPr>
              <w:pStyle w:val="Note"/>
            </w:pPr>
            <w:r>
              <w:rPr>
                <w:b/>
              </w:rPr>
              <w:t xml:space="preserve">Generate secrets: </w:t>
            </w:r>
            <w:r>
              <w:t xml:space="preserve">Run openssl rand -hex 32 separately for POSTGRES_PASSWORD, JWT_SECRET, and OWNER_CODE. Use three distinct values. Protect .env.production with chmod 600. Avoid commands that print the expanded Compose config into shared logs.</w:t>
            </w:r>
          </w:p>
        </w:tc>
      </w:tr>
    </w:tbl>
    <w:p>
      <w:pPr>
        <w:pStyle w:val="BodyText"/>
      </w:pPr>
    </w:p>
    <w:p>
      <w:pPr>
        <w:pStyle w:val="Heading1"/>
        <w:spacing w:before="250" w:after="110"/>
        <w:keepNext/>
      </w:pPr>
      <w:r>
        <w:t xml:space="preserve">8. Initial deployment and release procedure</w:t>
      </w:r>
    </w:p>
    <w:p>
      <w:pPr>
        <w:pStyle w:val="Heading2"/>
        <w:spacing w:before="160" w:after="110"/>
        <w:keepNext/>
      </w:pPr>
      <w:r>
        <w:t xml:space="preserve">8.1 Preconditions</w:t>
      </w:r>
    </w:p>
    <w:p>
      <w:pPr>
        <w:pStyle w:val="ListBullet"/>
      </w:pPr>
      <w:r>
        <w:t xml:space="preserve">•  Ubuntu VPS with Docker Engine and Docker Compose plugin installed; cPanel is not required.</w:t>
      </w:r>
    </w:p>
    <w:p>
      <w:pPr>
        <w:pStyle w:val="ListBullet"/>
      </w:pPr>
      <w:r>
        <w:t xml:space="preserve">•  DNS A records for app and API domains point to the VPS public IPv4 address.</w:t>
      </w:r>
    </w:p>
    <w:p>
      <w:pPr>
        <w:pStyle w:val="ListBullet"/>
      </w:pPr>
      <w:r>
        <w:t xml:space="preserve">•  Host/provider firewall allows inbound TCP 80 and 443. UDP 443 is optional for HTTP/3.</w:t>
      </w:r>
    </w:p>
    <w:p>
      <w:pPr>
        <w:pStyle w:val="ListBullet"/>
      </w:pPr>
      <w:r>
        <w:t xml:space="preserve">•  Valid SMTP submission credentials and an authorized sender mailbox are available.</w:t>
      </w:r>
    </w:p>
    <w:p>
      <w:pPr>
        <w:pStyle w:val="ListBullet"/>
      </w:pPr>
      <w:r>
        <w:t xml:space="preserve">•  VPS disk capacity covers database, uploads, images, logs, and backup retention.</w:t>
      </w:r>
    </w:p>
    <w:p>
      <w:pPr>
        <w:pStyle w:val="Heading2"/>
        <w:spacing w:before="160" w:after="110"/>
        <w:keepNext/>
      </w:pPr>
      <w:r>
        <w:t xml:space="preserve">8.2 Initial setup</w:t>
      </w:r>
    </w:p>
    <w:p>
      <w:pPr>
        <w:pStyle w:val="BodyText"/>
      </w:pPr>
      <w:r>
        <w:t xml:space="preserve">On the VPS, as an operator authorized to manage Docker:</w:t>
      </w:r>
    </w:p>
    <w:p>
      <w:pPr>
        <w:pStyle w:val="Code"/>
      </w:pPr>
      <w:r>
        <w:t xml:space="preserve">sudo mkdir -p /opt/readyrentals</w:t>
      </w:r>
      <w:r>
        <w:br/>
      </w:r>
      <w:r>
        <w:t xml:space="preserve">sudo chown "$(id -u):$(id -g)" /opt/readyrentals</w:t>
      </w:r>
      <w:r>
        <w:br/>
      </w:r>
      <w:r>
        <w:t xml:space="preserve"># Copy/clone the reviewed project into /opt/readyrentals</w:t>
      </w:r>
      <w:r>
        <w:br/>
      </w:r>
      <w:r>
        <w:t xml:space="preserve">cd /opt/readyrentals</w:t>
      </w:r>
      <w:r>
        <w:br/>
      </w:r>
      <w:r>
        <w:t xml:space="preserve">cp .env.production.example .env.production</w:t>
      </w:r>
      <w:r>
        <w:br/>
      </w:r>
      <w:r>
        <w:t xml:space="preserve">nano .env.production</w:t>
      </w:r>
      <w:r>
        <w:br/>
      </w:r>
      <w:r>
        <w:t xml:space="preserve">chmod 600 .env.production</w:t>
      </w:r>
      <w:r>
        <w:br/>
      </w:r>
      <w:r>
        <w:t xml:space="preserve">docker compose --env-file .env.production -f compose.production.yaml config --quiet</w:t>
      </w:r>
      <w:r>
        <w:br/>
      </w:r>
      <w:r>
        <w:t xml:space="preserve">docker compose --env-file .env.production -f compose.production.yaml up -d --build</w:t>
      </w:r>
      <w:r>
        <w:br/>
      </w:r>
      <w:r>
        <w:t xml:space="preserve">docker compose --env-file .env.production -f compose.production.yaml ps</w:t>
      </w:r>
    </w:p>
    <w:p>
      <w:pPr>
        <w:pStyle w:val="BodyText"/>
      </w:pPr>
      <w:r>
        <w:t xml:space="preserve">Replace every example domain, secret, SMTP value, owner default, and company branding value. Verify DNS before starting Caddy. After all containers are healthy, open https://&lt;DOMAIN&gt;, register the first Owner using OWNER_CODE, and store account credentials in an approved password manager. Verify https://&lt;API_DOMAIN&gt;/health and complete an end-to-end work order, SMTP email, and optional SMS check.</w:t>
      </w:r>
    </w:p>
    <w:tbl>
      <w:tblPr>
        <w:tblW w:w="10080" w:type="dxa"/>
        <w:tblBorders>
          <w:top w:val="nil"/>
          <w:left w:val="nil"/>
          <w:bottom w:val="nil"/>
          <w:right w:val="nil"/>
        </w:tblBorders>
      </w:tblPr>
      <w:tblGrid>
        <w:gridCol w:w="10080"/>
      </w:tblGrid>
      <w:tr>
        <w:tc>
          <w:tcPr>
            <w:tcW w:w="10080" w:type="dxa"/>
            <w:shd w:fill="F8F1E7"/>
            <w:tcMar>
              <w:top w:w="100" w:type="dxa"/>
              <w:start w:w="150" w:type="dxa"/>
              <w:bottom w:w="100" w:type="dxa"/>
              <w:end w:w="150" w:type="dxa"/>
            </w:tcMar>
          </w:tcPr>
          <w:p>
            <w:pPr>
              <w:pStyle w:val="Note"/>
            </w:pPr>
            <w:r>
              <w:rPr>
                <w:b/>
              </w:rPr>
              <w:t xml:space="preserve">Production safety: </w:t>
            </w:r>
            <w:r>
              <w:t xml:space="preserve">Never run docker compose down -v on the production project. The -v flag removes named volumes and can erase the database, uploads, and Caddy state. A normal docker compose up -d --build retains named volumes.</w:t>
            </w:r>
          </w:p>
        </w:tc>
      </w:tr>
    </w:tbl>
    <w:p>
      <w:pPr>
        <w:pStyle w:val="BodyText"/>
      </w:pPr>
    </w:p>
    <w:p>
      <w:pPr>
        <w:pStyle w:val="Heading2"/>
        <w:spacing w:before="160" w:after="110"/>
        <w:keepNext/>
      </w:pPr>
      <w:r>
        <w:t xml:space="preserve">8.3 Release / update</w:t>
      </w:r>
    </w:p>
    <w:p>
      <w:pPr>
        <w:pStyle w:val="BodyText"/>
      </w:pPr>
      <w:r>
        <w:t xml:space="preserve">Use a reviewed source revision and keep a recent verified backup before a release:</w:t>
      </w:r>
    </w:p>
    <w:p>
      <w:pPr>
        <w:pStyle w:val="Code"/>
      </w:pPr>
      <w:r>
        <w:t xml:space="preserve">cd /opt/readyrentals</w:t>
      </w:r>
      <w:r>
        <w:br/>
      </w:r>
      <w:r>
        <w:t xml:space="preserve">git pull</w:t>
      </w:r>
      <w:r>
        <w:br/>
      </w:r>
      <w:r>
        <w:t xml:space="preserve">docker compose --env-file .env.production -f compose.production.yaml config --quiet</w:t>
      </w:r>
      <w:r>
        <w:br/>
      </w:r>
      <w:r>
        <w:t xml:space="preserve">docker compose --env-file .env.production -f compose.production.yaml up -d --build</w:t>
      </w:r>
      <w:r>
        <w:br/>
      </w:r>
      <w:r>
        <w:t xml:space="preserve">docker compose --env-file .env.production -f compose.production.yaml ps</w:t>
      </w:r>
    </w:p>
    <w:p>
      <w:pPr>
        <w:pStyle w:val="BodyText"/>
      </w:pPr>
      <w:r>
        <w:t xml:space="preserve">The API container applies Alembic migrations at startup. Review migration files before deploying. A change to API_DOMAIN requires a frontend image rebuild because VITE_API_BASE_URL is baked into that image. After environment-only API settings change, recreate the API service so it receives the new values.</w:t>
      </w:r>
    </w:p>
    <w:p>
      <w:pPr>
        <w:pStyle w:val="Heading1"/>
        <w:spacing w:before="250" w:after="110"/>
        <w:keepNext/>
      </w:pPr>
      <w:r>
        <w:t xml:space="preserve">9. Routine operations and troubleshooting</w:t>
      </w:r>
    </w:p>
    <w:tbl>
      <w:tblPr>
        <w:tblW w:w="10080" w:type="dxa"/>
        <w:tblLayout w:type="fixed"/>
        <w:tblBorders>
          <w:top w:val="single" w:sz="5" w:color="D8E1E8"/>
          <w:left w:val="single" w:sz="5" w:color="D8E1E8"/>
          <w:bottom w:val="single" w:sz="5" w:color="D8E1E8"/>
          <w:right w:val="single" w:sz="5" w:color="D8E1E8"/>
          <w:insideH w:val="single" w:sz="4" w:color="D8E1E8"/>
          <w:insideV w:val="single" w:sz="4" w:color="D8E1E8"/>
        </w:tblBorders>
        <w:tblCellMar>
          <w:top w:w="80" w:type="dxa"/>
          <w:start w:w="95" w:type="dxa"/>
          <w:bottom w:w="80" w:type="dxa"/>
          <w:end w:w="95" w:type="dxa"/>
        </w:tblCellMar>
      </w:tblPr>
      <w:tblGrid>
        <w:gridCol w:w="2700"/>
        <w:gridCol w:w="7380"/>
      </w:tblGrid>
      <w:tr>
        <w:tc>
          <w:tcPr>
            <w:tcW w:w="2700" w:type="dxa"/>
            <w:shd w:fill="16324F"/>
            <w:vAlign w:val="center"/>
          </w:tcPr>
          <w:p>
            <w:pPr>
              <w:pStyle w:val="TableText"/>
            </w:pPr>
            <w:r>
              <w:rPr>
                <w:b/>
                <w:color w:val="FFFFFF"/>
              </w:rPr>
              <w:t xml:space="preserve">Task</w:t>
            </w:r>
          </w:p>
        </w:tc>
        <w:tc>
          <w:tcPr>
            <w:tcW w:w="7380" w:type="dxa"/>
            <w:shd w:fill="16324F"/>
            <w:vAlign w:val="center"/>
          </w:tcPr>
          <w:p>
            <w:pPr>
              <w:pStyle w:val="TableText"/>
            </w:pPr>
            <w:r>
              <w:rPr>
                <w:b/>
                <w:color w:val="FFFFFF"/>
              </w:rPr>
              <w:t xml:space="preserve">Command / first check</w:t>
            </w:r>
          </w:p>
        </w:tc>
      </w:tr>
      <w:tr>
        <w:tc>
          <w:tcPr>
            <w:tcW w:w="2700" w:type="dxa"/>
            <w:shd w:fill="F6F9FB"/>
            <w:vAlign w:val="center"/>
          </w:tcPr>
          <w:p>
            <w:pPr>
              <w:pStyle w:val="TableText"/>
            </w:pPr>
            <w:r>
              <w:rPr>
                <w:color w:val="243447"/>
              </w:rPr>
              <w:t xml:space="preserve">Service status</w:t>
            </w:r>
          </w:p>
        </w:tc>
        <w:tc>
          <w:tcPr>
            <w:tcW w:w="7380" w:type="dxa"/>
            <w:shd w:fill="F6F9FB"/>
            <w:vAlign w:val="center"/>
          </w:tcPr>
          <w:p>
            <w:pPr>
              <w:pStyle w:val="TableText"/>
            </w:pPr>
            <w:r>
              <w:rPr>
                <w:color w:val="243447"/>
              </w:rPr>
              <w:t xml:space="preserve">docker compose --env-file .env.production -f compose.production.yaml ps</w:t>
            </w:r>
          </w:p>
        </w:tc>
      </w:tr>
      <w:tr>
        <w:tc>
          <w:tcPr>
            <w:tcW w:w="2700" w:type="dxa"/>
            <w:shd w:fill="FFFFFF"/>
            <w:vAlign w:val="center"/>
          </w:tcPr>
          <w:p>
            <w:pPr>
              <w:pStyle w:val="TableText"/>
            </w:pPr>
            <w:r>
              <w:rPr>
                <w:color w:val="243447"/>
              </w:rPr>
              <w:t xml:space="preserve">Recent service logs</w:t>
            </w:r>
          </w:p>
        </w:tc>
        <w:tc>
          <w:tcPr>
            <w:tcW w:w="7380" w:type="dxa"/>
            <w:shd w:fill="FFFFFF"/>
            <w:vAlign w:val="center"/>
          </w:tcPr>
          <w:p>
            <w:pPr>
              <w:pStyle w:val="TableText"/>
            </w:pPr>
            <w:r>
              <w:rPr>
                <w:color w:val="243447"/>
              </w:rPr>
              <w:t xml:space="preserve">docker compose --env-file .env.production -f compose.production.yaml logs --tail=100 api caddy</w:t>
            </w:r>
          </w:p>
        </w:tc>
      </w:tr>
      <w:tr>
        <w:tc>
          <w:tcPr>
            <w:tcW w:w="2700" w:type="dxa"/>
            <w:shd w:fill="F6F9FB"/>
            <w:vAlign w:val="center"/>
          </w:tcPr>
          <w:p>
            <w:pPr>
              <w:pStyle w:val="TableText"/>
            </w:pPr>
            <w:r>
              <w:rPr>
                <w:color w:val="243447"/>
              </w:rPr>
              <w:t xml:space="preserve">Follow logs</w:t>
            </w:r>
          </w:p>
        </w:tc>
        <w:tc>
          <w:tcPr>
            <w:tcW w:w="7380" w:type="dxa"/>
            <w:shd w:fill="F6F9FB"/>
            <w:vAlign w:val="center"/>
          </w:tcPr>
          <w:p>
            <w:pPr>
              <w:pStyle w:val="TableText"/>
            </w:pPr>
            <w:r>
              <w:rPr>
                <w:color w:val="243447"/>
              </w:rPr>
              <w:t xml:space="preserve">docker compose --env-file .env.production -f compose.production.yaml logs -f --tail=100</w:t>
            </w:r>
          </w:p>
        </w:tc>
      </w:tr>
      <w:tr>
        <w:tc>
          <w:tcPr>
            <w:tcW w:w="2700" w:type="dxa"/>
            <w:shd w:fill="FFFFFF"/>
            <w:vAlign w:val="center"/>
          </w:tcPr>
          <w:p>
            <w:pPr>
              <w:pStyle w:val="TableText"/>
            </w:pPr>
            <w:r>
              <w:rPr>
                <w:color w:val="243447"/>
              </w:rPr>
              <w:t xml:space="preserve">Recreate API after env change</w:t>
            </w:r>
          </w:p>
        </w:tc>
        <w:tc>
          <w:tcPr>
            <w:tcW w:w="7380" w:type="dxa"/>
            <w:shd w:fill="FFFFFF"/>
            <w:vAlign w:val="center"/>
          </w:tcPr>
          <w:p>
            <w:pPr>
              <w:pStyle w:val="TableText"/>
            </w:pPr>
            <w:r>
              <w:rPr>
                <w:color w:val="243447"/>
              </w:rPr>
              <w:t xml:space="preserve">docker compose --env-file .env.production -f compose.production.yaml up -d --force-recreate api</w:t>
            </w:r>
          </w:p>
        </w:tc>
      </w:tr>
      <w:tr>
        <w:tc>
          <w:tcPr>
            <w:tcW w:w="2700" w:type="dxa"/>
            <w:shd w:fill="F6F9FB"/>
            <w:vAlign w:val="center"/>
          </w:tcPr>
          <w:p>
            <w:pPr>
              <w:pStyle w:val="TableText"/>
            </w:pPr>
            <w:r>
              <w:rPr>
                <w:color w:val="243447"/>
              </w:rPr>
              <w:t xml:space="preserve">Rebuild deployment</w:t>
            </w:r>
          </w:p>
        </w:tc>
        <w:tc>
          <w:tcPr>
            <w:tcW w:w="7380" w:type="dxa"/>
            <w:shd w:fill="F6F9FB"/>
            <w:vAlign w:val="center"/>
          </w:tcPr>
          <w:p>
            <w:pPr>
              <w:pStyle w:val="TableText"/>
            </w:pPr>
            <w:r>
              <w:rPr>
                <w:color w:val="243447"/>
              </w:rPr>
              <w:t xml:space="preserve">docker compose --env-file .env.production -f compose.production.yaml up -d --build</w:t>
            </w:r>
          </w:p>
        </w:tc>
      </w:tr>
      <w:tr>
        <w:tc>
          <w:tcPr>
            <w:tcW w:w="2700" w:type="dxa"/>
            <w:shd w:fill="FFFFFF"/>
            <w:vAlign w:val="center"/>
          </w:tcPr>
          <w:p>
            <w:pPr>
              <w:pStyle w:val="TableText"/>
            </w:pPr>
            <w:r>
              <w:rPr>
                <w:color w:val="243447"/>
              </w:rPr>
              <w:t xml:space="preserve">Health</w:t>
            </w:r>
          </w:p>
        </w:tc>
        <w:tc>
          <w:tcPr>
            <w:tcW w:w="7380" w:type="dxa"/>
            <w:shd w:fill="FFFFFF"/>
            <w:vAlign w:val="center"/>
          </w:tcPr>
          <w:p>
            <w:pPr>
              <w:pStyle w:val="TableText"/>
            </w:pPr>
            <w:r>
              <w:rPr>
                <w:color w:val="243447"/>
              </w:rPr>
              <w:t xml:space="preserve">curl -fsS https://&lt;API_DOMAIN&gt;/health</w:t>
            </w:r>
          </w:p>
        </w:tc>
      </w:tr>
      <w:tr>
        <w:tc>
          <w:tcPr>
            <w:tcW w:w="2700" w:type="dxa"/>
            <w:shd w:fill="F6F9FB"/>
            <w:vAlign w:val="center"/>
          </w:tcPr>
          <w:p>
            <w:pPr>
              <w:pStyle w:val="TableText"/>
            </w:pPr>
            <w:r>
              <w:rPr>
                <w:color w:val="243447"/>
              </w:rPr>
              <w:t xml:space="preserve">Disk</w:t>
            </w:r>
          </w:p>
        </w:tc>
        <w:tc>
          <w:tcPr>
            <w:tcW w:w="7380" w:type="dxa"/>
            <w:shd w:fill="F6F9FB"/>
            <w:vAlign w:val="center"/>
          </w:tcPr>
          <w:p>
            <w:pPr>
              <w:pStyle w:val="TableText"/>
            </w:pPr>
            <w:r>
              <w:rPr>
                <w:color w:val="243447"/>
              </w:rPr>
              <w:t xml:space="preserve">df -h; docker system df (inspect volume use; do not prune blindly)</w:t>
            </w:r>
          </w:p>
        </w:tc>
      </w:tr>
    </w:tbl>
    <w:p>
      <w:pPr>
        <w:pStyle w:val="BodyText"/>
      </w:pPr>
    </w:p>
    <w:tbl>
      <w:tblPr>
        <w:tblW w:w="10080" w:type="dxa"/>
        <w:tblLayout w:type="fixed"/>
        <w:tblBorders>
          <w:top w:val="single" w:sz="5" w:color="D8E1E8"/>
          <w:left w:val="single" w:sz="5" w:color="D8E1E8"/>
          <w:bottom w:val="single" w:sz="5" w:color="D8E1E8"/>
          <w:right w:val="single" w:sz="5" w:color="D8E1E8"/>
          <w:insideH w:val="single" w:sz="4" w:color="D8E1E8"/>
          <w:insideV w:val="single" w:sz="4" w:color="D8E1E8"/>
        </w:tblBorders>
        <w:tblCellMar>
          <w:top w:w="80" w:type="dxa"/>
          <w:start w:w="95" w:type="dxa"/>
          <w:bottom w:w="80" w:type="dxa"/>
          <w:end w:w="95" w:type="dxa"/>
        </w:tblCellMar>
      </w:tblPr>
      <w:tblGrid>
        <w:gridCol w:w="2200"/>
        <w:gridCol w:w="7880"/>
      </w:tblGrid>
      <w:tr>
        <w:tc>
          <w:tcPr>
            <w:tcW w:w="2200" w:type="dxa"/>
            <w:shd w:fill="16324F"/>
            <w:vAlign w:val="center"/>
          </w:tcPr>
          <w:p>
            <w:pPr>
              <w:pStyle w:val="TableText"/>
            </w:pPr>
            <w:r>
              <w:rPr>
                <w:b/>
                <w:color w:val="FFFFFF"/>
              </w:rPr>
              <w:t xml:space="preserve">Symptom</w:t>
            </w:r>
          </w:p>
        </w:tc>
        <w:tc>
          <w:tcPr>
            <w:tcW w:w="7880" w:type="dxa"/>
            <w:shd w:fill="16324F"/>
            <w:vAlign w:val="center"/>
          </w:tcPr>
          <w:p>
            <w:pPr>
              <w:pStyle w:val="TableText"/>
            </w:pPr>
            <w:r>
              <w:rPr>
                <w:b/>
                <w:color w:val="FFFFFF"/>
              </w:rPr>
              <w:t xml:space="preserve">Checks</w:t>
            </w:r>
          </w:p>
        </w:tc>
      </w:tr>
      <w:tr>
        <w:tc>
          <w:tcPr>
            <w:tcW w:w="2200" w:type="dxa"/>
            <w:shd w:fill="F6F9FB"/>
            <w:vAlign w:val="center"/>
          </w:tcPr>
          <w:p>
            <w:pPr>
              <w:pStyle w:val="TableText"/>
            </w:pPr>
            <w:r>
              <w:rPr>
                <w:color w:val="243447"/>
              </w:rPr>
              <w:t xml:space="preserve">Browser cannot reach API</w:t>
            </w:r>
          </w:p>
        </w:tc>
        <w:tc>
          <w:tcPr>
            <w:tcW w:w="7880" w:type="dxa"/>
            <w:shd w:fill="F6F9FB"/>
            <w:vAlign w:val="center"/>
          </w:tcPr>
          <w:p>
            <w:pPr>
              <w:pStyle w:val="TableText"/>
            </w:pPr>
            <w:r>
              <w:rPr>
                <w:color w:val="243447"/>
              </w:rPr>
              <w:t xml:space="preserve">API health/logs, Caddy logs, DNS, TLS, CORS origin, and rebuild frontend if API_DOMAIN changed.</w:t>
            </w:r>
          </w:p>
        </w:tc>
      </w:tr>
      <w:tr>
        <w:tc>
          <w:tcPr>
            <w:tcW w:w="2200" w:type="dxa"/>
            <w:shd w:fill="FFFFFF"/>
            <w:vAlign w:val="center"/>
          </w:tcPr>
          <w:p>
            <w:pPr>
              <w:pStyle w:val="TableText"/>
            </w:pPr>
            <w:r>
              <w:rPr>
                <w:color w:val="243447"/>
              </w:rPr>
              <w:t xml:space="preserve">Certificate not issued</w:t>
            </w:r>
          </w:p>
        </w:tc>
        <w:tc>
          <w:tcPr>
            <w:tcW w:w="7880" w:type="dxa"/>
            <w:shd w:fill="FFFFFF"/>
            <w:vAlign w:val="center"/>
          </w:tcPr>
          <w:p>
            <w:pPr>
              <w:pStyle w:val="TableText"/>
            </w:pPr>
            <w:r>
              <w:rPr>
                <w:color w:val="243447"/>
              </w:rPr>
              <w:t xml:space="preserve">Both DNS records, inbound TCP 80/443, host firewall, ACME_EMAIL, and Caddy logs.</w:t>
            </w:r>
          </w:p>
        </w:tc>
      </w:tr>
      <w:tr>
        <w:tc>
          <w:tcPr>
            <w:tcW w:w="2200" w:type="dxa"/>
            <w:shd w:fill="F6F9FB"/>
            <w:vAlign w:val="center"/>
          </w:tcPr>
          <w:p>
            <w:pPr>
              <w:pStyle w:val="TableText"/>
            </w:pPr>
            <w:r>
              <w:rPr>
                <w:color w:val="243447"/>
              </w:rPr>
              <w:t xml:space="preserve">Login rejected</w:t>
            </w:r>
          </w:p>
        </w:tc>
        <w:tc>
          <w:tcPr>
            <w:tcW w:w="7880" w:type="dxa"/>
            <w:shd w:fill="F6F9FB"/>
            <w:vAlign w:val="center"/>
          </w:tcPr>
          <w:p>
            <w:pPr>
              <w:pStyle w:val="TableText"/>
            </w:pPr>
            <w:r>
              <w:rPr>
                <w:color w:val="243447"/>
              </w:rPr>
              <w:t xml:space="preserve">Credentials, Owner registration, PostgreSQL health, browser clock, and whether JWT_SECRET changed.</w:t>
            </w:r>
          </w:p>
        </w:tc>
      </w:tr>
      <w:tr>
        <w:tc>
          <w:tcPr>
            <w:tcW w:w="2200" w:type="dxa"/>
            <w:shd w:fill="FFFFFF"/>
            <w:vAlign w:val="center"/>
          </w:tcPr>
          <w:p>
            <w:pPr>
              <w:pStyle w:val="TableText"/>
            </w:pPr>
            <w:r>
              <w:rPr>
                <w:color w:val="243447"/>
              </w:rPr>
              <w:t xml:space="preserve">Completion email missing</w:t>
            </w:r>
          </w:p>
        </w:tc>
        <w:tc>
          <w:tcPr>
            <w:tcW w:w="7880" w:type="dxa"/>
            <w:shd w:fill="FFFFFF"/>
            <w:vAlign w:val="center"/>
          </w:tcPr>
          <w:p>
            <w:pPr>
              <w:pStyle w:val="TableText"/>
            </w:pPr>
            <w:r>
              <w:rPr>
                <w:color w:val="243447"/>
              </w:rPr>
              <w:t xml:space="preserve">SMTP host/port/TLS/auth, verified sender, provider policy/firewall, API logs, and work-order notification error field.</w:t>
            </w:r>
          </w:p>
        </w:tc>
      </w:tr>
      <w:tr>
        <w:tc>
          <w:tcPr>
            <w:tcW w:w="2200" w:type="dxa"/>
            <w:shd w:fill="F6F9FB"/>
            <w:vAlign w:val="center"/>
          </w:tcPr>
          <w:p>
            <w:pPr>
              <w:pStyle w:val="TableText"/>
            </w:pPr>
            <w:r>
              <w:rPr>
                <w:color w:val="243447"/>
              </w:rPr>
              <w:t xml:space="preserve">SMS missing</w:t>
            </w:r>
          </w:p>
        </w:tc>
        <w:tc>
          <w:tcPr>
            <w:tcW w:w="7880" w:type="dxa"/>
            <w:shd w:fill="F6F9FB"/>
            <w:vAlign w:val="center"/>
          </w:tcPr>
          <w:p>
            <w:pPr>
              <w:pStyle w:val="TableText"/>
            </w:pPr>
            <w:r>
              <w:rPr>
                <w:color w:val="243447"/>
              </w:rPr>
              <w:t xml:space="preserve">All Twilio fields, sender capability, E.164 recipient, account restrictions, and Twilio Console. API acceptance is not delivery confirmation.</w:t>
            </w:r>
          </w:p>
        </w:tc>
      </w:tr>
      <w:tr>
        <w:tc>
          <w:tcPr>
            <w:tcW w:w="2200" w:type="dxa"/>
            <w:shd w:fill="FFFFFF"/>
            <w:vAlign w:val="center"/>
          </w:tcPr>
          <w:p>
            <w:pPr>
              <w:pStyle w:val="TableText"/>
            </w:pPr>
            <w:r>
              <w:rPr>
                <w:color w:val="243447"/>
              </w:rPr>
              <w:t xml:space="preserve">Photo or PDF missing</w:t>
            </w:r>
          </w:p>
        </w:tc>
        <w:tc>
          <w:tcPr>
            <w:tcW w:w="7880" w:type="dxa"/>
            <w:shd w:fill="FFFFFF"/>
            <w:vAlign w:val="center"/>
          </w:tcPr>
          <w:p>
            <w:pPr>
              <w:pStyle w:val="TableText"/>
            </w:pPr>
            <w:r>
              <w:rPr>
                <w:color w:val="243447"/>
              </w:rPr>
              <w:t xml:space="preserve">Uploads volume mount/permissions, disk space, asset URL, and whether the order was deleted.</w:t>
            </w:r>
          </w:p>
        </w:tc>
      </w:tr>
      <w:tr>
        <w:tc>
          <w:tcPr>
            <w:tcW w:w="2200" w:type="dxa"/>
            <w:shd w:fill="F6F9FB"/>
            <w:vAlign w:val="center"/>
          </w:tcPr>
          <w:p>
            <w:pPr>
              <w:pStyle w:val="TableText"/>
            </w:pPr>
            <w:r>
              <w:rPr>
                <w:color w:val="243447"/>
              </w:rPr>
              <w:t xml:space="preserve">API fails after release</w:t>
            </w:r>
          </w:p>
        </w:tc>
        <w:tc>
          <w:tcPr>
            <w:tcW w:w="7880" w:type="dxa"/>
            <w:shd w:fill="F6F9FB"/>
            <w:vAlign w:val="center"/>
          </w:tcPr>
          <w:p>
            <w:pPr>
              <w:pStyle w:val="TableText"/>
            </w:pPr>
            <w:r>
              <w:rPr>
                <w:color w:val="243447"/>
              </w:rPr>
              <w:t xml:space="preserve">Startup/migration logs, DB health, required env values, and migration compatibility before rollback.</w:t>
            </w:r>
          </w:p>
        </w:tc>
      </w:tr>
    </w:tbl>
    <w:p>
      <w:pPr>
        <w:pStyle w:val="BodyText"/>
      </w:pPr>
    </w:p>
    <w:p>
      <w:pPr>
        <w:pStyle w:val="Heading1"/>
        <w:spacing w:before="250" w:after="110"/>
        <w:keepNext/>
      </w:pPr>
      <w:r>
        <w:t xml:space="preserve">10. Backup, restore, and disaster recovery</w:t>
      </w:r>
    </w:p>
    <w:p>
      <w:pPr>
        <w:pStyle w:val="Image"/>
        <w:jc w:val="center"/>
      </w:pPr>
      <w:r>
        <w:drawing>
          <wp:inline distT="0" distB="0" distL="0" distR="0">
            <wp:extent cx="6400800" cy="2645664"/>
            <wp:docPr id="4" name="backup.png" descr="Figure 4. Backup capture, retention, and recovery verification"/>
            <wp:cNvGraphicFramePr>
              <a:graphicFrameLocks noChangeAspect="1"/>
            </wp:cNvGraphicFramePr>
            <a:graphic>
              <a:graphicData uri="http://schemas.openxmlformats.org/drawingml/2006/picture">
                <pic:pic>
                  <pic:nvPicPr>
                    <pic:cNvPr id="4" name="backup.png"/>
                    <pic:cNvPicPr/>
                  </pic:nvPicPr>
                  <pic:blipFill>
                    <a:blip r:embed="rIdImage4"/>
                    <a:stretch>
                      <a:fillRect/>
                    </a:stretch>
                  </pic:blipFill>
                  <pic:spPr>
                    <a:xfrm>
                      <a:off x="0" y="0"/>
                      <a:ext cx="6400800" cy="2645664"/>
                    </a:xfrm>
                    <a:prstGeom prst="rect">
                      <a:avLst/>
                    </a:prstGeom>
                  </pic:spPr>
                </pic:pic>
              </a:graphicData>
            </a:graphic>
          </wp:inline>
        </w:drawing>
      </w:r>
    </w:p>
    <w:p>
      <w:pPr>
        <w:pStyle w:val="Caption"/>
      </w:pPr>
      <w:r>
        <w:t xml:space="preserve">Figure 4. Backup capture, retention, and recovery verification</w:t>
      </w:r>
    </w:p>
    <w:p>
      <w:pPr>
        <w:pStyle w:val="BodyText"/>
      </w:pPr>
      <w:r>
        <w:t xml:space="preserve">ops/backup-production.sh creates timestamped backup folders under backups/ by default. It obtains a non-overlapping lock, briefly stops API writes so the database and uploads capture align, writes a PostgreSQL custom-format dump and a tar.gz of readyrentals_uploads_data, writes SHA256SUMS, then restarts the API. A shell trap attempts to restart the API if capture fails after it has stopped.</w:t>
      </w:r>
    </w:p>
    <w:p>
      <w:pPr>
        <w:pStyle w:val="ListBullet"/>
      </w:pPr>
      <w:r>
        <w:t xml:space="preserve">•  The included systemd timer runs daily at 03:00 UTC with up to 15 minutes of randomized delay and catches up after downtime.</w:t>
      </w:r>
    </w:p>
    <w:p>
      <w:pPr>
        <w:pStyle w:val="ListBullet"/>
      </w:pPr>
      <w:r>
        <w:t xml:space="preserve">•  Local retention defaults to 14 days through LOCAL_RETENTION_DAYS. Local archives use VPS disk and are lost with the VPS/disk.</w:t>
      </w:r>
    </w:p>
    <w:p>
      <w:pPr>
        <w:pStyle w:val="ListBullet"/>
      </w:pPr>
      <w:r>
        <w:t xml:space="preserve">•  When RESTIC_REPOSITORY, RESTIC_PASSWORD_FILE, Restic, and required repository credentials are configured, the script encrypts and sends the backup folder off-site, then retains 7 daily, 4 weekly, and 6 monthly snapshots.</w:t>
      </w:r>
    </w:p>
    <w:p>
      <w:pPr>
        <w:pStyle w:val="ListBullet"/>
      </w:pPr>
      <w:r>
        <w:t xml:space="preserve">•  If Restic is unset, the script prints a warning; backups remain only on the VPS. This does not protect from VPS loss.</w:t>
      </w:r>
    </w:p>
    <w:p>
      <w:pPr>
        <w:pStyle w:val="ListBullet"/>
      </w:pPr>
      <w:r>
        <w:t xml:space="preserve">•  The script backs up PostgreSQL and uploads, not .env.production, Caddy volumes, source code, or VPS configuration. Back those up separately and securely.</w:t>
      </w:r>
    </w:p>
    <w:p>
      <w:pPr>
        <w:pStyle w:val="Heading2"/>
        <w:spacing w:before="160" w:after="110"/>
        <w:keepNext/>
      </w:pPr>
      <w:r>
        <w:t xml:space="preserve">10.1 Install scheduled backups</w:t>
      </w:r>
    </w:p>
    <w:p>
      <w:pPr>
        <w:pStyle w:val="BodyText"/>
      </w:pPr>
      <w:r>
        <w:t xml:space="preserve">After the project is deployed at /opt/readyrentals, run as root:</w:t>
      </w:r>
    </w:p>
    <w:p>
      <w:pPr>
        <w:pStyle w:val="Code"/>
      </w:pPr>
      <w:r>
        <w:t xml:space="preserve">install -m 0644 ops/readyrentals-backup.service /etc/systemd/system/</w:t>
      </w:r>
      <w:r>
        <w:br/>
      </w:r>
      <w:r>
        <w:t xml:space="preserve">install -m 0644 ops/readyrentals-backup.timer /etc/systemd/system/</w:t>
      </w:r>
      <w:r>
        <w:br/>
      </w:r>
      <w:r>
        <w:t xml:space="preserve">systemctl daemon-reload</w:t>
      </w:r>
      <w:r>
        <w:br/>
      </w:r>
      <w:r>
        <w:t xml:space="preserve">systemctl enable --now readyrentals-backup.timer</w:t>
      </w:r>
      <w:r>
        <w:br/>
      </w:r>
      <w:r>
        <w:t xml:space="preserve">systemctl list-timers readyrentals-backup.timer</w:t>
      </w:r>
    </w:p>
    <w:p>
      <w:pPr>
        <w:pStyle w:val="BodyText"/>
      </w:pPr>
      <w:r>
        <w:t xml:space="preserve">For off-site storage, install/configure Restic and create /etc/readyrentals-backup.env with RESTIC_REPOSITORY, RESTIC_PASSWORD_FILE, and the backend-specific credentials. Restrict both files to root (chmod 600). Keep the only Restic password somewhere separate from the only encrypted repository. Run a backup and restore test before treating the remote copy as usable.</w:t>
      </w:r>
    </w:p>
    <w:p>
      <w:pPr>
        <w:pStyle w:val="Heading2"/>
        <w:spacing w:before="160" w:after="110"/>
        <w:keepNext/>
      </w:pPr>
      <w:r>
        <w:t xml:space="preserve">10.2 Restore policy and drill</w:t>
      </w:r>
    </w:p>
    <w:p>
      <w:pPr>
        <w:pStyle w:val="ListBullet"/>
      </w:pPr>
      <w:r>
        <w:t xml:space="preserve">•  Choose a recovery point and preserve current data before overwriting anything.</w:t>
      </w:r>
    </w:p>
    <w:p>
      <w:pPr>
        <w:pStyle w:val="ListBullet"/>
      </w:pPr>
      <w:r>
        <w:t xml:space="preserve">•  Prefer a separate VPS or fresh volumes for first restore tests. Restore database and uploads as a matched timestamp pair.</w:t>
      </w:r>
    </w:p>
    <w:p>
      <w:pPr>
        <w:pStyle w:val="ListBullet"/>
      </w:pPr>
      <w:r>
        <w:t xml:space="preserve">•  Verify SHA256SUMS before extraction and use the project’s exact named volumes and deployment revision.</w:t>
      </w:r>
    </w:p>
    <w:p>
      <w:pPr>
        <w:pStyle w:val="ListBullet"/>
      </w:pPr>
      <w:r>
        <w:t xml:space="preserve">•  Start API and check /health; sign in; inspect representative orders; open representative photos, signatures, and PDFs; complete a test workflow.</w:t>
      </w:r>
    </w:p>
    <w:p>
      <w:pPr>
        <w:pStyle w:val="ListBullet"/>
      </w:pPr>
      <w:r>
        <w:t xml:space="preserve">•  Record snapshot timestamp, restore start/end, validation results, and estimated data-loss window before switching DNS/traffic.</w:t>
      </w:r>
    </w:p>
    <w:tbl>
      <w:tblPr>
        <w:tblW w:w="10080" w:type="dxa"/>
        <w:tblBorders>
          <w:top w:val="nil"/>
          <w:left w:val="nil"/>
          <w:bottom w:val="nil"/>
          <w:right w:val="nil"/>
        </w:tblBorders>
      </w:tblPr>
      <w:tblGrid>
        <w:gridCol w:w="10080"/>
      </w:tblGrid>
      <w:tr>
        <w:tc>
          <w:tcPr>
            <w:tcW w:w="10080" w:type="dxa"/>
            <w:shd w:fill="F8F1E7"/>
            <w:tcMar>
              <w:top w:w="100" w:type="dxa"/>
              <w:start w:w="150" w:type="dxa"/>
              <w:bottom w:w="100" w:type="dxa"/>
              <w:end w:w="150" w:type="dxa"/>
            </w:tcMar>
          </w:tcPr>
          <w:p>
            <w:pPr>
              <w:pStyle w:val="Note"/>
            </w:pPr>
            <w:r>
              <w:rPr>
                <w:b/>
              </w:rPr>
              <w:t xml:space="preserve">Destructive operation: </w:t>
            </w:r>
            <w:r>
              <w:t xml:space="preserve">A production restore replaces live database records and uploaded files. Rehearse the exact commands on an isolated copy first, keep a pre-restore backup, and confirm recovery authorization. Do not run destructive pg_restore, database-drop, or volume-cleanup commands against the only production copy without a reviewed recovery plan.</w:t>
            </w:r>
          </w:p>
        </w:tc>
      </w:tr>
    </w:tbl>
    <w:p>
      <w:pPr>
        <w:pStyle w:val="BodyText"/>
      </w:pPr>
    </w:p>
    <w:p>
      <w:pPr>
        <w:pStyle w:val="Heading2"/>
        <w:spacing w:before="160" w:after="110"/>
        <w:keepNext/>
      </w:pPr>
      <w:r>
        <w:t xml:space="preserve">10.3 Recovery objectives</w:t>
      </w:r>
    </w:p>
    <w:p>
      <w:pPr>
        <w:pStyle w:val="BodyText"/>
      </w:pPr>
      <w:r>
        <w:t xml:space="preserve">RPO and RTO are not formally established by the application. A daily backup can leave a data-loss window approaching one day plus timer delay. Actual recovery time depends on VPS replacement, archive size, download speed, and practice. ReadyRentalsOnline and the operator should agree targets and test recovery against them.</w:t>
      </w:r>
    </w:p>
    <w:p>
      <w:pPr>
        <w:pStyle w:val="Heading1"/>
        <w:spacing w:before="250" w:after="110"/>
        <w:keepNext/>
      </w:pPr>
      <w:r>
        <w:t xml:space="preserve">11. Developer workflow and code map</w:t>
      </w:r>
    </w:p>
    <w:tbl>
      <w:tblPr>
        <w:tblW w:w="10080" w:type="dxa"/>
        <w:tblLayout w:type="fixed"/>
        <w:tblBorders>
          <w:top w:val="single" w:sz="5" w:color="D8E1E8"/>
          <w:left w:val="single" w:sz="5" w:color="D8E1E8"/>
          <w:bottom w:val="single" w:sz="5" w:color="D8E1E8"/>
          <w:right w:val="single" w:sz="5" w:color="D8E1E8"/>
          <w:insideH w:val="single" w:sz="4" w:color="D8E1E8"/>
          <w:insideV w:val="single" w:sz="4" w:color="D8E1E8"/>
        </w:tblBorders>
        <w:tblCellMar>
          <w:top w:w="80" w:type="dxa"/>
          <w:start w:w="95" w:type="dxa"/>
          <w:bottom w:w="80" w:type="dxa"/>
          <w:end w:w="95" w:type="dxa"/>
        </w:tblCellMar>
      </w:tblPr>
      <w:tblGrid>
        <w:gridCol w:w="3800"/>
        <w:gridCol w:w="6280"/>
      </w:tblGrid>
      <w:tr>
        <w:tc>
          <w:tcPr>
            <w:tcW w:w="3800" w:type="dxa"/>
            <w:shd w:fill="16324F"/>
            <w:vAlign w:val="center"/>
          </w:tcPr>
          <w:p>
            <w:pPr>
              <w:pStyle w:val="TableText"/>
            </w:pPr>
            <w:r>
              <w:rPr>
                <w:b/>
                <w:color w:val="FFFFFF"/>
              </w:rPr>
              <w:t xml:space="preserve">Location</w:t>
            </w:r>
          </w:p>
        </w:tc>
        <w:tc>
          <w:tcPr>
            <w:tcW w:w="6280" w:type="dxa"/>
            <w:shd w:fill="16324F"/>
            <w:vAlign w:val="center"/>
          </w:tcPr>
          <w:p>
            <w:pPr>
              <w:pStyle w:val="TableText"/>
            </w:pPr>
            <w:r>
              <w:rPr>
                <w:b/>
                <w:color w:val="FFFFFF"/>
              </w:rPr>
              <w:t xml:space="preserve">Responsibility</w:t>
            </w:r>
          </w:p>
        </w:tc>
      </w:tr>
      <w:tr>
        <w:tc>
          <w:tcPr>
            <w:tcW w:w="3800" w:type="dxa"/>
            <w:shd w:fill="F6F9FB"/>
            <w:vAlign w:val="center"/>
          </w:tcPr>
          <w:p>
            <w:pPr>
              <w:pStyle w:val="TableText"/>
            </w:pPr>
            <w:r>
              <w:rPr>
                <w:color w:val="243447"/>
              </w:rPr>
              <w:t xml:space="preserve">frontend/src/features/</w:t>
            </w:r>
          </w:p>
        </w:tc>
        <w:tc>
          <w:tcPr>
            <w:tcW w:w="6280" w:type="dxa"/>
            <w:shd w:fill="F6F9FB"/>
            <w:vAlign w:val="center"/>
          </w:tcPr>
          <w:p>
            <w:pPr>
              <w:pStyle w:val="TableText"/>
            </w:pPr>
            <w:r>
              <w:rPr>
                <w:color w:val="243447"/>
              </w:rPr>
              <w:t xml:space="preserve">Login, Owner/Admin pages, dashboard, work-order screens, worker flow, audit screens.</w:t>
            </w:r>
          </w:p>
        </w:tc>
      </w:tr>
      <w:tr>
        <w:tc>
          <w:tcPr>
            <w:tcW w:w="3800" w:type="dxa"/>
            <w:shd w:fill="FFFFFF"/>
            <w:vAlign w:val="center"/>
          </w:tcPr>
          <w:p>
            <w:pPr>
              <w:pStyle w:val="TableText"/>
            </w:pPr>
            <w:r>
              <w:rPr>
                <w:color w:val="243447"/>
              </w:rPr>
              <w:t xml:space="preserve">frontend/src/api/</w:t>
            </w:r>
          </w:p>
        </w:tc>
        <w:tc>
          <w:tcPr>
            <w:tcW w:w="6280" w:type="dxa"/>
            <w:shd w:fill="FFFFFF"/>
            <w:vAlign w:val="center"/>
          </w:tcPr>
          <w:p>
            <w:pPr>
              <w:pStyle w:val="TableText"/>
            </w:pPr>
            <w:r>
              <w:rPr>
                <w:color w:val="243447"/>
              </w:rPr>
              <w:t xml:space="preserve">Typed request helpers, auth token storage, endpoint and response types.</w:t>
            </w:r>
          </w:p>
        </w:tc>
      </w:tr>
      <w:tr>
        <w:tc>
          <w:tcPr>
            <w:tcW w:w="3800" w:type="dxa"/>
            <w:shd w:fill="F6F9FB"/>
            <w:vAlign w:val="center"/>
          </w:tcPr>
          <w:p>
            <w:pPr>
              <w:pStyle w:val="TableText"/>
            </w:pPr>
            <w:r>
              <w:rPr>
                <w:color w:val="243447"/>
              </w:rPr>
              <w:t xml:space="preserve">backend/app/models.py</w:t>
            </w:r>
          </w:p>
        </w:tc>
        <w:tc>
          <w:tcPr>
            <w:tcW w:w="6280" w:type="dxa"/>
            <w:shd w:fill="F6F9FB"/>
            <w:vAlign w:val="center"/>
          </w:tcPr>
          <w:p>
            <w:pPr>
              <w:pStyle w:val="TableText"/>
            </w:pPr>
            <w:r>
              <w:rPr>
                <w:color w:val="243447"/>
              </w:rPr>
              <w:t xml:space="preserve">SQLModel tables, Owner/Admin user roles, work-order status values.</w:t>
            </w:r>
          </w:p>
        </w:tc>
      </w:tr>
      <w:tr>
        <w:tc>
          <w:tcPr>
            <w:tcW w:w="3800" w:type="dxa"/>
            <w:shd w:fill="FFFFFF"/>
            <w:vAlign w:val="center"/>
          </w:tcPr>
          <w:p>
            <w:pPr>
              <w:pStyle w:val="TableText"/>
            </w:pPr>
            <w:r>
              <w:rPr>
                <w:color w:val="243447"/>
              </w:rPr>
              <w:t xml:space="preserve">backend/app/routers/</w:t>
            </w:r>
          </w:p>
        </w:tc>
        <w:tc>
          <w:tcPr>
            <w:tcW w:w="6280" w:type="dxa"/>
            <w:shd w:fill="FFFFFF"/>
            <w:vAlign w:val="center"/>
          </w:tcPr>
          <w:p>
            <w:pPr>
              <w:pStyle w:val="TableText"/>
            </w:pPr>
            <w:r>
              <w:rPr>
                <w:color w:val="243447"/>
              </w:rPr>
              <w:t xml:space="preserve">Auth, office work orders, categories, Owner-only admin/audit, token-based worker routes.</w:t>
            </w:r>
          </w:p>
        </w:tc>
      </w:tr>
      <w:tr>
        <w:tc>
          <w:tcPr>
            <w:tcW w:w="3800" w:type="dxa"/>
            <w:shd w:fill="F6F9FB"/>
            <w:vAlign w:val="center"/>
          </w:tcPr>
          <w:p>
            <w:pPr>
              <w:pStyle w:val="TableText"/>
            </w:pPr>
            <w:r>
              <w:rPr>
                <w:color w:val="243447"/>
              </w:rPr>
              <w:t xml:space="preserve">backend/app/services/work_orders.py</w:t>
            </w:r>
          </w:p>
        </w:tc>
        <w:tc>
          <w:tcPr>
            <w:tcW w:w="6280" w:type="dxa"/>
            <w:shd w:fill="F6F9FB"/>
            <w:vAlign w:val="center"/>
          </w:tcPr>
          <w:p>
            <w:pPr>
              <w:pStyle w:val="TableText"/>
            </w:pPr>
            <w:r>
              <w:rPr>
                <w:color w:val="243447"/>
              </w:rPr>
              <w:t xml:space="preserve">Work-order lifecycle, PDF orchestration, notifications, and cleanup rules.</w:t>
            </w:r>
          </w:p>
        </w:tc>
      </w:tr>
      <w:tr>
        <w:tc>
          <w:tcPr>
            <w:tcW w:w="3800" w:type="dxa"/>
            <w:shd w:fill="FFFFFF"/>
            <w:vAlign w:val="center"/>
          </w:tcPr>
          <w:p>
            <w:pPr>
              <w:pStyle w:val="TableText"/>
            </w:pPr>
            <w:r>
              <w:rPr>
                <w:color w:val="243447"/>
              </w:rPr>
              <w:t xml:space="preserve">backend/app/services/storage.py</w:t>
            </w:r>
          </w:p>
        </w:tc>
        <w:tc>
          <w:tcPr>
            <w:tcW w:w="6280" w:type="dxa"/>
            <w:shd w:fill="FFFFFF"/>
            <w:vAlign w:val="center"/>
          </w:tcPr>
          <w:p>
            <w:pPr>
              <w:pStyle w:val="TableText"/>
            </w:pPr>
            <w:r>
              <w:rPr>
                <w:color w:val="243447"/>
              </w:rPr>
              <w:t xml:space="preserve">Local/S3 storage abstraction; production Compose selects local storage.</w:t>
            </w:r>
          </w:p>
        </w:tc>
      </w:tr>
      <w:tr>
        <w:tc>
          <w:tcPr>
            <w:tcW w:w="3800" w:type="dxa"/>
            <w:shd w:fill="F6F9FB"/>
            <w:vAlign w:val="center"/>
          </w:tcPr>
          <w:p>
            <w:pPr>
              <w:pStyle w:val="TableText"/>
            </w:pPr>
            <w:r>
              <w:rPr>
                <w:color w:val="243447"/>
              </w:rPr>
              <w:t xml:space="preserve">backend/app/services/notifications.py</w:t>
            </w:r>
          </w:p>
        </w:tc>
        <w:tc>
          <w:tcPr>
            <w:tcW w:w="6280" w:type="dxa"/>
            <w:shd w:fill="F6F9FB"/>
            <w:vAlign w:val="center"/>
          </w:tcPr>
          <w:p>
            <w:pPr>
              <w:pStyle w:val="TableText"/>
            </w:pPr>
            <w:r>
              <w:rPr>
                <w:color w:val="243447"/>
              </w:rPr>
              <w:t xml:space="preserve">SMTP and optional Twilio message delivery.</w:t>
            </w:r>
          </w:p>
        </w:tc>
      </w:tr>
      <w:tr>
        <w:tc>
          <w:tcPr>
            <w:tcW w:w="3800" w:type="dxa"/>
            <w:shd w:fill="FFFFFF"/>
            <w:vAlign w:val="center"/>
          </w:tcPr>
          <w:p>
            <w:pPr>
              <w:pStyle w:val="TableText"/>
            </w:pPr>
            <w:r>
              <w:rPr>
                <w:color w:val="243447"/>
              </w:rPr>
              <w:t xml:space="preserve">backend/alembic/versions/</w:t>
            </w:r>
          </w:p>
        </w:tc>
        <w:tc>
          <w:tcPr>
            <w:tcW w:w="6280" w:type="dxa"/>
            <w:shd w:fill="FFFFFF"/>
            <w:vAlign w:val="center"/>
          </w:tcPr>
          <w:p>
            <w:pPr>
              <w:pStyle w:val="TableText"/>
            </w:pPr>
            <w:r>
              <w:rPr>
                <w:color w:val="243447"/>
              </w:rPr>
              <w:t xml:space="preserve">Database schema history and migrations, including legacy Manager-to-Admin conversion.</w:t>
            </w:r>
          </w:p>
        </w:tc>
      </w:tr>
      <w:tr>
        <w:tc>
          <w:tcPr>
            <w:tcW w:w="3800" w:type="dxa"/>
            <w:shd w:fill="F6F9FB"/>
            <w:vAlign w:val="center"/>
          </w:tcPr>
          <w:p>
            <w:pPr>
              <w:pStyle w:val="TableText"/>
            </w:pPr>
            <w:r>
              <w:rPr>
                <w:color w:val="243447"/>
              </w:rPr>
              <w:t xml:space="preserve">compose.production.yaml / Caddyfile</w:t>
            </w:r>
          </w:p>
        </w:tc>
        <w:tc>
          <w:tcPr>
            <w:tcW w:w="6280" w:type="dxa"/>
            <w:shd w:fill="F6F9FB"/>
            <w:vAlign w:val="center"/>
          </w:tcPr>
          <w:p>
            <w:pPr>
              <w:pStyle w:val="TableText"/>
            </w:pPr>
            <w:r>
              <w:rPr>
                <w:color w:val="243447"/>
              </w:rPr>
              <w:t xml:space="preserve">Production containers, networks, volumes, host ports, and hostname routing.</w:t>
            </w:r>
          </w:p>
        </w:tc>
      </w:tr>
      <w:tr>
        <w:tc>
          <w:tcPr>
            <w:tcW w:w="3800" w:type="dxa"/>
            <w:shd w:fill="FFFFFF"/>
            <w:vAlign w:val="center"/>
          </w:tcPr>
          <w:p>
            <w:pPr>
              <w:pStyle w:val="TableText"/>
            </w:pPr>
            <w:r>
              <w:rPr>
                <w:color w:val="243447"/>
              </w:rPr>
              <w:t xml:space="preserve">ops/backup-production.sh + systemd units</w:t>
            </w:r>
          </w:p>
        </w:tc>
        <w:tc>
          <w:tcPr>
            <w:tcW w:w="6280" w:type="dxa"/>
            <w:shd w:fill="FFFFFF"/>
            <w:vAlign w:val="center"/>
          </w:tcPr>
          <w:p>
            <w:pPr>
              <w:pStyle w:val="TableText"/>
            </w:pPr>
            <w:r>
              <w:rPr>
                <w:color w:val="243447"/>
              </w:rPr>
              <w:t xml:space="preserve">Database/uploads capture and daily timer definitions.</w:t>
            </w:r>
          </w:p>
        </w:tc>
      </w:tr>
    </w:tbl>
    <w:p>
      <w:pPr>
        <w:pStyle w:val="BodyText"/>
      </w:pPr>
    </w:p>
    <w:p>
      <w:pPr>
        <w:pStyle w:val="BodyText"/>
      </w:pPr>
      <w:r>
        <w:t xml:space="preserve">Local development: backend uses pytest with an isolated SQLite test database; frontend uses npm ci and npm run build. Production uses PostgreSQL and Docker Compose. Review schema/data migrations and take a verified backup before releases. Do not place secrets or real customer data in test fixtures.</w:t>
      </w:r>
    </w:p>
    <w:p>
      <w:pPr>
        <w:pStyle w:val="Heading1"/>
        <w:spacing w:before="250" w:after="110"/>
        <w:keepNext/>
      </w:pPr>
      <w:r>
        <w:t xml:space="preserve">12. API and network reference</w:t>
      </w:r>
    </w:p>
    <w:tbl>
      <w:tblPr>
        <w:tblW w:w="10080" w:type="dxa"/>
        <w:tblLayout w:type="fixed"/>
        <w:tblBorders>
          <w:top w:val="single" w:sz="5" w:color="D8E1E8"/>
          <w:left w:val="single" w:sz="5" w:color="D8E1E8"/>
          <w:bottom w:val="single" w:sz="5" w:color="D8E1E8"/>
          <w:right w:val="single" w:sz="5" w:color="D8E1E8"/>
          <w:insideH w:val="single" w:sz="4" w:color="D8E1E8"/>
          <w:insideV w:val="single" w:sz="4" w:color="D8E1E8"/>
        </w:tblBorders>
        <w:tblCellMar>
          <w:top w:w="80" w:type="dxa"/>
          <w:start w:w="95" w:type="dxa"/>
          <w:bottom w:w="80" w:type="dxa"/>
          <w:end w:w="95" w:type="dxa"/>
        </w:tblCellMar>
      </w:tblPr>
      <w:tblGrid>
        <w:gridCol w:w="3100"/>
        <w:gridCol w:w="5100"/>
        <w:gridCol w:w="1880"/>
      </w:tblGrid>
      <w:tr>
        <w:tc>
          <w:tcPr>
            <w:tcW w:w="3100" w:type="dxa"/>
            <w:shd w:fill="16324F"/>
            <w:vAlign w:val="center"/>
          </w:tcPr>
          <w:p>
            <w:pPr>
              <w:pStyle w:val="TableText"/>
            </w:pPr>
            <w:r>
              <w:rPr>
                <w:b/>
                <w:color w:val="FFFFFF"/>
              </w:rPr>
              <w:t xml:space="preserve">Method / route</w:t>
            </w:r>
          </w:p>
        </w:tc>
        <w:tc>
          <w:tcPr>
            <w:tcW w:w="5100" w:type="dxa"/>
            <w:shd w:fill="16324F"/>
            <w:vAlign w:val="center"/>
          </w:tcPr>
          <w:p>
            <w:pPr>
              <w:pStyle w:val="TableText"/>
            </w:pPr>
            <w:r>
              <w:rPr>
                <w:b/>
                <w:color w:val="FFFFFF"/>
              </w:rPr>
              <w:t xml:space="preserve">Purpose</w:t>
            </w:r>
          </w:p>
        </w:tc>
        <w:tc>
          <w:tcPr>
            <w:tcW w:w="1880" w:type="dxa"/>
            <w:shd w:fill="16324F"/>
            <w:vAlign w:val="center"/>
          </w:tcPr>
          <w:p>
            <w:pPr>
              <w:pStyle w:val="TableText"/>
            </w:pPr>
            <w:r>
              <w:rPr>
                <w:b/>
                <w:color w:val="FFFFFF"/>
              </w:rPr>
              <w:t xml:space="preserve">Auth</w:t>
            </w:r>
          </w:p>
        </w:tc>
      </w:tr>
      <w:tr>
        <w:tc>
          <w:tcPr>
            <w:tcW w:w="3100" w:type="dxa"/>
            <w:shd w:fill="F6F9FB"/>
            <w:vAlign w:val="center"/>
          </w:tcPr>
          <w:p>
            <w:pPr>
              <w:pStyle w:val="TableText"/>
            </w:pPr>
            <w:r>
              <w:rPr>
                <w:color w:val="243447"/>
              </w:rPr>
              <w:t xml:space="preserve">POST /auth/login</w:t>
            </w:r>
          </w:p>
        </w:tc>
        <w:tc>
          <w:tcPr>
            <w:tcW w:w="5100" w:type="dxa"/>
            <w:shd w:fill="F6F9FB"/>
            <w:vAlign w:val="center"/>
          </w:tcPr>
          <w:p>
            <w:pPr>
              <w:pStyle w:val="TableText"/>
            </w:pPr>
            <w:r>
              <w:rPr>
                <w:color w:val="243447"/>
              </w:rPr>
              <w:t xml:space="preserve">Office account login and JWT</w:t>
            </w:r>
          </w:p>
        </w:tc>
        <w:tc>
          <w:tcPr>
            <w:tcW w:w="1880" w:type="dxa"/>
            <w:shd w:fill="F6F9FB"/>
            <w:vAlign w:val="center"/>
          </w:tcPr>
          <w:p>
            <w:pPr>
              <w:pStyle w:val="TableText"/>
            </w:pPr>
            <w:r>
              <w:rPr>
                <w:color w:val="243447"/>
              </w:rPr>
              <w:t xml:space="preserve">Public</w:t>
            </w:r>
          </w:p>
        </w:tc>
      </w:tr>
      <w:tr>
        <w:tc>
          <w:tcPr>
            <w:tcW w:w="3100" w:type="dxa"/>
            <w:shd w:fill="FFFFFF"/>
            <w:vAlign w:val="center"/>
          </w:tcPr>
          <w:p>
            <w:pPr>
              <w:pStyle w:val="TableText"/>
            </w:pPr>
            <w:r>
              <w:rPr>
                <w:color w:val="243447"/>
              </w:rPr>
              <w:t xml:space="preserve">POST /auth/register-owner</w:t>
            </w:r>
          </w:p>
        </w:tc>
        <w:tc>
          <w:tcPr>
            <w:tcW w:w="5100" w:type="dxa"/>
            <w:shd w:fill="FFFFFF"/>
            <w:vAlign w:val="center"/>
          </w:tcPr>
          <w:p>
            <w:pPr>
              <w:pStyle w:val="TableText"/>
            </w:pPr>
            <w:r>
              <w:rPr>
                <w:color w:val="243447"/>
              </w:rPr>
              <w:t xml:space="preserve">Initial Owner registration/claim using OWNER_CODE</w:t>
            </w:r>
          </w:p>
        </w:tc>
        <w:tc>
          <w:tcPr>
            <w:tcW w:w="1880" w:type="dxa"/>
            <w:shd w:fill="FFFFFF"/>
            <w:vAlign w:val="center"/>
          </w:tcPr>
          <w:p>
            <w:pPr>
              <w:pStyle w:val="TableText"/>
            </w:pPr>
            <w:r>
              <w:rPr>
                <w:color w:val="243447"/>
              </w:rPr>
              <w:t xml:space="preserve">Owner code</w:t>
            </w:r>
          </w:p>
        </w:tc>
      </w:tr>
      <w:tr>
        <w:tc>
          <w:tcPr>
            <w:tcW w:w="3100" w:type="dxa"/>
            <w:shd w:fill="F6F9FB"/>
            <w:vAlign w:val="center"/>
          </w:tcPr>
          <w:p>
            <w:pPr>
              <w:pStyle w:val="TableText"/>
            </w:pPr>
            <w:r>
              <w:rPr>
                <w:color w:val="243447"/>
              </w:rPr>
              <w:t xml:space="preserve">GET /auth/me</w:t>
            </w:r>
          </w:p>
        </w:tc>
        <w:tc>
          <w:tcPr>
            <w:tcW w:w="5100" w:type="dxa"/>
            <w:shd w:fill="F6F9FB"/>
            <w:vAlign w:val="center"/>
          </w:tcPr>
          <w:p>
            <w:pPr>
              <w:pStyle w:val="TableText"/>
            </w:pPr>
            <w:r>
              <w:rPr>
                <w:color w:val="243447"/>
              </w:rPr>
              <w:t xml:space="preserve">Current account identity and role</w:t>
            </w:r>
          </w:p>
        </w:tc>
        <w:tc>
          <w:tcPr>
            <w:tcW w:w="1880" w:type="dxa"/>
            <w:shd w:fill="F6F9FB"/>
            <w:vAlign w:val="center"/>
          </w:tcPr>
          <w:p>
            <w:pPr>
              <w:pStyle w:val="TableText"/>
            </w:pPr>
            <w:r>
              <w:rPr>
                <w:color w:val="243447"/>
              </w:rPr>
              <w:t xml:space="preserve">JWT</w:t>
            </w:r>
          </w:p>
        </w:tc>
      </w:tr>
      <w:tr>
        <w:tc>
          <w:tcPr>
            <w:tcW w:w="3100" w:type="dxa"/>
            <w:shd w:fill="FFFFFF"/>
            <w:vAlign w:val="center"/>
          </w:tcPr>
          <w:p>
            <w:pPr>
              <w:pStyle w:val="TableText"/>
            </w:pPr>
            <w:r>
              <w:rPr>
                <w:color w:val="243447"/>
              </w:rPr>
              <w:t xml:space="preserve">GET/POST/DELETE /admins</w:t>
            </w:r>
          </w:p>
        </w:tc>
        <w:tc>
          <w:tcPr>
            <w:tcW w:w="5100" w:type="dxa"/>
            <w:shd w:fill="FFFFFF"/>
            <w:vAlign w:val="center"/>
          </w:tcPr>
          <w:p>
            <w:pPr>
              <w:pStyle w:val="TableText"/>
            </w:pPr>
            <w:r>
              <w:rPr>
                <w:color w:val="243447"/>
              </w:rPr>
              <w:t xml:space="preserve">List/create/remove office Admin accounts</w:t>
            </w:r>
          </w:p>
        </w:tc>
        <w:tc>
          <w:tcPr>
            <w:tcW w:w="1880" w:type="dxa"/>
            <w:shd w:fill="FFFFFF"/>
            <w:vAlign w:val="center"/>
          </w:tcPr>
          <w:p>
            <w:pPr>
              <w:pStyle w:val="TableText"/>
            </w:pPr>
            <w:r>
              <w:rPr>
                <w:color w:val="243447"/>
              </w:rPr>
              <w:t xml:space="preserve">Owner only</w:t>
            </w:r>
          </w:p>
        </w:tc>
      </w:tr>
      <w:tr>
        <w:tc>
          <w:tcPr>
            <w:tcW w:w="3100" w:type="dxa"/>
            <w:shd w:fill="F6F9FB"/>
            <w:vAlign w:val="center"/>
          </w:tcPr>
          <w:p>
            <w:pPr>
              <w:pStyle w:val="TableText"/>
            </w:pPr>
            <w:r>
              <w:rPr>
                <w:color w:val="243447"/>
              </w:rPr>
              <w:t xml:space="preserve">GET /audit-logs, /audit-logs/stats</w:t>
            </w:r>
          </w:p>
        </w:tc>
        <w:tc>
          <w:tcPr>
            <w:tcW w:w="5100" w:type="dxa"/>
            <w:shd w:fill="F6F9FB"/>
            <w:vAlign w:val="center"/>
          </w:tcPr>
          <w:p>
            <w:pPr>
              <w:pStyle w:val="TableText"/>
            </w:pPr>
            <w:r>
              <w:rPr>
                <w:color w:val="243447"/>
              </w:rPr>
              <w:t xml:space="preserve">Audit events and aggregate activity</w:t>
            </w:r>
          </w:p>
        </w:tc>
        <w:tc>
          <w:tcPr>
            <w:tcW w:w="1880" w:type="dxa"/>
            <w:shd w:fill="F6F9FB"/>
            <w:vAlign w:val="center"/>
          </w:tcPr>
          <w:p>
            <w:pPr>
              <w:pStyle w:val="TableText"/>
            </w:pPr>
            <w:r>
              <w:rPr>
                <w:color w:val="243447"/>
              </w:rPr>
              <w:t xml:space="preserve">Owner only</w:t>
            </w:r>
          </w:p>
        </w:tc>
      </w:tr>
      <w:tr>
        <w:tc>
          <w:tcPr>
            <w:tcW w:w="3100" w:type="dxa"/>
            <w:shd w:fill="FFFFFF"/>
            <w:vAlign w:val="center"/>
          </w:tcPr>
          <w:p>
            <w:pPr>
              <w:pStyle w:val="TableText"/>
            </w:pPr>
            <w:r>
              <w:rPr>
                <w:color w:val="243447"/>
              </w:rPr>
              <w:t xml:space="preserve">/work-orders</w:t>
            </w:r>
          </w:p>
        </w:tc>
        <w:tc>
          <w:tcPr>
            <w:tcW w:w="5100" w:type="dxa"/>
            <w:shd w:fill="FFFFFF"/>
            <w:vAlign w:val="center"/>
          </w:tcPr>
          <w:p>
            <w:pPr>
              <w:pStyle w:val="TableText"/>
            </w:pPr>
            <w:r>
              <w:rPr>
                <w:color w:val="243447"/>
              </w:rPr>
              <w:t xml:space="preserve">Create, list, read, patch, delete, PDF, share/resend, email report</w:t>
            </w:r>
          </w:p>
        </w:tc>
        <w:tc>
          <w:tcPr>
            <w:tcW w:w="1880" w:type="dxa"/>
            <w:shd w:fill="FFFFFF"/>
            <w:vAlign w:val="center"/>
          </w:tcPr>
          <w:p>
            <w:pPr>
              <w:pStyle w:val="TableText"/>
            </w:pPr>
            <w:r>
              <w:rPr>
                <w:color w:val="243447"/>
              </w:rPr>
              <w:t xml:space="preserve">Owner/Admin JWT</w:t>
            </w:r>
          </w:p>
        </w:tc>
      </w:tr>
      <w:tr>
        <w:tc>
          <w:tcPr>
            <w:tcW w:w="3100" w:type="dxa"/>
            <w:shd w:fill="F6F9FB"/>
            <w:vAlign w:val="center"/>
          </w:tcPr>
          <w:p>
            <w:pPr>
              <w:pStyle w:val="TableText"/>
            </w:pPr>
            <w:r>
              <w:rPr>
                <w:color w:val="243447"/>
              </w:rPr>
              <w:t xml:space="preserve">/checklist-categories</w:t>
            </w:r>
          </w:p>
        </w:tc>
        <w:tc>
          <w:tcPr>
            <w:tcW w:w="5100" w:type="dxa"/>
            <w:shd w:fill="F6F9FB"/>
            <w:vAlign w:val="center"/>
          </w:tcPr>
          <w:p>
            <w:pPr>
              <w:pStyle w:val="TableText"/>
            </w:pPr>
            <w:r>
              <w:rPr>
                <w:color w:val="243447"/>
              </w:rPr>
              <w:t xml:space="preserve">List/create/archive categories</w:t>
            </w:r>
          </w:p>
        </w:tc>
        <w:tc>
          <w:tcPr>
            <w:tcW w:w="1880" w:type="dxa"/>
            <w:shd w:fill="F6F9FB"/>
            <w:vAlign w:val="center"/>
          </w:tcPr>
          <w:p>
            <w:pPr>
              <w:pStyle w:val="TableText"/>
            </w:pPr>
            <w:r>
              <w:rPr>
                <w:color w:val="243447"/>
              </w:rPr>
              <w:t xml:space="preserve">Owner/Admin JWT</w:t>
            </w:r>
          </w:p>
        </w:tc>
      </w:tr>
      <w:tr>
        <w:tc>
          <w:tcPr>
            <w:tcW w:w="3100" w:type="dxa"/>
            <w:shd w:fill="FFFFFF"/>
            <w:vAlign w:val="center"/>
          </w:tcPr>
          <w:p>
            <w:pPr>
              <w:pStyle w:val="TableText"/>
            </w:pPr>
            <w:r>
              <w:rPr>
                <w:color w:val="243447"/>
              </w:rPr>
              <w:t xml:space="preserve">/wo/{token}/*</w:t>
            </w:r>
          </w:p>
        </w:tc>
        <w:tc>
          <w:tcPr>
            <w:tcW w:w="5100" w:type="dxa"/>
            <w:shd w:fill="FFFFFF"/>
            <w:vAlign w:val="center"/>
          </w:tcPr>
          <w:p>
            <w:pPr>
              <w:pStyle w:val="TableText"/>
            </w:pPr>
            <w:r>
              <w:rPr>
                <w:color w:val="243447"/>
              </w:rPr>
              <w:t xml:space="preserve">Worker start, task update, photos, progress, completion, signatures, PDF</w:t>
            </w:r>
          </w:p>
        </w:tc>
        <w:tc>
          <w:tcPr>
            <w:tcW w:w="1880" w:type="dxa"/>
            <w:shd w:fill="FFFFFF"/>
            <w:vAlign w:val="center"/>
          </w:tcPr>
          <w:p>
            <w:pPr>
              <w:pStyle w:val="TableText"/>
            </w:pPr>
            <w:r>
              <w:rPr>
                <w:color w:val="243447"/>
              </w:rPr>
              <w:t xml:space="preserve">Bearer URL token</w:t>
            </w:r>
          </w:p>
        </w:tc>
      </w:tr>
      <w:tr>
        <w:tc>
          <w:tcPr>
            <w:tcW w:w="3100" w:type="dxa"/>
            <w:shd w:fill="F6F9FB"/>
            <w:vAlign w:val="center"/>
          </w:tcPr>
          <w:p>
            <w:pPr>
              <w:pStyle w:val="TableText"/>
            </w:pPr>
            <w:r>
              <w:rPr>
                <w:color w:val="243447"/>
              </w:rPr>
              <w:t xml:space="preserve">GET /health</w:t>
            </w:r>
          </w:p>
        </w:tc>
        <w:tc>
          <w:tcPr>
            <w:tcW w:w="5100" w:type="dxa"/>
            <w:shd w:fill="F6F9FB"/>
            <w:vAlign w:val="center"/>
          </w:tcPr>
          <w:p>
            <w:pPr>
              <w:pStyle w:val="TableText"/>
            </w:pPr>
            <w:r>
              <w:rPr>
                <w:color w:val="243447"/>
              </w:rPr>
              <w:t xml:space="preserve">Liveness response</w:t>
            </w:r>
          </w:p>
        </w:tc>
        <w:tc>
          <w:tcPr>
            <w:tcW w:w="1880" w:type="dxa"/>
            <w:shd w:fill="F6F9FB"/>
            <w:vAlign w:val="center"/>
          </w:tcPr>
          <w:p>
            <w:pPr>
              <w:pStyle w:val="TableText"/>
            </w:pPr>
            <w:r>
              <w:rPr>
                <w:color w:val="243447"/>
              </w:rPr>
              <w:t xml:space="preserve">Public</w:t>
            </w:r>
          </w:p>
        </w:tc>
      </w:tr>
      <w:tr>
        <w:tc>
          <w:tcPr>
            <w:tcW w:w="3100" w:type="dxa"/>
            <w:shd w:fill="FFFFFF"/>
            <w:vAlign w:val="center"/>
          </w:tcPr>
          <w:p>
            <w:pPr>
              <w:pStyle w:val="TableText"/>
            </w:pPr>
            <w:r>
              <w:rPr>
                <w:color w:val="243447"/>
              </w:rPr>
              <w:t xml:space="preserve">/files/*</w:t>
            </w:r>
          </w:p>
        </w:tc>
        <w:tc>
          <w:tcPr>
            <w:tcW w:w="5100" w:type="dxa"/>
            <w:shd w:fill="FFFFFF"/>
            <w:vAlign w:val="center"/>
          </w:tcPr>
          <w:p>
            <w:pPr>
              <w:pStyle w:val="TableText"/>
            </w:pPr>
            <w:r>
              <w:rPr>
                <w:color w:val="243447"/>
              </w:rPr>
              <w:t xml:space="preserve">Local static work-order files</w:t>
            </w:r>
          </w:p>
        </w:tc>
        <w:tc>
          <w:tcPr>
            <w:tcW w:w="1880" w:type="dxa"/>
            <w:shd w:fill="FFFFFF"/>
            <w:vAlign w:val="center"/>
          </w:tcPr>
          <w:p>
            <w:pPr>
              <w:pStyle w:val="TableText"/>
            </w:pPr>
            <w:r>
              <w:rPr>
                <w:color w:val="243447"/>
              </w:rPr>
              <w:t xml:space="preserve">No office-account JWT on local StaticFiles path; URL possession may expose asset</w:t>
            </w:r>
          </w:p>
        </w:tc>
      </w:tr>
    </w:tbl>
    <w:p>
      <w:pPr>
        <w:pStyle w:val="BodyText"/>
      </w:pPr>
    </w:p>
    <w:p>
      <w:pPr>
        <w:pStyle w:val="Heading2"/>
        <w:spacing w:before="160" w:after="110"/>
        <w:keepNext/>
      </w:pPr>
      <w:r>
        <w:t xml:space="preserve">12.1 Public host ports</w:t>
      </w:r>
    </w:p>
    <w:tbl>
      <w:tblPr>
        <w:tblW w:w="10080" w:type="dxa"/>
        <w:tblLayout w:type="fixed"/>
        <w:tblBorders>
          <w:top w:val="single" w:sz="5" w:color="D8E1E8"/>
          <w:left w:val="single" w:sz="5" w:color="D8E1E8"/>
          <w:bottom w:val="single" w:sz="5" w:color="D8E1E8"/>
          <w:right w:val="single" w:sz="5" w:color="D8E1E8"/>
          <w:insideH w:val="single" w:sz="4" w:color="D8E1E8"/>
          <w:insideV w:val="single" w:sz="4" w:color="D8E1E8"/>
        </w:tblBorders>
        <w:tblCellMar>
          <w:top w:w="80" w:type="dxa"/>
          <w:start w:w="95" w:type="dxa"/>
          <w:bottom w:w="80" w:type="dxa"/>
          <w:end w:w="95" w:type="dxa"/>
        </w:tblCellMar>
      </w:tblPr>
      <w:tblGrid>
        <w:gridCol w:w="1900"/>
        <w:gridCol w:w="2700"/>
        <w:gridCol w:w="5480"/>
      </w:tblGrid>
      <w:tr>
        <w:tc>
          <w:tcPr>
            <w:tcW w:w="1900" w:type="dxa"/>
            <w:shd w:fill="16324F"/>
            <w:vAlign w:val="center"/>
          </w:tcPr>
          <w:p>
            <w:pPr>
              <w:pStyle w:val="TableText"/>
            </w:pPr>
            <w:r>
              <w:rPr>
                <w:b/>
                <w:color w:val="FFFFFF"/>
              </w:rPr>
              <w:t xml:space="preserve">Port</w:t>
            </w:r>
          </w:p>
        </w:tc>
        <w:tc>
          <w:tcPr>
            <w:tcW w:w="2700" w:type="dxa"/>
            <w:shd w:fill="16324F"/>
            <w:vAlign w:val="center"/>
          </w:tcPr>
          <w:p>
            <w:pPr>
              <w:pStyle w:val="TableText"/>
            </w:pPr>
            <w:r>
              <w:rPr>
                <w:b/>
                <w:color w:val="FFFFFF"/>
              </w:rPr>
              <w:t xml:space="preserve">Service</w:t>
            </w:r>
          </w:p>
        </w:tc>
        <w:tc>
          <w:tcPr>
            <w:tcW w:w="5480" w:type="dxa"/>
            <w:shd w:fill="16324F"/>
            <w:vAlign w:val="center"/>
          </w:tcPr>
          <w:p>
            <w:pPr>
              <w:pStyle w:val="TableText"/>
            </w:pPr>
            <w:r>
              <w:rPr>
                <w:b/>
                <w:color w:val="FFFFFF"/>
              </w:rPr>
              <w:t xml:space="preserve">Firewall guidance</w:t>
            </w:r>
          </w:p>
        </w:tc>
      </w:tr>
      <w:tr>
        <w:tc>
          <w:tcPr>
            <w:tcW w:w="1900" w:type="dxa"/>
            <w:shd w:fill="F6F9FB"/>
            <w:vAlign w:val="center"/>
          </w:tcPr>
          <w:p>
            <w:pPr>
              <w:pStyle w:val="TableText"/>
            </w:pPr>
            <w:r>
              <w:rPr>
                <w:color w:val="243447"/>
              </w:rPr>
              <w:t xml:space="preserve">TCP 80</w:t>
            </w:r>
          </w:p>
        </w:tc>
        <w:tc>
          <w:tcPr>
            <w:tcW w:w="2700" w:type="dxa"/>
            <w:shd w:fill="F6F9FB"/>
            <w:vAlign w:val="center"/>
          </w:tcPr>
          <w:p>
            <w:pPr>
              <w:pStyle w:val="TableText"/>
            </w:pPr>
            <w:r>
              <w:rPr>
                <w:color w:val="243447"/>
              </w:rPr>
              <w:t xml:space="preserve">Caddy HTTP challenge/redirect</w:t>
            </w:r>
          </w:p>
        </w:tc>
        <w:tc>
          <w:tcPr>
            <w:tcW w:w="5480" w:type="dxa"/>
            <w:shd w:fill="F6F9FB"/>
            <w:vAlign w:val="center"/>
          </w:tcPr>
          <w:p>
            <w:pPr>
              <w:pStyle w:val="TableText"/>
            </w:pPr>
            <w:r>
              <w:rPr>
                <w:color w:val="243447"/>
              </w:rPr>
              <w:t xml:space="preserve">Public inbound required for ACME/redirect.</w:t>
            </w:r>
          </w:p>
        </w:tc>
      </w:tr>
      <w:tr>
        <w:tc>
          <w:tcPr>
            <w:tcW w:w="1900" w:type="dxa"/>
            <w:shd w:fill="FFFFFF"/>
            <w:vAlign w:val="center"/>
          </w:tcPr>
          <w:p>
            <w:pPr>
              <w:pStyle w:val="TableText"/>
            </w:pPr>
            <w:r>
              <w:rPr>
                <w:color w:val="243447"/>
              </w:rPr>
              <w:t xml:space="preserve">TCP 443</w:t>
            </w:r>
          </w:p>
        </w:tc>
        <w:tc>
          <w:tcPr>
            <w:tcW w:w="2700" w:type="dxa"/>
            <w:shd w:fill="FFFFFF"/>
            <w:vAlign w:val="center"/>
          </w:tcPr>
          <w:p>
            <w:pPr>
              <w:pStyle w:val="TableText"/>
            </w:pPr>
            <w:r>
              <w:rPr>
                <w:color w:val="243447"/>
              </w:rPr>
              <w:t xml:space="preserve">Caddy HTTPS</w:t>
            </w:r>
          </w:p>
        </w:tc>
        <w:tc>
          <w:tcPr>
            <w:tcW w:w="5480" w:type="dxa"/>
            <w:shd w:fill="FFFFFF"/>
            <w:vAlign w:val="center"/>
          </w:tcPr>
          <w:p>
            <w:pPr>
              <w:pStyle w:val="TableText"/>
            </w:pPr>
            <w:r>
              <w:rPr>
                <w:color w:val="243447"/>
              </w:rPr>
              <w:t xml:space="preserve">Public inbound required.</w:t>
            </w:r>
          </w:p>
        </w:tc>
      </w:tr>
      <w:tr>
        <w:tc>
          <w:tcPr>
            <w:tcW w:w="1900" w:type="dxa"/>
            <w:shd w:fill="F6F9FB"/>
            <w:vAlign w:val="center"/>
          </w:tcPr>
          <w:p>
            <w:pPr>
              <w:pStyle w:val="TableText"/>
            </w:pPr>
            <w:r>
              <w:rPr>
                <w:color w:val="243447"/>
              </w:rPr>
              <w:t xml:space="preserve">UDP 443</w:t>
            </w:r>
          </w:p>
        </w:tc>
        <w:tc>
          <w:tcPr>
            <w:tcW w:w="2700" w:type="dxa"/>
            <w:shd w:fill="F6F9FB"/>
            <w:vAlign w:val="center"/>
          </w:tcPr>
          <w:p>
            <w:pPr>
              <w:pStyle w:val="TableText"/>
            </w:pPr>
            <w:r>
              <w:rPr>
                <w:color w:val="243447"/>
              </w:rPr>
              <w:t xml:space="preserve">Caddy HTTP/3</w:t>
            </w:r>
          </w:p>
        </w:tc>
        <w:tc>
          <w:tcPr>
            <w:tcW w:w="5480" w:type="dxa"/>
            <w:shd w:fill="F6F9FB"/>
            <w:vAlign w:val="center"/>
          </w:tcPr>
          <w:p>
            <w:pPr>
              <w:pStyle w:val="TableText"/>
            </w:pPr>
            <w:r>
              <w:rPr>
                <w:color w:val="243447"/>
              </w:rPr>
              <w:t xml:space="preserve">Optional; can be blocked if unused.</w:t>
            </w:r>
          </w:p>
        </w:tc>
      </w:tr>
      <w:tr>
        <w:tc>
          <w:tcPr>
            <w:tcW w:w="1900" w:type="dxa"/>
            <w:shd w:fill="FFFFFF"/>
            <w:vAlign w:val="center"/>
          </w:tcPr>
          <w:p>
            <w:pPr>
              <w:pStyle w:val="TableText"/>
            </w:pPr>
            <w:r>
              <w:rPr>
                <w:color w:val="243447"/>
              </w:rPr>
              <w:t xml:space="preserve">TCP 80 internal</w:t>
            </w:r>
          </w:p>
        </w:tc>
        <w:tc>
          <w:tcPr>
            <w:tcW w:w="2700" w:type="dxa"/>
            <w:shd w:fill="FFFFFF"/>
            <w:vAlign w:val="center"/>
          </w:tcPr>
          <w:p>
            <w:pPr>
              <w:pStyle w:val="TableText"/>
            </w:pPr>
            <w:r>
              <w:rPr>
                <w:color w:val="243447"/>
              </w:rPr>
              <w:t xml:space="preserve">Nginx frontend</w:t>
            </w:r>
          </w:p>
        </w:tc>
        <w:tc>
          <w:tcPr>
            <w:tcW w:w="5480" w:type="dxa"/>
            <w:shd w:fill="FFFFFF"/>
            <w:vAlign w:val="center"/>
          </w:tcPr>
          <w:p>
            <w:pPr>
              <w:pStyle w:val="TableText"/>
            </w:pPr>
            <w:r>
              <w:rPr>
                <w:color w:val="243447"/>
              </w:rPr>
              <w:t xml:space="preserve">Compose proxy network only.</w:t>
            </w:r>
          </w:p>
        </w:tc>
      </w:tr>
      <w:tr>
        <w:tc>
          <w:tcPr>
            <w:tcW w:w="1900" w:type="dxa"/>
            <w:shd w:fill="F6F9FB"/>
            <w:vAlign w:val="center"/>
          </w:tcPr>
          <w:p>
            <w:pPr>
              <w:pStyle w:val="TableText"/>
            </w:pPr>
            <w:r>
              <w:rPr>
                <w:color w:val="243447"/>
              </w:rPr>
              <w:t xml:space="preserve">TCP 8000 internal</w:t>
            </w:r>
          </w:p>
        </w:tc>
        <w:tc>
          <w:tcPr>
            <w:tcW w:w="2700" w:type="dxa"/>
            <w:shd w:fill="F6F9FB"/>
            <w:vAlign w:val="center"/>
          </w:tcPr>
          <w:p>
            <w:pPr>
              <w:pStyle w:val="TableText"/>
            </w:pPr>
            <w:r>
              <w:rPr>
                <w:color w:val="243447"/>
              </w:rPr>
              <w:t xml:space="preserve">FastAPI</w:t>
            </w:r>
          </w:p>
        </w:tc>
        <w:tc>
          <w:tcPr>
            <w:tcW w:w="5480" w:type="dxa"/>
            <w:shd w:fill="F6F9FB"/>
            <w:vAlign w:val="center"/>
          </w:tcPr>
          <w:p>
            <w:pPr>
              <w:pStyle w:val="TableText"/>
            </w:pPr>
            <w:r>
              <w:rPr>
                <w:color w:val="243447"/>
              </w:rPr>
              <w:t xml:space="preserve">Compose networks only; not a host-published port.</w:t>
            </w:r>
          </w:p>
        </w:tc>
      </w:tr>
      <w:tr>
        <w:tc>
          <w:tcPr>
            <w:tcW w:w="1900" w:type="dxa"/>
            <w:shd w:fill="FFFFFF"/>
            <w:vAlign w:val="center"/>
          </w:tcPr>
          <w:p>
            <w:pPr>
              <w:pStyle w:val="TableText"/>
            </w:pPr>
            <w:r>
              <w:rPr>
                <w:color w:val="243447"/>
              </w:rPr>
              <w:t xml:space="preserve">TCP 5432 internal</w:t>
            </w:r>
          </w:p>
        </w:tc>
        <w:tc>
          <w:tcPr>
            <w:tcW w:w="2700" w:type="dxa"/>
            <w:shd w:fill="FFFFFF"/>
            <w:vAlign w:val="center"/>
          </w:tcPr>
          <w:p>
            <w:pPr>
              <w:pStyle w:val="TableText"/>
            </w:pPr>
            <w:r>
              <w:rPr>
                <w:color w:val="243447"/>
              </w:rPr>
              <w:t xml:space="preserve">PostgreSQL</w:t>
            </w:r>
          </w:p>
        </w:tc>
        <w:tc>
          <w:tcPr>
            <w:tcW w:w="5480" w:type="dxa"/>
            <w:shd w:fill="FFFFFF"/>
            <w:vAlign w:val="center"/>
          </w:tcPr>
          <w:p>
            <w:pPr>
              <w:pStyle w:val="TableText"/>
            </w:pPr>
            <w:r>
              <w:rPr>
                <w:color w:val="243447"/>
              </w:rPr>
              <w:t xml:space="preserve">Internal DB network only; do not publish publicly.</w:t>
            </w:r>
          </w:p>
        </w:tc>
      </w:tr>
      <w:tr>
        <w:tc>
          <w:tcPr>
            <w:tcW w:w="1900" w:type="dxa"/>
            <w:shd w:fill="F6F9FB"/>
            <w:vAlign w:val="center"/>
          </w:tcPr>
          <w:p>
            <w:pPr>
              <w:pStyle w:val="TableText"/>
            </w:pPr>
            <w:r>
              <w:rPr>
                <w:color w:val="243447"/>
              </w:rPr>
              <w:t xml:space="preserve">SMTP outbound</w:t>
            </w:r>
          </w:p>
        </w:tc>
        <w:tc>
          <w:tcPr>
            <w:tcW w:w="2700" w:type="dxa"/>
            <w:shd w:fill="F6F9FB"/>
            <w:vAlign w:val="center"/>
          </w:tcPr>
          <w:p>
            <w:pPr>
              <w:pStyle w:val="TableText"/>
            </w:pPr>
            <w:r>
              <w:rPr>
                <w:color w:val="243447"/>
              </w:rPr>
              <w:t xml:space="preserve">API SMTP submission</w:t>
            </w:r>
          </w:p>
        </w:tc>
        <w:tc>
          <w:tcPr>
            <w:tcW w:w="5480" w:type="dxa"/>
            <w:shd w:fill="F6F9FB"/>
            <w:vAlign w:val="center"/>
          </w:tcPr>
          <w:p>
            <w:pPr>
              <w:pStyle w:val="TableText"/>
            </w:pPr>
            <w:r>
              <w:rPr>
                <w:color w:val="243447"/>
              </w:rPr>
              <w:t xml:space="preserve">Allow provider-approved outbound submission port, often 587 or 465.</w:t>
            </w:r>
          </w:p>
        </w:tc>
      </w:tr>
    </w:tbl>
    <w:p>
      <w:pPr>
        <w:pStyle w:val="BodyText"/>
      </w:pPr>
    </w:p>
    <w:p>
      <w:pPr>
        <w:pStyle w:val="Heading1"/>
        <w:spacing w:before="250" w:after="110"/>
        <w:keepNext/>
      </w:pPr>
      <w:r>
        <w:t xml:space="preserve">13. Handover checklist and known limitations</w:t>
      </w:r>
    </w:p>
    <w:p>
      <w:pPr>
        <w:pStyle w:val="ListBullet"/>
      </w:pPr>
      <w:r>
        <w:t xml:space="preserve">•  ReadyRentalsOnline confirms ownership/access to source repository, VPS, DNS, SMTP provider, optional Twilio account, and off-site backup repository.</w:t>
      </w:r>
    </w:p>
    <w:p>
      <w:pPr>
        <w:pStyle w:val="ListBullet"/>
      </w:pPr>
      <w:r>
        <w:t xml:space="preserve">•  All domains, .env.production values, owner credentials, and company PDF branding are confirmed; secrets are in a password manager.</w:t>
      </w:r>
    </w:p>
    <w:p>
      <w:pPr>
        <w:pStyle w:val="ListBullet"/>
      </w:pPr>
      <w:r>
        <w:t xml:space="preserve">•  Owner account is registered; office Admin accounts are individually assigned and verified.</w:t>
      </w:r>
    </w:p>
    <w:p>
      <w:pPr>
        <w:pStyle w:val="ListBullet"/>
      </w:pPr>
      <w:r>
        <w:t xml:space="preserve">•  Production stack health, TLS, work-order lifecycle, PDF download, SMTP email, and optional SMS have been checked.</w:t>
      </w:r>
    </w:p>
    <w:p>
      <w:pPr>
        <w:pStyle w:val="ListBullet"/>
      </w:pPr>
      <w:r>
        <w:t xml:space="preserve">•  Daily systemd backup timer is installed/enabled; operator reviewed service status and checksum output.</w:t>
      </w:r>
    </w:p>
    <w:p>
      <w:pPr>
        <w:pStyle w:val="ListBullet"/>
      </w:pPr>
      <w:r>
        <w:t xml:space="preserve">•  Encrypted off-site Restic is configured and an isolated restore drill has passed.</w:t>
      </w:r>
    </w:p>
    <w:p>
      <w:pPr>
        <w:pStyle w:val="ListBullet"/>
      </w:pPr>
      <w:r>
        <w:t xml:space="preserve">•  Client and operator agree retention/deletion, disk alerts, patch cadence, restore owner, incident path, RPO, and RTO.</w:t>
      </w:r>
    </w:p>
    <w:tbl>
      <w:tblPr>
        <w:tblW w:w="10080" w:type="dxa"/>
        <w:tblLayout w:type="fixed"/>
        <w:tblBorders>
          <w:top w:val="single" w:sz="5" w:color="D8E1E8"/>
          <w:left w:val="single" w:sz="5" w:color="D8E1E8"/>
          <w:bottom w:val="single" w:sz="5" w:color="D8E1E8"/>
          <w:right w:val="single" w:sz="5" w:color="D8E1E8"/>
          <w:insideH w:val="single" w:sz="4" w:color="D8E1E8"/>
          <w:insideV w:val="single" w:sz="4" w:color="D8E1E8"/>
        </w:tblBorders>
        <w:tblCellMar>
          <w:top w:w="80" w:type="dxa"/>
          <w:start w:w="95" w:type="dxa"/>
          <w:bottom w:w="80" w:type="dxa"/>
          <w:end w:w="95" w:type="dxa"/>
        </w:tblCellMar>
      </w:tblPr>
      <w:tblGrid>
        <w:gridCol w:w="2450"/>
        <w:gridCol w:w="7630"/>
      </w:tblGrid>
      <w:tr>
        <w:tc>
          <w:tcPr>
            <w:tcW w:w="2450" w:type="dxa"/>
            <w:shd w:fill="16324F"/>
            <w:vAlign w:val="center"/>
          </w:tcPr>
          <w:p>
            <w:pPr>
              <w:pStyle w:val="TableText"/>
            </w:pPr>
            <w:r>
              <w:rPr>
                <w:b/>
                <w:color w:val="FFFFFF"/>
              </w:rPr>
              <w:t xml:space="preserve">Known limit</w:t>
            </w:r>
          </w:p>
        </w:tc>
        <w:tc>
          <w:tcPr>
            <w:tcW w:w="7630" w:type="dxa"/>
            <w:shd w:fill="16324F"/>
            <w:vAlign w:val="center"/>
          </w:tcPr>
          <w:p>
            <w:pPr>
              <w:pStyle w:val="TableText"/>
            </w:pPr>
            <w:r>
              <w:rPr>
                <w:b/>
                <w:color w:val="FFFFFF"/>
              </w:rPr>
              <w:t xml:space="preserve">Current state / decision for the client</w:t>
            </w:r>
          </w:p>
        </w:tc>
      </w:tr>
      <w:tr>
        <w:tc>
          <w:tcPr>
            <w:tcW w:w="2450" w:type="dxa"/>
            <w:shd w:fill="F6F9FB"/>
            <w:vAlign w:val="center"/>
          </w:tcPr>
          <w:p>
            <w:pPr>
              <w:pStyle w:val="TableText"/>
            </w:pPr>
            <w:r>
              <w:rPr>
                <w:color w:val="243447"/>
              </w:rPr>
              <w:t xml:space="preserve">Worker/file privacy</w:t>
            </w:r>
          </w:p>
        </w:tc>
        <w:tc>
          <w:tcPr>
            <w:tcW w:w="7630" w:type="dxa"/>
            <w:shd w:fill="F6F9FB"/>
            <w:vAlign w:val="center"/>
          </w:tcPr>
          <w:p>
            <w:pPr>
              <w:pStyle w:val="TableText"/>
            </w:pPr>
            <w:r>
              <w:rPr>
                <w:color w:val="243447"/>
              </w:rPr>
              <w:t xml:space="preserve">Worker URL is a bearer token; local /files is not protected by office JWT. Confirm acceptable exposure or plan private file authorization.</w:t>
            </w:r>
          </w:p>
        </w:tc>
      </w:tr>
      <w:tr>
        <w:tc>
          <w:tcPr>
            <w:tcW w:w="2450" w:type="dxa"/>
            <w:shd w:fill="FFFFFF"/>
            <w:vAlign w:val="center"/>
          </w:tcPr>
          <w:p>
            <w:pPr>
              <w:pStyle w:val="TableText"/>
            </w:pPr>
            <w:r>
              <w:rPr>
                <w:color w:val="243447"/>
              </w:rPr>
              <w:t xml:space="preserve">Retention</w:t>
            </w:r>
          </w:p>
        </w:tc>
        <w:tc>
          <w:tcPr>
            <w:tcW w:w="7630" w:type="dxa"/>
            <w:shd w:fill="FFFFFF"/>
            <w:vAlign w:val="center"/>
          </w:tcPr>
          <w:p>
            <w:pPr>
              <w:pStyle w:val="TableText"/>
            </w:pPr>
            <w:r>
              <w:rPr>
                <w:color w:val="243447"/>
              </w:rPr>
              <w:t xml:space="preserve">No automatic work-order, audit, or upload age cleanup. Owner manually deletes work orders; define business/legal policy.</w:t>
            </w:r>
          </w:p>
        </w:tc>
      </w:tr>
      <w:tr>
        <w:tc>
          <w:tcPr>
            <w:tcW w:w="2450" w:type="dxa"/>
            <w:shd w:fill="F6F9FB"/>
            <w:vAlign w:val="center"/>
          </w:tcPr>
          <w:p>
            <w:pPr>
              <w:pStyle w:val="TableText"/>
            </w:pPr>
            <w:r>
              <w:rPr>
                <w:color w:val="243447"/>
              </w:rPr>
              <w:t xml:space="preserve">SMS delivery evidence</w:t>
            </w:r>
          </w:p>
        </w:tc>
        <w:tc>
          <w:tcPr>
            <w:tcW w:w="7630" w:type="dxa"/>
            <w:shd w:fill="F6F9FB"/>
            <w:vAlign w:val="center"/>
          </w:tcPr>
          <w:p>
            <w:pPr>
              <w:pStyle w:val="TableText"/>
            </w:pPr>
            <w:r>
              <w:rPr>
                <w:color w:val="243447"/>
              </w:rPr>
              <w:t xml:space="preserve">Optional Twilio call has no persisted provider SID or delivery callback. Initial acceptance does not prove delivery.</w:t>
            </w:r>
          </w:p>
        </w:tc>
      </w:tr>
      <w:tr>
        <w:tc>
          <w:tcPr>
            <w:tcW w:w="2450" w:type="dxa"/>
            <w:shd w:fill="FFFFFF"/>
            <w:vAlign w:val="center"/>
          </w:tcPr>
          <w:p>
            <w:pPr>
              <w:pStyle w:val="TableText"/>
            </w:pPr>
            <w:r>
              <w:rPr>
                <w:color w:val="243447"/>
              </w:rPr>
              <w:t xml:space="preserve">Photo storage</w:t>
            </w:r>
          </w:p>
        </w:tc>
        <w:tc>
          <w:tcPr>
            <w:tcW w:w="7630" w:type="dxa"/>
            <w:shd w:fill="FFFFFF"/>
            <w:vAlign w:val="center"/>
          </w:tcPr>
          <w:p>
            <w:pPr>
              <w:pStyle w:val="TableText"/>
            </w:pPr>
            <w:r>
              <w:rPr>
                <w:color w:val="243447"/>
              </w:rPr>
              <w:t xml:space="preserve">Original uploads retained, max 10 MB per photo from template; no image resizing or total volume quota.</w:t>
            </w:r>
          </w:p>
        </w:tc>
      </w:tr>
      <w:tr>
        <w:tc>
          <w:tcPr>
            <w:tcW w:w="2450" w:type="dxa"/>
            <w:shd w:fill="F6F9FB"/>
            <w:vAlign w:val="center"/>
          </w:tcPr>
          <w:p>
            <w:pPr>
              <w:pStyle w:val="TableText"/>
            </w:pPr>
            <w:r>
              <w:rPr>
                <w:color w:val="243447"/>
              </w:rPr>
              <w:t xml:space="preserve">Single VPS</w:t>
            </w:r>
          </w:p>
        </w:tc>
        <w:tc>
          <w:tcPr>
            <w:tcW w:w="7630" w:type="dxa"/>
            <w:shd w:fill="F6F9FB"/>
            <w:vAlign w:val="center"/>
          </w:tcPr>
          <w:p>
            <w:pPr>
              <w:pStyle w:val="TableText"/>
            </w:pPr>
            <w:r>
              <w:rPr>
                <w:color w:val="243447"/>
              </w:rPr>
              <w:t xml:space="preserve">No high availability, managed database, or automatic failover. Agree maintenance and recovery plan.</w:t>
            </w:r>
          </w:p>
        </w:tc>
      </w:tr>
      <w:tr>
        <w:tc>
          <w:tcPr>
            <w:tcW w:w="2450" w:type="dxa"/>
            <w:shd w:fill="FFFFFF"/>
            <w:vAlign w:val="center"/>
          </w:tcPr>
          <w:p>
            <w:pPr>
              <w:pStyle w:val="TableText"/>
            </w:pPr>
            <w:r>
              <w:rPr>
                <w:color w:val="243447"/>
              </w:rPr>
              <w:t xml:space="preserve">Host hardening</w:t>
            </w:r>
          </w:p>
        </w:tc>
        <w:tc>
          <w:tcPr>
            <w:tcW w:w="7630" w:type="dxa"/>
            <w:shd w:fill="FFFFFF"/>
            <w:vAlign w:val="center"/>
          </w:tcPr>
          <w:p>
            <w:pPr>
              <w:pStyle w:val="TableText"/>
            </w:pPr>
            <w:r>
              <w:rPr>
                <w:color w:val="243447"/>
              </w:rPr>
              <w:t xml:space="preserve">No Compose resource limits or Docker log-size caps. Add host-level monitoring, alerts, and log rotation.</w:t>
            </w:r>
          </w:p>
        </w:tc>
      </w:tr>
      <w:tr>
        <w:tc>
          <w:tcPr>
            <w:tcW w:w="2450" w:type="dxa"/>
            <w:shd w:fill="F6F9FB"/>
            <w:vAlign w:val="center"/>
          </w:tcPr>
          <w:p>
            <w:pPr>
              <w:pStyle w:val="TableText"/>
            </w:pPr>
            <w:r>
              <w:rPr>
                <w:color w:val="243447"/>
              </w:rPr>
              <w:t xml:space="preserve">Workflow states</w:t>
            </w:r>
          </w:p>
        </w:tc>
        <w:tc>
          <w:tcPr>
            <w:tcW w:w="7630" w:type="dxa"/>
            <w:shd w:fill="F6F9FB"/>
            <w:vAlign w:val="center"/>
          </w:tcPr>
          <w:p>
            <w:pPr>
              <w:pStyle w:val="TableText"/>
            </w:pPr>
            <w:r>
              <w:rPr>
                <w:color w:val="243447"/>
              </w:rPr>
              <w:t xml:space="preserve">Four states only; no distinct incomplete-return workflow. Confirm this fits field operations.</w:t>
            </w:r>
          </w:p>
        </w:tc>
      </w:tr>
    </w:tbl>
    <w:p>
      <w:pPr>
        <w:pStyle w:val="BodyText"/>
      </w:pPr>
    </w:p>
    <w:p>
      <w:pPr>
        <w:pStyle w:val="Heading1"/>
        <w:spacing w:before="250" w:after="110"/>
        <w:keepNext/>
      </w:pPr>
      <w:r>
        <w:t xml:space="preserve">Appendix A. Backup operations quick reference</w:t>
      </w:r>
    </w:p>
    <w:tbl>
      <w:tblPr>
        <w:tblW w:w="10080" w:type="dxa"/>
        <w:tblLayout w:type="fixed"/>
        <w:tblBorders>
          <w:top w:val="single" w:sz="5" w:color="D8E1E8"/>
          <w:left w:val="single" w:sz="5" w:color="D8E1E8"/>
          <w:bottom w:val="single" w:sz="5" w:color="D8E1E8"/>
          <w:right w:val="single" w:sz="5" w:color="D8E1E8"/>
          <w:insideH w:val="single" w:sz="4" w:color="D8E1E8"/>
          <w:insideV w:val="single" w:sz="4" w:color="D8E1E8"/>
        </w:tblBorders>
        <w:tblCellMar>
          <w:top w:w="80" w:type="dxa"/>
          <w:start w:w="95" w:type="dxa"/>
          <w:bottom w:w="80" w:type="dxa"/>
          <w:end w:w="95" w:type="dxa"/>
        </w:tblCellMar>
      </w:tblPr>
      <w:tblGrid>
        <w:gridCol w:w="3000"/>
        <w:gridCol w:w="7080"/>
      </w:tblGrid>
      <w:tr>
        <w:tc>
          <w:tcPr>
            <w:tcW w:w="3000" w:type="dxa"/>
            <w:shd w:fill="16324F"/>
            <w:vAlign w:val="center"/>
          </w:tcPr>
          <w:p>
            <w:pPr>
              <w:pStyle w:val="TableText"/>
            </w:pPr>
            <w:r>
              <w:rPr>
                <w:b/>
                <w:color w:val="FFFFFF"/>
              </w:rPr>
              <w:t xml:space="preserve">Action</w:t>
            </w:r>
          </w:p>
        </w:tc>
        <w:tc>
          <w:tcPr>
            <w:tcW w:w="7080" w:type="dxa"/>
            <w:shd w:fill="16324F"/>
            <w:vAlign w:val="center"/>
          </w:tcPr>
          <w:p>
            <w:pPr>
              <w:pStyle w:val="TableText"/>
            </w:pPr>
            <w:r>
              <w:rPr>
                <w:b/>
                <w:color w:val="FFFFFF"/>
              </w:rPr>
              <w:t xml:space="preserve">Command / check</w:t>
            </w:r>
          </w:p>
        </w:tc>
      </w:tr>
      <w:tr>
        <w:tc>
          <w:tcPr>
            <w:tcW w:w="3000" w:type="dxa"/>
            <w:shd w:fill="F6F9FB"/>
            <w:vAlign w:val="center"/>
          </w:tcPr>
          <w:p>
            <w:pPr>
              <w:pStyle w:val="TableText"/>
            </w:pPr>
            <w:r>
              <w:rPr>
                <w:color w:val="243447"/>
              </w:rPr>
              <w:t xml:space="preserve">Run backup manually</w:t>
            </w:r>
          </w:p>
        </w:tc>
        <w:tc>
          <w:tcPr>
            <w:tcW w:w="7080" w:type="dxa"/>
            <w:shd w:fill="F6F9FB"/>
            <w:vAlign w:val="center"/>
          </w:tcPr>
          <w:p>
            <w:pPr>
              <w:pStyle w:val="TableText"/>
            </w:pPr>
            <w:r>
              <w:rPr>
                <w:color w:val="243447"/>
              </w:rPr>
              <w:t xml:space="preserve">cd /opt/readyrentals &amp;&amp; sudo ops/backup-production.sh</w:t>
            </w:r>
          </w:p>
        </w:tc>
      </w:tr>
      <w:tr>
        <w:tc>
          <w:tcPr>
            <w:tcW w:w="3000" w:type="dxa"/>
            <w:shd w:fill="FFFFFF"/>
            <w:vAlign w:val="center"/>
          </w:tcPr>
          <w:p>
            <w:pPr>
              <w:pStyle w:val="TableText"/>
            </w:pPr>
            <w:r>
              <w:rPr>
                <w:color w:val="243447"/>
              </w:rPr>
              <w:t xml:space="preserve">Timer state</w:t>
            </w:r>
          </w:p>
        </w:tc>
        <w:tc>
          <w:tcPr>
            <w:tcW w:w="7080" w:type="dxa"/>
            <w:shd w:fill="FFFFFF"/>
            <w:vAlign w:val="center"/>
          </w:tcPr>
          <w:p>
            <w:pPr>
              <w:pStyle w:val="TableText"/>
            </w:pPr>
            <w:r>
              <w:rPr>
                <w:color w:val="243447"/>
              </w:rPr>
              <w:t xml:space="preserve">systemctl status readyrentals-backup.timer</w:t>
            </w:r>
          </w:p>
        </w:tc>
      </w:tr>
      <w:tr>
        <w:tc>
          <w:tcPr>
            <w:tcW w:w="3000" w:type="dxa"/>
            <w:shd w:fill="F6F9FB"/>
            <w:vAlign w:val="center"/>
          </w:tcPr>
          <w:p>
            <w:pPr>
              <w:pStyle w:val="TableText"/>
            </w:pPr>
            <w:r>
              <w:rPr>
                <w:color w:val="243447"/>
              </w:rPr>
              <w:t xml:space="preserve">Last job output</w:t>
            </w:r>
          </w:p>
        </w:tc>
        <w:tc>
          <w:tcPr>
            <w:tcW w:w="7080" w:type="dxa"/>
            <w:shd w:fill="F6F9FB"/>
            <w:vAlign w:val="center"/>
          </w:tcPr>
          <w:p>
            <w:pPr>
              <w:pStyle w:val="TableText"/>
            </w:pPr>
            <w:r>
              <w:rPr>
                <w:color w:val="243447"/>
              </w:rPr>
              <w:t xml:space="preserve">systemctl status readyrentals-backup.service; journalctl -u readyrentals-backup.service</w:t>
            </w:r>
          </w:p>
        </w:tc>
      </w:tr>
      <w:tr>
        <w:tc>
          <w:tcPr>
            <w:tcW w:w="3000" w:type="dxa"/>
            <w:shd w:fill="FFFFFF"/>
            <w:vAlign w:val="center"/>
          </w:tcPr>
          <w:p>
            <w:pPr>
              <w:pStyle w:val="TableText"/>
            </w:pPr>
            <w:r>
              <w:rPr>
                <w:color w:val="243447"/>
              </w:rPr>
              <w:t xml:space="preserve">Next scheduled run</w:t>
            </w:r>
          </w:p>
        </w:tc>
        <w:tc>
          <w:tcPr>
            <w:tcW w:w="7080" w:type="dxa"/>
            <w:shd w:fill="FFFFFF"/>
            <w:vAlign w:val="center"/>
          </w:tcPr>
          <w:p>
            <w:pPr>
              <w:pStyle w:val="TableText"/>
            </w:pPr>
            <w:r>
              <w:rPr>
                <w:color w:val="243447"/>
              </w:rPr>
              <w:t xml:space="preserve">systemctl list-timers readyrentals-backup.timer</w:t>
            </w:r>
          </w:p>
        </w:tc>
      </w:tr>
      <w:tr>
        <w:tc>
          <w:tcPr>
            <w:tcW w:w="3000" w:type="dxa"/>
            <w:shd w:fill="F6F9FB"/>
            <w:vAlign w:val="center"/>
          </w:tcPr>
          <w:p>
            <w:pPr>
              <w:pStyle w:val="TableText"/>
            </w:pPr>
            <w:r>
              <w:rPr>
                <w:color w:val="243447"/>
              </w:rPr>
              <w:t xml:space="preserve">Check a local archive</w:t>
            </w:r>
          </w:p>
        </w:tc>
        <w:tc>
          <w:tcPr>
            <w:tcW w:w="7080" w:type="dxa"/>
            <w:shd w:fill="F6F9FB"/>
            <w:vAlign w:val="center"/>
          </w:tcPr>
          <w:p>
            <w:pPr>
              <w:pStyle w:val="TableText"/>
            </w:pPr>
            <w:r>
              <w:rPr>
                <w:color w:val="243447"/>
              </w:rPr>
              <w:t xml:space="preserve">cd /opt/readyrentals/backups/&lt;UTC timestamp&gt; &amp;&amp; sha256sum -c SHA256SUMS</w:t>
            </w:r>
          </w:p>
        </w:tc>
      </w:tr>
      <w:tr>
        <w:tc>
          <w:tcPr>
            <w:tcW w:w="3000" w:type="dxa"/>
            <w:shd w:fill="FFFFFF"/>
            <w:vAlign w:val="center"/>
          </w:tcPr>
          <w:p>
            <w:pPr>
              <w:pStyle w:val="TableText"/>
            </w:pPr>
            <w:r>
              <w:rPr>
                <w:color w:val="243447"/>
              </w:rPr>
              <w:t xml:space="preserve">Inspect volumes</w:t>
            </w:r>
          </w:p>
        </w:tc>
        <w:tc>
          <w:tcPr>
            <w:tcW w:w="7080" w:type="dxa"/>
            <w:shd w:fill="FFFFFF"/>
            <w:vAlign w:val="center"/>
          </w:tcPr>
          <w:p>
            <w:pPr>
              <w:pStyle w:val="TableText"/>
            </w:pPr>
            <w:r>
              <w:rPr>
                <w:color w:val="243447"/>
              </w:rPr>
              <w:t xml:space="preserve">docker volume ls; confirm the project volume names before any recovery operation.</w:t>
            </w:r>
          </w:p>
        </w:tc>
      </w:tr>
      <w:tr>
        <w:tc>
          <w:tcPr>
            <w:tcW w:w="3000" w:type="dxa"/>
            <w:shd w:fill="F6F9FB"/>
            <w:vAlign w:val="center"/>
          </w:tcPr>
          <w:p>
            <w:pPr>
              <w:pStyle w:val="TableText"/>
            </w:pPr>
            <w:r>
              <w:rPr>
                <w:color w:val="243447"/>
              </w:rPr>
              <w:t xml:space="preserve">Health check</w:t>
            </w:r>
          </w:p>
        </w:tc>
        <w:tc>
          <w:tcPr>
            <w:tcW w:w="7080" w:type="dxa"/>
            <w:shd w:fill="F6F9FB"/>
            <w:vAlign w:val="center"/>
          </w:tcPr>
          <w:p>
            <w:pPr>
              <w:pStyle w:val="TableText"/>
            </w:pPr>
            <w:r>
              <w:rPr>
                <w:color w:val="243447"/>
              </w:rPr>
              <w:t xml:space="preserve">curl -fsS https://&lt;API_DOMAIN&gt;/health</w:t>
            </w:r>
          </w:p>
        </w:tc>
      </w:tr>
    </w:tbl>
    <w:p>
      <w:pPr>
        <w:pStyle w:val="BodyText"/>
      </w:pPr>
    </w:p>
    <w:p>
      <w:pPr>
        <w:pStyle w:val="Heading1"/>
        <w:spacing w:before="250" w:after="110"/>
        <w:keepNext/>
      </w:pPr>
      <w:r>
        <w:t xml:space="preserve">Appendix B. Glossary</w:t>
      </w:r>
    </w:p>
    <w:tbl>
      <w:tblPr>
        <w:tblW w:w="10080" w:type="dxa"/>
        <w:tblLayout w:type="fixed"/>
        <w:tblBorders>
          <w:top w:val="single" w:sz="5" w:color="D8E1E8"/>
          <w:left w:val="single" w:sz="5" w:color="D8E1E8"/>
          <w:bottom w:val="single" w:sz="5" w:color="D8E1E8"/>
          <w:right w:val="single" w:sz="5" w:color="D8E1E8"/>
          <w:insideH w:val="single" w:sz="4" w:color="D8E1E8"/>
          <w:insideV w:val="single" w:sz="4" w:color="D8E1E8"/>
        </w:tblBorders>
        <w:tblCellMar>
          <w:top w:w="80" w:type="dxa"/>
          <w:start w:w="95" w:type="dxa"/>
          <w:bottom w:w="80" w:type="dxa"/>
          <w:end w:w="95" w:type="dxa"/>
        </w:tblCellMar>
      </w:tblPr>
      <w:tblGrid>
        <w:gridCol w:w="2400"/>
        <w:gridCol w:w="7680"/>
      </w:tblGrid>
      <w:tr>
        <w:tc>
          <w:tcPr>
            <w:tcW w:w="2400" w:type="dxa"/>
            <w:shd w:fill="16324F"/>
            <w:vAlign w:val="center"/>
          </w:tcPr>
          <w:p>
            <w:pPr>
              <w:pStyle w:val="TableText"/>
            </w:pPr>
            <w:r>
              <w:rPr>
                <w:b/>
                <w:color w:val="FFFFFF"/>
              </w:rPr>
              <w:t xml:space="preserve">Term</w:t>
            </w:r>
          </w:p>
        </w:tc>
        <w:tc>
          <w:tcPr>
            <w:tcW w:w="7680" w:type="dxa"/>
            <w:shd w:fill="16324F"/>
            <w:vAlign w:val="center"/>
          </w:tcPr>
          <w:p>
            <w:pPr>
              <w:pStyle w:val="TableText"/>
            </w:pPr>
            <w:r>
              <w:rPr>
                <w:b/>
                <w:color w:val="FFFFFF"/>
              </w:rPr>
              <w:t xml:space="preserve">Meaning</w:t>
            </w:r>
          </w:p>
        </w:tc>
      </w:tr>
      <w:tr>
        <w:tc>
          <w:tcPr>
            <w:tcW w:w="2400" w:type="dxa"/>
            <w:shd w:fill="F6F9FB"/>
            <w:vAlign w:val="center"/>
          </w:tcPr>
          <w:p>
            <w:pPr>
              <w:pStyle w:val="TableText"/>
            </w:pPr>
            <w:r>
              <w:rPr>
                <w:color w:val="243447"/>
              </w:rPr>
              <w:t xml:space="preserve">ACME</w:t>
            </w:r>
          </w:p>
        </w:tc>
        <w:tc>
          <w:tcPr>
            <w:tcW w:w="7680" w:type="dxa"/>
            <w:shd w:fill="F6F9FB"/>
            <w:vAlign w:val="center"/>
          </w:tcPr>
          <w:p>
            <w:pPr>
              <w:pStyle w:val="TableText"/>
            </w:pPr>
            <w:r>
              <w:rPr>
                <w:color w:val="243447"/>
              </w:rPr>
              <w:t xml:space="preserve">Protocol Caddy uses to obtain and renew TLS certificates.</w:t>
            </w:r>
          </w:p>
        </w:tc>
      </w:tr>
      <w:tr>
        <w:tc>
          <w:tcPr>
            <w:tcW w:w="2400" w:type="dxa"/>
            <w:shd w:fill="FFFFFF"/>
            <w:vAlign w:val="center"/>
          </w:tcPr>
          <w:p>
            <w:pPr>
              <w:pStyle w:val="TableText"/>
            </w:pPr>
            <w:r>
              <w:rPr>
                <w:color w:val="243447"/>
              </w:rPr>
              <w:t xml:space="preserve">Bearer token</w:t>
            </w:r>
          </w:p>
        </w:tc>
        <w:tc>
          <w:tcPr>
            <w:tcW w:w="7680" w:type="dxa"/>
            <w:shd w:fill="FFFFFF"/>
            <w:vAlign w:val="center"/>
          </w:tcPr>
          <w:p>
            <w:pPr>
              <w:pStyle w:val="TableText"/>
            </w:pPr>
            <w:r>
              <w:rPr>
                <w:color w:val="243447"/>
              </w:rPr>
              <w:t xml:space="preserve">Secret token whose possession grants access to an API or worker flow.</w:t>
            </w:r>
          </w:p>
        </w:tc>
      </w:tr>
      <w:tr>
        <w:tc>
          <w:tcPr>
            <w:tcW w:w="2400" w:type="dxa"/>
            <w:shd w:fill="F6F9FB"/>
            <w:vAlign w:val="center"/>
          </w:tcPr>
          <w:p>
            <w:pPr>
              <w:pStyle w:val="TableText"/>
            </w:pPr>
            <w:r>
              <w:rPr>
                <w:color w:val="243447"/>
              </w:rPr>
              <w:t xml:space="preserve">Docker named volume</w:t>
            </w:r>
          </w:p>
        </w:tc>
        <w:tc>
          <w:tcPr>
            <w:tcW w:w="7680" w:type="dxa"/>
            <w:shd w:fill="F6F9FB"/>
            <w:vAlign w:val="center"/>
          </w:tcPr>
          <w:p>
            <w:pPr>
              <w:pStyle w:val="TableText"/>
            </w:pPr>
            <w:r>
              <w:rPr>
                <w:color w:val="243447"/>
              </w:rPr>
              <w:t xml:space="preserve">Docker-managed persistent storage surviving container replacement.</w:t>
            </w:r>
          </w:p>
        </w:tc>
      </w:tr>
      <w:tr>
        <w:tc>
          <w:tcPr>
            <w:tcW w:w="2400" w:type="dxa"/>
            <w:shd w:fill="FFFFFF"/>
            <w:vAlign w:val="center"/>
          </w:tcPr>
          <w:p>
            <w:pPr>
              <w:pStyle w:val="TableText"/>
            </w:pPr>
            <w:r>
              <w:rPr>
                <w:color w:val="243447"/>
              </w:rPr>
              <w:t xml:space="preserve">JWT</w:t>
            </w:r>
          </w:p>
        </w:tc>
        <w:tc>
          <w:tcPr>
            <w:tcW w:w="7680" w:type="dxa"/>
            <w:shd w:fill="FFFFFF"/>
            <w:vAlign w:val="center"/>
          </w:tcPr>
          <w:p>
            <w:pPr>
              <w:pStyle w:val="TableText"/>
            </w:pPr>
            <w:r>
              <w:rPr>
                <w:color w:val="243447"/>
              </w:rPr>
              <w:t xml:space="preserve">Signed token used by office accounts to authenticate API requests.</w:t>
            </w:r>
          </w:p>
        </w:tc>
      </w:tr>
      <w:tr>
        <w:tc>
          <w:tcPr>
            <w:tcW w:w="2400" w:type="dxa"/>
            <w:shd w:fill="F6F9FB"/>
            <w:vAlign w:val="center"/>
          </w:tcPr>
          <w:p>
            <w:pPr>
              <w:pStyle w:val="TableText"/>
            </w:pPr>
            <w:r>
              <w:rPr>
                <w:color w:val="243447"/>
              </w:rPr>
              <w:t xml:space="preserve">RPO</w:t>
            </w:r>
          </w:p>
        </w:tc>
        <w:tc>
          <w:tcPr>
            <w:tcW w:w="7680" w:type="dxa"/>
            <w:shd w:fill="F6F9FB"/>
            <w:vAlign w:val="center"/>
          </w:tcPr>
          <w:p>
            <w:pPr>
              <w:pStyle w:val="TableText"/>
            </w:pPr>
            <w:r>
              <w:rPr>
                <w:color w:val="243447"/>
              </w:rPr>
              <w:t xml:space="preserve">Recovery Point Objective: acceptable data-loss window measured in time.</w:t>
            </w:r>
          </w:p>
        </w:tc>
      </w:tr>
      <w:tr>
        <w:tc>
          <w:tcPr>
            <w:tcW w:w="2400" w:type="dxa"/>
            <w:shd w:fill="FFFFFF"/>
            <w:vAlign w:val="center"/>
          </w:tcPr>
          <w:p>
            <w:pPr>
              <w:pStyle w:val="TableText"/>
            </w:pPr>
            <w:r>
              <w:rPr>
                <w:color w:val="243447"/>
              </w:rPr>
              <w:t xml:space="preserve">RTO</w:t>
            </w:r>
          </w:p>
        </w:tc>
        <w:tc>
          <w:tcPr>
            <w:tcW w:w="7680" w:type="dxa"/>
            <w:shd w:fill="FFFFFF"/>
            <w:vAlign w:val="center"/>
          </w:tcPr>
          <w:p>
            <w:pPr>
              <w:pStyle w:val="TableText"/>
            </w:pPr>
            <w:r>
              <w:rPr>
                <w:color w:val="243447"/>
              </w:rPr>
              <w:t xml:space="preserve">Recovery Time Objective: target time to restore service after disruption.</w:t>
            </w:r>
          </w:p>
        </w:tc>
      </w:tr>
      <w:tr>
        <w:tc>
          <w:tcPr>
            <w:tcW w:w="2400" w:type="dxa"/>
            <w:shd w:fill="F6F9FB"/>
            <w:vAlign w:val="center"/>
          </w:tcPr>
          <w:p>
            <w:pPr>
              <w:pStyle w:val="TableText"/>
            </w:pPr>
            <w:r>
              <w:rPr>
                <w:color w:val="243447"/>
              </w:rPr>
              <w:t xml:space="preserve">Restic</w:t>
            </w:r>
          </w:p>
        </w:tc>
        <w:tc>
          <w:tcPr>
            <w:tcW w:w="7680" w:type="dxa"/>
            <w:shd w:fill="F6F9FB"/>
            <w:vAlign w:val="center"/>
          </w:tcPr>
          <w:p>
            <w:pPr>
              <w:pStyle w:val="TableText"/>
            </w:pPr>
            <w:r>
              <w:rPr>
                <w:color w:val="243447"/>
              </w:rPr>
              <w:t xml:space="preserve">Optional backup client that encrypts and sends archives to a configured repository.</w:t>
            </w:r>
          </w:p>
        </w:tc>
      </w:tr>
      <w:tr>
        <w:tc>
          <w:tcPr>
            <w:tcW w:w="2400" w:type="dxa"/>
            <w:shd w:fill="FFFFFF"/>
            <w:vAlign w:val="center"/>
          </w:tcPr>
          <w:p>
            <w:pPr>
              <w:pStyle w:val="TableText"/>
            </w:pPr>
            <w:r>
              <w:rPr>
                <w:color w:val="243447"/>
              </w:rPr>
              <w:t xml:space="preserve">SMTP</w:t>
            </w:r>
          </w:p>
        </w:tc>
        <w:tc>
          <w:tcPr>
            <w:tcW w:w="7680" w:type="dxa"/>
            <w:shd w:fill="FFFFFF"/>
            <w:vAlign w:val="center"/>
          </w:tcPr>
          <w:p>
            <w:pPr>
              <w:pStyle w:val="TableText"/>
            </w:pPr>
            <w:r>
              <w:rPr>
                <w:color w:val="243447"/>
              </w:rPr>
              <w:t xml:space="preserve">Protocol/API used by the application to submit outbound email.</w:t>
            </w:r>
          </w:p>
        </w:tc>
      </w:tr>
    </w:tbl>
    <w:p>
      <w:pPr>
        <w:pStyle w:val="BodyText"/>
      </w:pPr>
    </w:p>
    <w:p>
      <w:pPr>
        <w:pStyle w:val="Heading1"/>
        <w:spacing w:before="250" w:after="110"/>
        <w:keepNext/>
      </w:pPr>
      <w:r>
        <w:t xml:space="preserve">Appendix C. Change history</w:t>
      </w:r>
    </w:p>
    <w:tbl>
      <w:tblPr>
        <w:tblW w:w="10080" w:type="dxa"/>
        <w:tblLayout w:type="fixed"/>
        <w:tblBorders>
          <w:top w:val="single" w:sz="5" w:color="D8E1E8"/>
          <w:left w:val="single" w:sz="5" w:color="D8E1E8"/>
          <w:bottom w:val="single" w:sz="5" w:color="D8E1E8"/>
          <w:right w:val="single" w:sz="5" w:color="D8E1E8"/>
          <w:insideH w:val="single" w:sz="4" w:color="D8E1E8"/>
          <w:insideV w:val="single" w:sz="4" w:color="D8E1E8"/>
        </w:tblBorders>
        <w:tblCellMar>
          <w:top w:w="80" w:type="dxa"/>
          <w:start w:w="95" w:type="dxa"/>
          <w:bottom w:w="80" w:type="dxa"/>
          <w:end w:w="95" w:type="dxa"/>
        </w:tblCellMar>
      </w:tblPr>
      <w:tblGrid>
        <w:gridCol w:w="1200"/>
        <w:gridCol w:w="1800"/>
        <w:gridCol w:w="7080"/>
      </w:tblGrid>
      <w:tr>
        <w:tc>
          <w:tcPr>
            <w:tcW w:w="1200" w:type="dxa"/>
            <w:shd w:fill="16324F"/>
            <w:vAlign w:val="center"/>
          </w:tcPr>
          <w:p>
            <w:pPr>
              <w:pStyle w:val="TableText"/>
            </w:pPr>
            <w:r>
              <w:rPr>
                <w:b/>
                <w:color w:val="FFFFFF"/>
              </w:rPr>
              <w:t xml:space="preserve">Version</w:t>
            </w:r>
          </w:p>
        </w:tc>
        <w:tc>
          <w:tcPr>
            <w:tcW w:w="1800" w:type="dxa"/>
            <w:shd w:fill="16324F"/>
            <w:vAlign w:val="center"/>
          </w:tcPr>
          <w:p>
            <w:pPr>
              <w:pStyle w:val="TableText"/>
            </w:pPr>
            <w:r>
              <w:rPr>
                <w:b/>
                <w:color w:val="FFFFFF"/>
              </w:rPr>
              <w:t xml:space="preserve">Date</w:t>
            </w:r>
          </w:p>
        </w:tc>
        <w:tc>
          <w:tcPr>
            <w:tcW w:w="7080" w:type="dxa"/>
            <w:shd w:fill="16324F"/>
            <w:vAlign w:val="center"/>
          </w:tcPr>
          <w:p>
            <w:pPr>
              <w:pStyle w:val="TableText"/>
            </w:pPr>
            <w:r>
              <w:rPr>
                <w:b/>
                <w:color w:val="FFFFFF"/>
              </w:rPr>
              <w:t xml:space="preserve">Change</w:t>
            </w:r>
          </w:p>
        </w:tc>
      </w:tr>
      <w:tr>
        <w:tc>
          <w:tcPr>
            <w:tcW w:w="1200" w:type="dxa"/>
            <w:shd w:fill="F6F9FB"/>
            <w:vAlign w:val="center"/>
          </w:tcPr>
          <w:p>
            <w:pPr>
              <w:pStyle w:val="TableText"/>
            </w:pPr>
            <w:r>
              <w:rPr>
                <w:color w:val="243447"/>
              </w:rPr>
              <w:t xml:space="preserve">1.0</w:t>
            </w:r>
          </w:p>
        </w:tc>
        <w:tc>
          <w:tcPr>
            <w:tcW w:w="1800" w:type="dxa"/>
            <w:shd w:fill="F6F9FB"/>
            <w:vAlign w:val="center"/>
          </w:tcPr>
          <w:p>
            <w:pPr>
              <w:pStyle w:val="TableText"/>
            </w:pPr>
            <w:r>
              <w:rPr>
                <w:color w:val="243447"/>
              </w:rPr>
              <w:t xml:space="preserve">24 Sep 2026</w:t>
            </w:r>
          </w:p>
        </w:tc>
        <w:tc>
          <w:tcPr>
            <w:tcW w:w="7080" w:type="dxa"/>
            <w:shd w:fill="F6F9FB"/>
            <w:vAlign w:val="center"/>
          </w:tcPr>
          <w:p>
            <w:pPr>
              <w:pStyle w:val="TableText"/>
            </w:pPr>
            <w:r>
              <w:rPr>
                <w:color w:val="243447"/>
              </w:rPr>
              <w:t xml:space="preserve">Initial project, deployment, and operations handover.</w:t>
            </w:r>
          </w:p>
        </w:tc>
      </w:tr>
      <w:tr>
        <w:tc>
          <w:tcPr>
            <w:tcW w:w="1200" w:type="dxa"/>
            <w:shd w:fill="FFFFFF"/>
            <w:vAlign w:val="center"/>
          </w:tcPr>
          <w:p>
            <w:pPr>
              <w:pStyle w:val="TableText"/>
            </w:pPr>
            <w:r>
              <w:rPr>
                <w:color w:val="243447"/>
              </w:rPr>
              <w:t xml:space="preserve">1.1</w:t>
            </w:r>
          </w:p>
        </w:tc>
        <w:tc>
          <w:tcPr>
            <w:tcW w:w="1800" w:type="dxa"/>
            <w:shd w:fill="FFFFFF"/>
            <w:vAlign w:val="center"/>
          </w:tcPr>
          <w:p>
            <w:pPr>
              <w:pStyle w:val="TableText"/>
            </w:pPr>
            <w:r>
              <w:rPr>
                <w:color w:val="243447"/>
              </w:rPr>
              <w:t xml:space="preserve">24 Sep 2026</w:t>
            </w:r>
          </w:p>
        </w:tc>
        <w:tc>
          <w:tcPr>
            <w:tcW w:w="7080" w:type="dxa"/>
            <w:shd w:fill="FFFFFF"/>
            <w:vAlign w:val="center"/>
          </w:tcPr>
          <w:p>
            <w:pPr>
              <w:pStyle w:val="TableText"/>
            </w:pPr>
            <w:r>
              <w:rPr>
                <w:color w:val="243447"/>
              </w:rPr>
              <w:t xml:space="preserve">Rebuilt after role cleanup; documented Owner/Admin roles, legacy role migration, and corrected developer/client attribution. Developer contacts are Muhammad Attayab Ashraf / Automivex only; client identified as ReadyRentalsOnline.</w:t>
            </w:r>
          </w:p>
        </w:tc>
      </w:tr>
    </w:tbl>
    <w:p>
      <w:pPr>
        <w:pStyle w:val="BodyText"/>
      </w:pPr>
    </w:p>
    <w:tbl>
      <w:tblPr>
        <w:tblW w:w="10080" w:type="dxa"/>
        <w:tblBorders>
          <w:top w:val="nil"/>
          <w:left w:val="nil"/>
          <w:bottom w:val="nil"/>
          <w:right w:val="nil"/>
        </w:tblBorders>
      </w:tblPr>
      <w:tblGrid>
        <w:gridCol w:w="10080"/>
      </w:tblGrid>
      <w:tr>
        <w:tc>
          <w:tcPr>
            <w:tcW w:w="10080" w:type="dxa"/>
            <w:shd w:fill="EAF3F5"/>
            <w:tcMar>
              <w:top w:w="100" w:type="dxa"/>
              <w:start w:w="150" w:type="dxa"/>
              <w:bottom w:w="100" w:type="dxa"/>
              <w:end w:w="150" w:type="dxa"/>
            </w:tcMar>
          </w:tcPr>
          <w:p>
            <w:pPr>
              <w:pStyle w:val="Note"/>
            </w:pPr>
            <w:r>
              <w:rPr>
                <w:b/>
              </w:rPr>
              <w:t xml:space="preserve">End of guide: </w:t>
            </w:r>
            <w:r>
              <w:t xml:space="preserve">For developer or technical support, contact Muhammad Attayab Ashraf at attayabpc2@gmail.com or +92 317 4026038, or Automivex at social@automivex.com and https://www.automivex.com.</w:t>
            </w:r>
          </w:p>
        </w:tc>
      </w:tr>
    </w:tbl>
    <w:p>
      <w:pPr>
        <w:pStyle w:val="BodyText"/>
      </w:pPr>
    </w:p>
    <w:sectPr>
      <w:headerReference w:type="default" r:id="rIdHeader"/>
      <w:footerReference w:type="default" r:id="rIdFooter"/>
      <w:pgSz w:w="12240" w:h="15840"/>
      <w:pgMar w:top="900" w:right="1080" w:bottom="900" w:left="1080" w:header="430" w:footer="430" w:gutter="0"/>
      <w:cols w:space="720"/>
      <w:titlePg/>
    </w:sectPr>
  </w:body>
</w:document>
</file>

<file path=word/footer1.xml><?xml version="1.0" encoding="utf-8"?>
<w:ftr xmlns:w="http://schemas.openxmlformats.org/wordprocessingml/2006/main">
  <w:p>
    <w:pPr>
      <w:tabs>
        <w:tab w:val="right" w:pos="10080"/>
      </w:tabs>
    </w:pPr>
    <w:r>
      <w:rPr>
        <w:color w:val="64748B"/>
        <w:sz w:val="16"/>
      </w:rPr>
      <w:t>Muhammad Attayab Ashraf | Automivex</w:t>
    </w:r>
    <w:r>
      <w:rPr>
        <w:color w:val="64748B"/>
        <w:sz w:val="16"/>
      </w:rPr>
      <w:tab/>
    </w:r>
    <w:r>
      <w:fldChar w:fldCharType="begin"/>
    </w:r>
    <w:r>
      <w:instrText xml:space="preserve"> PAGE </w:instrText>
    </w:r>
    <w:r>
      <w:fldChar w:fldCharType="end"/>
    </w:r>
  </w:p>
</w:ftr>
</file>

<file path=word/header1.xml><?xml version="1.0" encoding="utf-8"?>
<w:hdr xmlns:w="http://schemas.openxmlformats.org/wordprocessingml/2006/main">
  <w:p>
    <w:pPr>
      <w:pBdr>
        <w:bottom w:val="single" w:sz="5" w:space="5" w:color="D8E1E8"/>
      </w:pBdr>
    </w:pPr>
    <w:r>
      <w:rPr>
        <w:b/>
        <w:color w:val="0F7C83"/>
        <w:sz w:val="16"/>
      </w:rPr>
      <w:t>READYRENTALSONLINE</w:t>
    </w:r>
    <w:r>
      <w:rPr>
        <w:color w:val="64748B"/>
        <w:sz w:val="16"/>
      </w:rPr>
      <w:tab/>
    </w:r>
    <w:r>
      <w:rPr>
        <w:color w:val="64748B"/>
        <w:sz w:val="16"/>
      </w:rPr>
      <w:t>Client handover | Operations guide</w:t>
    </w:r>
  </w:p>
</w:hdr>
</file>

<file path=word/settings.xml><?xml version="1.0" encoding="utf-8"?>
<w:settings xmlns:w="http://schemas.openxmlformats.org/wordprocessingml/2006/main">
  <w:updateFields w:val="true"/>
  <w:defaultTabStop w:val="720"/>
</w:settings>
</file>

<file path=word/styles.xml><?xml version="1.0" encoding="utf-8"?>
<w:styles xmlns:w="http://schemas.openxmlformats.org/wordprocessingml/2006/main">
  <w:docDefaults>
    <w:rPrDefault>
      <w:rPr>
        <w:rFonts w:ascii="Aptos" w:hAnsi="Aptos"/>
        <w:color w:val="243447"/>
        <w:sz w:val="21"/>
      </w:rPr>
    </w:rPrDefault>
    <w:pPrDefault>
      <w:pPr>
        <w:spacing w:after="115" w:line="290" w:lineRule="auto"/>
      </w:pPr>
    </w:pPrDefault>
  </w:docDefaults>
  <w:style w:type="paragraph" w:default="1" w:styleId="BodyText">
    <w:name w:val="Normal"/>
    <w:pPr>
      <w:spacing w:after="115" w:line="290" w:lineRule="auto"/>
      <w:widowControl/>
    </w:pPr>
    <w:rPr>
      <w:rFonts w:ascii="Aptos" w:hAnsi="Aptos"/>
      <w:color w:val="243447"/>
      <w:sz w:val="21"/>
    </w:rPr>
  </w:style>
  <w:style w:type="paragraph" w:styleId="Title">
    <w:name w:val="Title"/>
    <w:pPr>
      <w:spacing w:before="100" w:after="100"/>
      <w:keepNext/>
    </w:pPr>
    <w:rPr>
      <w:rFonts w:ascii="Aptos Display" w:hAnsi="Aptos Display"/>
      <w:b/>
      <w:color w:val="16324F"/>
      <w:sz w:val="42"/>
    </w:rPr>
  </w:style>
  <w:style w:type="paragraph" w:styleId="Subtitle">
    <w:name w:val="Subtitle"/>
    <w:pPr>
      <w:spacing w:after="260"/>
    </w:pPr>
    <w:rPr>
      <w:color w:val="64748B"/>
      <w:sz w:val="24"/>
    </w:rPr>
  </w:style>
  <w:style w:type="paragraph" w:styleId="Kicker">
    <w:name w:val="Kicker"/>
    <w:pPr>
      <w:spacing w:after="80"/>
    </w:pPr>
    <w:rPr>
      <w:b/>
      <w:color w:val="0F7C83"/>
      <w:sz w:val="18"/>
      <w:caps/>
    </w:rPr>
  </w:style>
  <w:style w:type="paragraph" w:styleId="CoverBand">
    <w:name w:val="Cover Band"/>
    <w:pPr>
      <w:spacing w:before="180" w:after="180"/>
      <w:shd w:fill="16324F"/>
      <w:ind w:left="160"/>
    </w:pPr>
    <w:rPr>
      <w:b/>
      <w:color w:val="FFFFFF"/>
      <w:sz w:val="23"/>
    </w:rPr>
  </w:style>
  <w:style w:type="paragraph" w:styleId="CoverLead">
    <w:name w:val="Cover Lead"/>
    <w:pPr>
      <w:spacing w:after="300"/>
      <w:ind w:left="120" w:right="120"/>
    </w:pPr>
    <w:rPr>
      <w:color w:val="64748B"/>
      <w:sz w:val="24"/>
    </w:rPr>
  </w:style>
  <w:style w:type="paragraph" w:styleId="Heading1">
    <w:name w:val="heading 1"/>
    <w:basedOn w:val="BodyText"/>
    <w:next w:val="BodyText"/>
    <w:pPr>
      <w:keepNext/>
      <w:keepLines/>
      <w:spacing w:before="300" w:after="125"/>
      <w:pBdr>
        <w:bottom w:val="single" w:sz="10" w:space="7" w:color="0F7C83"/>
      </w:pBdr>
    </w:pPr>
    <w:rPr>
      <w:rFonts w:ascii="Aptos Display" w:hAnsi="Aptos Display"/>
      <w:b/>
      <w:color w:val="16324F"/>
      <w:sz w:val="31"/>
    </w:rPr>
  </w:style>
  <w:style w:type="paragraph" w:styleId="Heading2">
    <w:name w:val="heading 2"/>
    <w:basedOn w:val="BodyText"/>
    <w:next w:val="BodyText"/>
    <w:pPr>
      <w:keepNext/>
      <w:spacing w:before="200" w:after="95"/>
    </w:pPr>
    <w:rPr>
      <w:b/>
      <w:color w:val="0F7C83"/>
      <w:sz w:val="24"/>
    </w:rPr>
  </w:style>
  <w:style w:type="paragraph" w:styleId="ListBullet">
    <w:name w:val="List Bullet"/>
    <w:basedOn w:val="BodyText"/>
    <w:pPr>
      <w:ind w:left="350" w:hanging="225"/>
      <w:spacing w:after="55" w:line="260"/>
    </w:pPr>
    <w:rPr>
      <w:color w:val="243447"/>
      <w:sz w:val="20"/>
    </w:rPr>
  </w:style>
  <w:style w:type="paragraph" w:styleId="TableText">
    <w:name w:val="Table Text"/>
    <w:pPr>
      <w:spacing w:after="20" w:line="240"/>
    </w:pPr>
    <w:rPr>
      <w:rFonts w:ascii="Aptos" w:hAnsi="Aptos"/>
      <w:color w:val="243447"/>
      <w:sz w:val="18"/>
    </w:rPr>
  </w:style>
  <w:style w:type="paragraph" w:styleId="Code">
    <w:name w:val="Code"/>
    <w:pPr>
      <w:spacing w:before="70" w:after="110" w:line="240"/>
      <w:ind w:left="140" w:right="100"/>
      <w:shd w:fill="F2F5F8"/>
      <w:keepLines/>
    </w:pPr>
    <w:rPr>
      <w:rFonts w:ascii="Cascadia Mono" w:hAnsi="Cascadia Mono"/>
      <w:color w:val="16324F"/>
      <w:sz w:val="16"/>
    </w:rPr>
  </w:style>
  <w:style w:type="paragraph" w:styleId="Caption">
    <w:name w:val="Caption"/>
    <w:pPr>
      <w:jc w:val="center"/>
      <w:spacing w:after="150"/>
      <w:keepNext/>
    </w:pPr>
    <w:rPr>
      <w:i/>
      <w:color w:val="64748B"/>
      <w:sz w:val="18"/>
    </w:rPr>
  </w:style>
  <w:style w:type="paragraph" w:styleId="Image">
    <w:name w:val="Image"/>
    <w:pPr>
      <w:jc w:val="center"/>
      <w:spacing w:before="80" w:after="10"/>
      <w:keepNext/>
    </w:pPr>
  </w:style>
  <w:style w:type="paragraph" w:styleId="SmallNote">
    <w:name w:val="Small Note"/>
    <w:pPr>
      <w:spacing w:before="150" w:after="100"/>
    </w:pPr>
    <w:rPr>
      <w:color w:val="64748B"/>
      <w:sz w:val="18"/>
    </w:rPr>
  </w:style>
  <w:style w:type="paragraph" w:styleId="Note">
    <w:name w:val="Note"/>
    <w:pPr>
      <w:spacing w:after="35" w:line="265"/>
    </w:pPr>
    <w:rPr>
      <w:color w:val="243447"/>
      <w:sz w:val="19"/>
    </w:rPr>
  </w:style>
</w:styles>
</file>

<file path=word/_rels/document.xml.rels><?xml version="1.0" encoding="UTF-8" standalone="yes"?><Relationships xmlns="http://schemas.openxmlformats.org/package/2006/relationships"><Relationship Id="rIdHeader" Type="http://schemas.openxmlformats.org/officeDocument/2006/relationships/header" Target="header1.xml"/><Relationship Id="rIdFooter" Type="http://schemas.openxmlformats.org/officeDocument/2006/relationships/footer" Target="footer1.xml"/><Relationship Id="rIdImage1" Type="http://schemas.openxmlformats.org/officeDocument/2006/relationships/image" Target="media/architecture.png"/><Relationship Id="rIdImage2" Type="http://schemas.openxmlformats.org/officeDocument/2006/relationships/image" Target="media/lifecycle.png"/><Relationship Id="rIdImage3" Type="http://schemas.openxmlformats.org/officeDocument/2006/relationships/image" Target="media/persistence.png"/><Relationship Id="rIdImage4" Type="http://schemas.openxmlformats.org/officeDocument/2006/relationships/image" Target="media/backup.png"/><Relationship Id="rIdStyles" Type="http://schemas.openxmlformats.org/officeDocument/2006/relationships/styles" Target="styles.xml"/><Relationship Id="rIdSettings"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Microsoft Word</Application>
  <Company>Automivex</Company>
  <Pages>0</Pages>
  <Words>0</Words>
  <Characters>0</Characters>
  <Lines>0</Lines>
  <Paragraphs>0</Paragraphs>
</Properties>
</file>

<file path=docProps/core.xml><?xml version="1.0" encoding="utf-8"?>
<cp:coreProperties xmlns:cp="http://schemas.openxmlformats.org/package/2006/metadata/core-properties" xmlns:dc="http://purl.org/dc/elements/1.1/" xmlns:dcterms="http://purl.org/dc/terms/" xmlns:xsi="http://www.w3.org/2001/XMLSchema-instance">
  <dc:title>ReadyRentalsOnline Client Handover and Operations Guide</dc:title>
  <dc:subject>Application, deployment, security, backup, and operations handover</dc:subject>
  <dc:creator>Muhammad Attayab Ashraf, Automivex</dc:creator>
  <cp:lastModifiedBy>Muhammad Attayab Ashraf, Automivex</cp:lastModifiedBy>
  <cp:keywords>ReadyRentalsOnline, Automivex, Docker, VPS, PostgreSQL, handover</cp:keywords>
  <dc:description>Client technical handover. Contains no production credentials or client-personal contact information.</dc:description>
  <dcterms:created xsi:type="dcterms:W3CDTF">2026-09-24T00:00:00Z</dcterms:created>
</cp:coreProperties>
</file>