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rPr>
          <w:b w:val="0"/>
        </w:rPr>
        <w:t>Transfer form and the allocation of small and large windfalls</w:t>
      </w:r>
    </w:p>
    <w:p>
      <w:pPr>
        <w:pStyle w:val="Heading1"/>
      </w:pPr>
      <w:r>
        <w:t>S1 Sample measurement and design details</w:t>
      </w:r>
    </w:p>
    <w:p>
      <w:r>
        <w:rPr>
          <w:b w:val="0"/>
        </w:rPr>
        <w:t>The adult analyses use the adult sample N=5,480; the full delivered sample N=5,497 is retained only when explicitly reusing historical fits. Raw respondent records and identifiers are not included in the replication outputs. The original instrument specifies one random scenario per person; exactly one is observed in each delivered record. No allocation probabilities or formal randomization logs were located.</w:t>
      </w:r>
    </w:p>
    <w:p>
      <w:r>
        <w:rPr>
          <w:b w:val="0"/>
        </w:rPr>
        <w:t>The main article's declarations identify unresolved collection information. Hosting does not establish recruitment, balanced cells do not prove implementation, and adult-only analysis does not validate collection ethics. The authors must supply recruitment frame/vendor, dates, incentives, response flow, stopping and randomization details, approval/exemption and consent records, funding/conflicts, CRediT and sharing permissions.</w:t>
      </w:r>
    </w:p>
    <w:p>
      <w:r>
        <w:rPr>
          <w:b w:val="0"/>
        </w:rPr>
        <w:t>The mean recorded age is 33.26 years (SD 9.37; 10th–90th percentiles 23–46). Category counts and original Chinese labels below preserve the two income schemes. Household size code 6 denotes six or more, not exactly six. Food expenditure is monthly household food, while vouchers also permit daily necessities. City tier is an ordinal locality descriptor, not observed provincial coverage.</w:t>
      </w:r>
    </w:p>
    <w:p>
      <w:pPr>
        <w:pStyle w:val="Heading2"/>
      </w:pPr>
      <w:r>
        <w:t>Table S1a Adult characteristics and missingness</w:t>
      </w:r>
    </w:p>
    <w:tbl>
      <w:tblPr>
        <w:tblW w:type="auto" w:w="0"/>
        <w:jc w:val="center"/>
        <w:tblLayout w:type="fixed"/>
        <w:tblLook w:firstColumn="1" w:firstRow="1" w:lastColumn="0" w:lastRow="0" w:noHBand="0" w:noVBand="1" w:val="04A0"/>
      </w:tblPr>
      <w:tblGrid>
        <w:gridCol w:w="1339"/>
        <w:gridCol w:w="1037"/>
        <w:gridCol w:w="2578"/>
        <w:gridCol w:w="1141"/>
        <w:gridCol w:w="1141"/>
        <w:gridCol w:w="1141"/>
        <w:gridCol w:w="1141"/>
      </w:tblGrid>
      <w:tr>
        <w:trPr>
          <w:cantSplit/>
          <w:tblHeader/>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variable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category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label</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missing</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mean</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sd</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q42 age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Q42 年龄（周岁，平台采集）</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33.255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9.3658</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q41 gender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Q41 性别（平台采集）</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1.5296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0.49917</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q41 gender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男</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2578</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q41 gender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女</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2902</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Q43 学历（平台采集）</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3.3396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0.94713</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初中及以下</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218</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高中/中专/技校</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925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大学专科</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1379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大学本科</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2694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q43 edu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硕士及以上</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个人月收入（平台采集；1-6主档位方案，11-16为混入的旧档位方案）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4.0469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1.3185</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500元以下</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221</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500-1000元</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1001-3000元</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873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3001-8000元</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2381</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8001-15000元</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1296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15000元以上</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1000元及以下（旧方案）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1001-3000元（旧方案）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3001-5000元（旧方案）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5001-8000元（旧方案）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8001-12000元（旧方案）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q46 income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12001-20000元（旧方案）</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共同生活、共同开支的家庭成员人数（含本人）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3.1772</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1.2721</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550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964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2063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1059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5人</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556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q28 hhsize</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6人及以上</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288</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Q24 目前的工作状况</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1.7755</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1.2809</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在职</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3862</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退休</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在校学生</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439</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失业/待业</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807</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q24 workstat</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其他</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q23 hukou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Q23 户籍类型</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1.5328</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0.51799</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q23 hukou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农业户口</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2613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q23 hukou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非农业户口</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2814</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q23 hukou</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其他</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summary</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Q49 城市级别（平台采集）</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2.6206</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1.2714</w:t>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一线城市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1013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二线城市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2160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三线城市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863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四线城市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781</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33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03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w:t>
            </w:r>
          </w:p>
        </w:tc>
        <w:tc>
          <w:tcPr>
            <w:tcW w:type="dxa" w:w="25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五线城市</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663</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4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bl>
    <w:p>
      <w:pPr>
        <w:spacing w:after="0" w:before="0" w:line="40" w:lineRule="exact"/>
        <w:ind w:firstLine="0"/>
      </w:pPr>
    </w:p>
    <w:p>
      <w:pPr>
        <w:pStyle w:val="Heading2"/>
      </w:pPr>
      <w:r>
        <w:t>Table S1b Baseline randomization diagnostics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variable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df</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 expected</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q42 age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0.02947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0.2063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q41 gender</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0.9067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272.9</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q43 edu</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0.7147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23.07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q46 income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0.3119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0.2117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q28 hhsize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0.08859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0.5315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30.48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q24 workstat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0.5176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18.95</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q23 hukou</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0.3065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5.609</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q49 citytier</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0.01756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0.1405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70.17</w:t>
            </w:r>
          </w:p>
        </w:tc>
      </w:tr>
    </w:tbl>
    <w:p>
      <w:pPr>
        <w:spacing w:after="0" w:before="0" w:line="40" w:lineRule="exact"/>
        <w:ind w:firstLine="0"/>
      </w:pPr>
    </w:p>
    <w:p>
      <w:pPr>
        <w:spacing w:line="252" w:lineRule="auto"/>
        <w:ind w:firstLine="0"/>
        <w:jc w:val="left"/>
      </w:pPr>
      <w:r>
        <w:rPr>
          <w:b w:val="0"/>
          <w:sz w:val="20"/>
        </w:rPr>
        <w:t>Note: Age uses an HC3 omnibus; categorical variables use chi-square diagnostics across nine cells. Eight tests, Holm8. Income has sparse expected cells (minimum 0.212); treat that approximation cautiously. No post hoc merging or additional balance search was performed.</w:t>
      </w:r>
    </w:p>
    <w:p>
      <w:pPr>
        <w:pStyle w:val="Heading2"/>
      </w:pPr>
      <w:r>
        <w:t>Table S1c Adult nine cell scale summaries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Ordinal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 %</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Implied yuan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Above bottom %</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Highest %</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2.935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25.299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50.60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72.654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13.430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2.802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22.669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226.69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71.453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8.953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2.705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20.164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1008.19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72.586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5.345</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22.700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45.40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68.842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9.788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2.664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19.984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199.84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69.952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6.947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2.629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19.495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974.75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69.950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7.513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2.464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17.728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35.46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61.401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6.026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2.529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17.827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178.27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67.103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5.237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634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2.517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64.511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3.943</w:t>
            </w:r>
          </w:p>
        </w:tc>
      </w:tr>
    </w:tbl>
    <w:p>
      <w:pPr>
        <w:spacing w:after="0" w:before="0" w:line="40" w:lineRule="exact"/>
        <w:ind w:firstLine="0"/>
      </w:pPr>
    </w:p>
    <w:p>
      <w:pPr>
        <w:pStyle w:val="Heading1"/>
        <w:pageBreakBefore/>
      </w:pPr>
      <w:r>
        <w:t>S2 Original distributions and bottom-category arithmetic</w:t>
      </w:r>
    </w:p>
    <w:p>
      <w:pPr>
        <w:pStyle w:val="Heading2"/>
      </w:pPr>
      <w:r>
        <w:t>Table S2a Original adult six-bin frequencies</w:t>
      </w:r>
    </w:p>
    <w:tbl>
      <w:tblPr>
        <w:tblW w:type="auto" w:w="0"/>
        <w:jc w:val="center"/>
        <w:tblLayout w:type="fixed"/>
        <w:tblLook w:firstColumn="1" w:firstRow="1" w:lastColumn="0" w:lastRow="0" w:noHBand="0" w:noVBand="1" w:val="04A0"/>
      </w:tblPr>
      <w:tblGrid>
        <w:gridCol w:w="835"/>
        <w:gridCol w:w="763"/>
        <w:gridCol w:w="605"/>
        <w:gridCol w:w="1219"/>
        <w:gridCol w:w="1219"/>
        <w:gridCol w:w="1219"/>
        <w:gridCol w:w="1219"/>
        <w:gridCol w:w="1219"/>
        <w:gridCol w:w="1219"/>
      </w:tblGrid>
      <w:tr>
        <w:trPr>
          <w:cantSplit/>
          <w:tblHeader/>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Bottom</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&lt;10%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10–25%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25–50%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50–75%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&gt;75%</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618</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27.35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17.96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20.39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15.86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5.02</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13.43</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592</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28.55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19.43</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20.10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16.05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6.93</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8.95</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580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27.41</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20.17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24.48</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15.69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5.34</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613</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31.16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17.29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19.90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15.50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6.36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9.79</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30.05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19.87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22.78</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15.19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5.17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6.95</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30.05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21.70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23.87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11.52</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5.34</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7.51</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614</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38.60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18.40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18.57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12.87</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5.54</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6.03</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611</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32.90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20.79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22.75</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12.93</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5.24</w:t>
            </w:r>
          </w:p>
        </w:tc>
      </w:tr>
      <w:tr>
        <w:trPr>
          <w:cantSplit/>
        </w:trPr>
        <w:tc>
          <w:tcPr>
            <w:tcW w:type="dxa" w:w="83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76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60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634</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16.72</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23.50</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13.09</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7.26</w:t>
            </w:r>
          </w:p>
        </w:tc>
        <w:tc>
          <w:tcPr>
            <w:tcW w:type="dxa" w:w="121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3.94</w:t>
            </w:r>
          </w:p>
        </w:tc>
      </w:tr>
    </w:tbl>
    <w:p>
      <w:pPr>
        <w:spacing w:after="0" w:before="0" w:line="40" w:lineRule="exact"/>
        <w:ind w:firstLine="0"/>
      </w:pPr>
    </w:p>
    <w:p>
      <w:pPr>
        <w:spacing w:line="252" w:lineRule="auto"/>
        <w:ind w:firstLine="0"/>
        <w:jc w:val="left"/>
      </w:pPr>
      <w:r>
        <w:rPr>
          <w:b w:val="0"/>
          <w:sz w:val="20"/>
        </w:rPr>
        <w:t>Note: Frequencies in percent; original category counts and unrounded shares are in source_data/adult_cell_distribution.csv. No distributional test is added.</w:t>
      </w:r>
    </w:p>
    <w:p>
      <w:r>
        <w:rPr>
          <w:b w:val="0"/>
        </w:rPr>
        <w:t>For the midpoint code, E[S]=p×m where p is above-bottom-category probability and m is the conditional-above-bottom mean. Between endpoints 0 and 1, the symmetric decomposition is ΔE[S]=Δp×(m1+m0)/2+Δm×(p1+p0)/2. We call the terms bottom-category and conditional-above-bottom components. The bottom code is a convention and the underlying verbal response is not an exact zero. Conditioning on a response affected by assignment does not identify a causal effect among a fixed set of respondents. The labels and neighboring percentage thresholds do not impose a common yuan cutoff across amounts. The decomposition concerns the response coding rather than observed spending participation.</w:t>
      </w:r>
    </w:p>
    <w:p>
      <w:pPr>
        <w:pStyle w:val="Heading2"/>
      </w:pPr>
      <w:r>
        <w:t>Table S2b Bottom-category decomposition</w:t>
      </w:r>
    </w:p>
    <w:p>
      <w:pPr>
        <w:keepNext/>
        <w:ind w:firstLine="0"/>
      </w:pPr>
      <w:r>
        <w:rPr>
          <w:sz w:val="18"/>
        </w:rPr>
        <w:t>Column panel 1</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Above-bottom change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Conditional code change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Bottom component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Conditional component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total</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-0.0006751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-0.07043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-0.0002113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-0.05114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-0.05136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-0.05104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0.003371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-0.03542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-0.03205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-0.01214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0.008792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-0.007641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0.00115</w:t>
            </w:r>
          </w:p>
        </w:tc>
      </w:tr>
    </w:tbl>
    <w:p>
      <w:pPr>
        <w:spacing w:after="0" w:before="0" w:line="40" w:lineRule="exact"/>
        <w:ind w:firstLine="0"/>
      </w:pPr>
    </w:p>
    <w:p>
      <w:pPr>
        <w:keepNext/>
        <w:ind w:firstLine="0"/>
      </w:pPr>
      <w:r>
        <w:rPr>
          <w:sz w:val="18"/>
        </w:rPr>
        <w:t>Column panel 2</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Bottom low</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Bottom high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Conditional low</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Conditional high</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-0.01662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0.01598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-0.0759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-0.02565</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-0.01152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0.01933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-0.06161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-0.009036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-0.006381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0.02364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-0.02921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0.01362</w:t>
            </w:r>
          </w:p>
        </w:tc>
      </w:tr>
    </w:tbl>
    <w:p>
      <w:pPr>
        <w:spacing w:after="0" w:before="0" w:line="40" w:lineRule="exact"/>
        <w:ind w:firstLine="0"/>
      </w:pPr>
    </w:p>
    <w:p>
      <w:pPr>
        <w:pStyle w:val="Heading1"/>
        <w:pageBreakBefore/>
      </w:pPr>
      <w:r>
        <w:t>S3 Multiplicity timing and historical inference</w:t>
      </w:r>
    </w:p>
    <w:p>
      <w:r>
        <w:rPr>
          <w:b w:val="0"/>
        </w:rPr>
        <w:t>This study was not preregistered. Earlier analyses and reviewer revisions used the same dataset. The plan for the additional calculations was fixed after earlier results were observed and before those calculations were performed. Freezing limits further analytic flexibility but does not retroactively preregister outcomes. The expanded family is a reviewer sensitivity, not a claim that the original findings were confirmed prospectively.</w:t>
      </w:r>
    </w:p>
    <w:p>
      <w:r>
        <w:rPr>
          <w:b w:val="0"/>
        </w:rPr>
        <w:t>The family has 42 tests, exactly seven codings by six tests. All within-form trends and pairwise contrasts use HC3 normal inference; the interaction omnibus uses chi-square with 2 degrees of freedom. Joint min-P retains the covariance of all 21 within-form slopes across outcomes. Ten thousand centered unrestricted Gaussian-error draws generate a p-value minimum; adjusted probabilities use the plus-one correction. This calibrates degrees of freedom before combining tests and is not sharp-null randomization inference. Bonferroni42 scalar intervals provide conservative 95% simultaneous coverage under the normal approximation. Holm and min-P answer family-selection questions; robustness samples and model alternatives are not added into this scientific family.</w:t>
      </w:r>
    </w:p>
    <w:p>
      <w:pPr>
        <w:pStyle w:val="Heading2"/>
      </w:pPr>
      <w:r>
        <w:t>Table S3a Complete 42 test family</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minP42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0.3995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-0.07535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0.09578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0.7362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0.02639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0.9999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0.5731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-0.03989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0.9999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0.7292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0.3035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-0.02568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0.0009555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-0.01607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0.4168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0.000573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0.9323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0.03263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0.3946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-0.009617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0.9975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0.3874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-0.0004601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0.9716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0.005562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0.9756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0.7004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-0.006023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0.7448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0.4012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0.9984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0.4234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0.9993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0.9709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0.08964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0.7136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0.7134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0.004952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0.8079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0.6677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-0.03178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0.2488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0.08399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0.9569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0.08793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0.7065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0.8036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-0.03112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0.6961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-0.03097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0.002857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0.7552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0.8429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0.9906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-0.02919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0.4031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1.223e-06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5.136e-05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9.999e-05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0.8821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0.7188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0.3339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0.1486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0.4225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0.003773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0.06859</w:t>
            </w:r>
          </w:p>
        </w:tc>
      </w:tr>
    </w:tbl>
    <w:p>
      <w:pPr>
        <w:spacing w:after="0" w:before="0" w:line="40" w:lineRule="exact"/>
        <w:ind w:firstLine="0"/>
      </w:pPr>
    </w:p>
    <w:p>
      <w:pPr>
        <w:pStyle w:val="Heading2"/>
      </w:pPr>
      <w:r>
        <w:t>Table S3b Simultaneous scalar intervals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lo</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hi</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-0.2629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0.03241</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-0.07535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0.07127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0.02639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-0.1109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0.1637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-0.03989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0.1682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-0.1416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-0.3432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0.05997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-0.02568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-0.05089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-0.0004833</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-0.01607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-0.04082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0.008687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0.000573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0.02245</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-0.009617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-0.04494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0.02571</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-0.02626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-0.05963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0.007112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-0.0004601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-0.04229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0.04137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0.005562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0.04852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-0.006023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-0.06598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0.05394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-0.01579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-0.07677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0.04518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-0.05833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0.03522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0.02393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-0.02176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0.06962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0.004952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-0.06107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0.07097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-0.03548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-0.1009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0.02991</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-0.03178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-0.07509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0.01153</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-0.07812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0.005327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-0.000657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0.03878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0.004615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-0.05553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0.06476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-0.03112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0.02746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-0.03097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-0.06462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0.002683</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-0.04937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0.01623</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-0.001785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-0.03097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-0.06139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0.03259</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-0.02919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-0.07373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-0.06751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-0.01344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-0.01144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-0.03763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0.01474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-0.01043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-0.03041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0.009556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-0.06667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0.008609</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0.003574</w:t>
            </w:r>
          </w:p>
        </w:tc>
      </w:tr>
    </w:tbl>
    <w:p>
      <w:pPr>
        <w:spacing w:after="0" w:before="0" w:line="40" w:lineRule="exact"/>
        <w:ind w:firstLine="0"/>
      </w:pPr>
    </w:p>
    <w:p>
      <w:pPr>
        <w:pStyle w:val="Heading2"/>
      </w:pPr>
      <w:r>
        <w:t>Table S3c Earlier 21 interaction tests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minP21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0.3727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-0.03989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0.3874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-0.1416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0.03263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0.9634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-0.009617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0.09299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-0.02626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0.7004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0.7448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-0.006023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0.4012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0.9733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-0.01579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0.8079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0.004952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0.4495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-0.03548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0.08793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0.4868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0.8036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0.004615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-0.03112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0.9333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0.2365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-0.02919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omnibus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0.08209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0.01243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0.003773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0.07923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-0.03005</w:t>
            </w:r>
          </w:p>
        </w:tc>
      </w:tr>
    </w:tbl>
    <w:p>
      <w:pPr>
        <w:spacing w:after="0" w:before="0" w:line="40" w:lineRule="exact"/>
        <w:ind w:firstLine="0"/>
      </w:pPr>
    </w:p>
    <w:p>
      <w:pPr>
        <w:pStyle w:val="Heading2"/>
      </w:pPr>
      <w:r>
        <w:t>Table S3d Earlier adult factorial main effects</w:t>
      </w:r>
    </w:p>
    <w:tbl>
      <w:tblPr>
        <w:tblW w:type="auto" w:w="0"/>
        <w:jc w:val="center"/>
        <w:tblLayout w:type="fixed"/>
        <w:tblLook w:firstColumn="1" w:firstRow="1" w:lastColumn="0" w:lastRow="0" w:noHBand="0" w:noVBand="1" w:val="04A0"/>
      </w:tblPr>
      <w:tblGrid>
        <w:gridCol w:w="1670"/>
        <w:gridCol w:w="1308"/>
        <w:gridCol w:w="1308"/>
        <w:gridCol w:w="1308"/>
        <w:gridCol w:w="1308"/>
        <w:gridCol w:w="1308"/>
        <w:gridCol w:w="1308"/>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-0.1232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-0.2254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0.01808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-0.3109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-0.4105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-0.2113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9.555e-10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-0.06141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-0.1631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0.04031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0.2367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-0.1091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-0.2096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-0.008629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0.03331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4.471e-09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-0.01984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-0.03713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-0.002564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-0.04911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-0.06562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-0.03261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5.48e-09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-0.01749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-0.03455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-0.0004281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0.04452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-0.02742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-0.04416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-0.01068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0.001328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2.197e-08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midpoint</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0.005532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-0.05612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0.003129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0.0796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-0.07893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-0.04881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2.791e-07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0.04871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0.2218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0.01384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-0.01624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0.04391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0.3672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1.307e-06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above-bottom</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0.4485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-0.03085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-0.06345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0.001742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0.06356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-0.07342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-0.1058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-0.04102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8.963e-06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-0.002712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-0.03504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0.02961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0.8694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-0.002621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0.02976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0.8739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4.687e-05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ge10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0.9827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-0.03612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-0.06583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-0.006421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0.01714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-0.07291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-0.1019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8.355e-07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-0.02529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-0.05456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0.003985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0.09042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-0.04596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-0.07495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-0.01696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0.001893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5.111e-06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ge25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0.007974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-0.04114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0.00484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0.1218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-0.04389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-0.06592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-0.02186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9.443e-05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-0.02509</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-0.04761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-0.002572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0.02897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-0.03288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-0.05517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0.00383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0.0003733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ge50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-0.02985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0.006645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0.2127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0.2127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-0.04174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-0.05837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8.771e-07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4.627e-06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-0.02703</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-0.04492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-0.009131</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0.003075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0.006151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5000-200</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-0.04148</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-0.05864</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-0.02432</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2.153e-06</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8.61e-06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form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7.712e-07</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4.627e-06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top75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amount omnibus</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1.307e-05</w:t>
            </w:r>
          </w:p>
        </w:tc>
        <w:tc>
          <w:tcPr>
            <w:tcW w:type="dxa" w:w="13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3.92e-05</w:t>
            </w:r>
          </w:p>
        </w:tc>
      </w:tr>
    </w:tbl>
    <w:p>
      <w:pPr>
        <w:spacing w:after="0" w:before="0" w:line="40" w:lineRule="exact"/>
        <w:ind w:firstLine="0"/>
      </w:pPr>
    </w:p>
    <w:p>
      <w:pPr>
        <w:pStyle w:val="Heading2"/>
      </w:pPr>
      <w:r>
        <w:t>Table S3e Earlier amount specific highest category contrasts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amount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-0.03642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-0.07221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-0.0006444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0.184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-0.07404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-0.1069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-0.04117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6.063e-05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-0.02006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-0.05061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0.01049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0.3961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-0.03715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-0.008106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0.0609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0.02168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-0.006311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0.04967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0.387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-0.01402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0.009785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0.3961</w:t>
            </w:r>
          </w:p>
        </w:tc>
      </w:tr>
    </w:tbl>
    <w:p>
      <w:pPr>
        <w:spacing w:after="0" w:before="0" w:line="40" w:lineRule="exact"/>
        <w:ind w:firstLine="0"/>
      </w:pPr>
    </w:p>
    <w:p>
      <w:pPr>
        <w:pStyle w:val="Heading1"/>
        <w:pageBreakBefore/>
      </w:pPr>
      <w:r>
        <w:t>S4 Yuan increments and affine fits</w:t>
      </w:r>
    </w:p>
    <w:p>
      <w:r>
        <w:rPr>
          <w:b w:val="0"/>
        </w:rPr>
        <w:t>The full midpoint affine fit has slopes of 0.198, 0.194 and 0.178 for Cash, Food and Medical, with fitted intercepts of RMB 18.7, 6.4 and −0.2 and RMSE RMB 4.17. The common-slope model with form intercepts has lack-of-fit p = 0.178; the full-model slope-equality p value is 0.381, and the nested intercept comparison has Holm3 p = 0.0610. Nonrejection does not establish common slopes or an intercept-only account. Over RMB 1,000–5,000, the Cash–Medical finite-increment difference is 0.01691 [−0.01756, 0.05099]. None of the six pairwise interval contrasts rejects after Holm adjustment.</w:t>
      </w:r>
    </w:p>
    <w:p>
      <w:pPr>
        <w:pStyle w:val="Heading2"/>
      </w:pPr>
      <w:r>
        <w:t>Table S4a Incremental implied yuan contrasts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interval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contrast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lo</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hi</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0.2482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9.16e-54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0.1703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5.435e-53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0.1683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0.2183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6.844e-51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0.1687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1.413e-48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0.2024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6.58e-49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within-form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7.181e-53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-0.009463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0.7938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0.04159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0.006015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0.07847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0.02638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low</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0.4116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0.001647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-0.03486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0.9286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0.01691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-0.01756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0.05099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0.3279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high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0.01526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-0.01903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0.3869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bl>
    <w:p>
      <w:pPr>
        <w:spacing w:after="0" w:before="0" w:line="40" w:lineRule="exact"/>
        <w:ind w:firstLine="0"/>
      </w:pPr>
    </w:p>
    <w:p>
      <w:pPr>
        <w:pStyle w:val="Heading2"/>
      </w:pPr>
      <w:r>
        <w:t>Table S4b Endpoint elasticity and pairwise differences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contrast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lo</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hi</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within-form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0.9295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0.8872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0.9705</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within-form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0.9527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0.9081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0.9958</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within-form</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0.9554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1.046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cash-food</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-0.0232</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-0.0816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0.03606</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cash-medical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-0.0725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-0.1341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-0.009214</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-0.04929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-0.1108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0.01381</w:t>
            </w:r>
          </w:p>
        </w:tc>
      </w:tr>
    </w:tbl>
    <w:p>
      <w:pPr>
        <w:spacing w:after="0" w:before="0" w:line="40" w:lineRule="exact"/>
        <w:ind w:firstLine="0"/>
      </w:pPr>
    </w:p>
    <w:p>
      <w:pPr>
        <w:pStyle w:val="Heading2"/>
      </w:pPr>
      <w:r>
        <w:t>Table S4c Midpoint affine parameters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parameter</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hi</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8.469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4.658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17.48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0.1897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0.006299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35.51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6.957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63.97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43.08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-24.24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-53.34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3.131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common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0.1899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0.006301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0.2022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8.316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2.735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35.28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6.449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8.356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22.53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-0.2225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7.518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14.53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0.1765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0.2174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0.1594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0.1978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-9.658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18.95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40.62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 intercept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6.672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11.24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0.004573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0.01501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-0.009929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0.04989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0.04585</w:t>
            </w:r>
          </w:p>
        </w:tc>
      </w:tr>
    </w:tbl>
    <w:p>
      <w:pPr>
        <w:spacing w:after="0" w:before="0" w:line="40" w:lineRule="exact"/>
        <w:ind w:firstLine="0"/>
      </w:pPr>
    </w:p>
    <w:p>
      <w:pPr>
        <w:pStyle w:val="Heading2"/>
      </w:pPr>
      <w:r>
        <w:t>Table S4d Affine model comparisons</w:t>
      </w:r>
    </w:p>
    <w:tbl>
      <w:tblPr>
        <w:tblW w:type="auto" w:w="0"/>
        <w:jc w:val="center"/>
        <w:tblLayout w:type="fixed"/>
        <w:tblLook w:firstColumn="1" w:firstRow="1" w:lastColumn="0" w:lastRow="0" w:noHBand="0" w:noVBand="1" w:val="04A0"/>
      </w:tblPr>
      <w:tblGrid>
        <w:gridCol w:w="3384"/>
        <w:gridCol w:w="1022"/>
        <w:gridCol w:w="1022"/>
        <w:gridCol w:w="1022"/>
        <w:gridCol w:w="1022"/>
        <w:gridCol w:w="1022"/>
        <w:gridCol w:w="1022"/>
      </w:tblGrid>
      <w:tr>
        <w:trPr>
          <w:cantSplit/>
          <w:tblHeader/>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comparison</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wald</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df</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RMSE</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type</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holm3</w:t>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common vs saturated cells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40.11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1.2e-06</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30.76</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diagnostic lack-of-fit</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form intercepts vs saturated cells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7.626</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0.1781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18.28</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diagnostic lack-of-fit</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form intercepts slopes vs saturated cells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1.381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0.7101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4.167</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diagnostic lack-of-fit</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common vs form intercepts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6.979</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0.03051</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nested robust Wald</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0.06102</w:t>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common slope vs form slopes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1.928</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0.3813</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nested robust Wald</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0.3813</w:t>
            </w:r>
          </w:p>
        </w:tc>
      </w:tr>
      <w:tr>
        <w:trPr>
          <w:cantSplit/>
        </w:trPr>
        <w:tc>
          <w:tcPr>
            <w:tcW w:type="dxa" w:w="33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 vs form intercepts and slopes</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22.77</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0.0001409</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nested robust Wald</w:t>
            </w:r>
          </w:p>
        </w:tc>
        <w:tc>
          <w:tcPr>
            <w:tcW w:type="dxa" w:w="102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0.0004227</w:t>
            </w:r>
          </w:p>
        </w:tc>
      </w:tr>
    </w:tbl>
    <w:p>
      <w:pPr>
        <w:spacing w:after="0" w:before="0" w:line="40" w:lineRule="exact"/>
        <w:ind w:firstLine="0"/>
      </w:pPr>
    </w:p>
    <w:p>
      <w:pPr>
        <w:pStyle w:val="Heading2"/>
      </w:pPr>
      <w:r>
        <w:t>Table S4e Predicted and observed midpoint yuan</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observed yuan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predicted yuan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error</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4.185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957.1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51.1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-1.014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1.645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957.1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17.66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46.41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-10.96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-19.92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common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957.1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-64.94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73.49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1.263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985.1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23.11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52.06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-6.659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-4.151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963.6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21.72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925.3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58.37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-7.774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226.7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9.738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1010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-1.657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0.2203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0.04509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-0.01664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0.02006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form intercepts slopes</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892.2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-0.003223</w:t>
            </w:r>
          </w:p>
        </w:tc>
      </w:tr>
    </w:tbl>
    <w:p>
      <w:pPr>
        <w:spacing w:after="0" w:before="0" w:line="40" w:lineRule="exact"/>
        <w:ind w:firstLine="0"/>
      </w:pPr>
    </w:p>
    <w:p>
      <w:pPr>
        <w:keepNext/>
        <w:ind w:firstLine="0"/>
        <w:jc w:val="center"/>
      </w:pPr>
      <w:r>
        <w:drawing>
          <wp:inline xmlns:a="http://schemas.openxmlformats.org/drawingml/2006/main" xmlns:pic="http://schemas.openxmlformats.org/drawingml/2006/picture">
            <wp:extent cx="6035040" cy="2964762"/>
            <wp:docPr id="1" name="Picture 1" descr="Finite incremental implied yuan with original bootstrap intervals"/>
            <wp:cNvGraphicFramePr>
              <a:graphicFrameLocks noChangeAspect="1"/>
            </wp:cNvGraphicFramePr>
            <a:graphic>
              <a:graphicData uri="http://schemas.openxmlformats.org/drawingml/2006/picture">
                <pic:pic>
                  <pic:nvPicPr>
                    <pic:cNvPr id="0" name="figS1_incremental_response.png"/>
                    <pic:cNvPicPr/>
                  </pic:nvPicPr>
                  <pic:blipFill>
                    <a:blip r:embed="rId10"/>
                    <a:stretch>
                      <a:fillRect/>
                    </a:stretch>
                  </pic:blipFill>
                  <pic:spPr>
                    <a:xfrm>
                      <a:off x="0" y="0"/>
                      <a:ext cx="6035040" cy="2964762"/>
                    </a:xfrm>
                    <a:prstGeom prst="rect"/>
                  </pic:spPr>
                </pic:pic>
              </a:graphicData>
            </a:graphic>
          </wp:inline>
        </w:drawing>
      </w:r>
    </w:p>
    <w:p>
      <w:pPr>
        <w:spacing w:line="252" w:lineRule="auto"/>
        <w:ind w:firstLine="0"/>
        <w:jc w:val="left"/>
      </w:pPr>
      <w:r>
        <w:rPr>
          <w:b w:val="0"/>
          <w:sz w:val="20"/>
        </w:rPr>
        <w:t>Figure S1. Finite incremental implied-yuan responses. Pointwise 95% intervals use the existing 4,000 cell-stratified bootstrap draws. These summarize coded hypothetical responses, not local consumption derivatives.</w:t>
      </w:r>
    </w:p>
    <w:p>
      <w:pPr>
        <w:pStyle w:val="Heading1"/>
        <w:pageBreakBefore/>
      </w:pPr>
      <w:r>
        <w:t>S5 Interval affine sensitivity</w:t>
      </w:r>
    </w:p>
    <w:p>
      <w:r>
        <w:rPr>
          <w:b w:val="0"/>
        </w:rPr>
        <w:t>The maximum absolute merged-category calibration error is about 20.8 percentage points with constant residual scale and 8.8 with amount-specific scale in the unrestricted fits. The changing latent parameters and imperfect calibration preclude interpreting the fitted slopes as structural MPCs.</w:t>
      </w:r>
    </w:p>
    <w:p>
      <w:r>
        <w:rPr>
          <w:b w:val="0"/>
        </w:rPr>
        <w:t>The bottom category has no numeric separation from the next category. The merged five-category mapping is conditional on essentially no increase lying below 10% of the transfer. The interior bounds are approximate; the top wording above 75% is right-censored despite a parenthetical example ending at 100%. No hard 100% cap is imposed. The latent-normal lower tail permits negative values and does not claim that negative or zero actual spending was observed.</w:t>
      </w:r>
    </w:p>
    <w:p>
      <w:r>
        <w:rPr>
          <w:b w:val="0"/>
        </w:rPr>
        <w:t>The grouped multinomial likelihood uses individual category counts. The primary scale is constant across all cells; the sole sensitivity has one sigma per amount, common across forms. Full form-intercept/form-slope and constrained common-slope models are fitted under each scale. Sandwich covariance uses individual score contributions and the observed Hessian. Both unrestricted models use 4,000 independent cell-stratified bootstrap draws. All 8,000 converge; the largest normalized observed-fit gradient is 6.36×10−7. A fixed neutral-start retry was allowed only for numerical convergence and never changed the model or redrew samples. The per-draw convergence log is retained in aggregate replication files. Calibration is poor enough, and scale sensitivity large enough, to preclude structural interpretation.</w:t>
      </w:r>
    </w:p>
    <w:p>
      <w:pPr>
        <w:pStyle w:val="Heading2"/>
      </w:pPr>
      <w:r>
        <w:t>Table S5a Interval parameters and bootstrap precision</w:t>
      </w:r>
    </w:p>
    <w:tbl>
      <w:tblPr>
        <w:tblW w:type="auto" w:w="0"/>
        <w:jc w:val="center"/>
        <w:tblLayout w:type="fixed"/>
        <w:tblLook w:firstColumn="1" w:firstRow="1" w:lastColumn="0" w:lastRow="0" w:noHBand="0" w:noVBand="1" w:val="04A0"/>
      </w:tblPr>
      <w:tblGrid>
        <w:gridCol w:w="1728"/>
        <w:gridCol w:w="1699"/>
        <w:gridCol w:w="1015"/>
        <w:gridCol w:w="1015"/>
        <w:gridCol w:w="1015"/>
        <w:gridCol w:w="1015"/>
        <w:gridCol w:w="1015"/>
        <w:gridCol w:w="1015"/>
      </w:tblGrid>
      <w:tr>
        <w:trPr>
          <w:cantSplit/>
          <w:tblHeader/>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parameter</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lo</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hi</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valid</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bootstrap failed</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-330.7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31.59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-394.5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-268.9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-403.8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32.71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-467.1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-341.2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-530.5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35.34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-600.1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0.01472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0.1977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0.2567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0.2311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0.01548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0.2007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0.2623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0.2121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29.22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948.2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1054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-0.003961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0.02132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-0.04557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0.03852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-0.01394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0.02046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-0.05466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0.02695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-0.009983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0.02093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-0.05138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0.03182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-343.1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31.26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31.04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-513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34.25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common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0.2331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0.008715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29.22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8.456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5.402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-2.148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19.21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3.833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5.472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-6.73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15.26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-12.26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5.683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-23.35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0.09965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0.07082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0.1269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0.07472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0.01455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0.04606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0.05465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0.02612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0.08145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200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91.76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85.61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97.97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1000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399.9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13.16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374.6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426.9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5000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1856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61.68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1740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1980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cash-food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0.02492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0.02034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-0.01544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0.06451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0.01989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0.004992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0.08399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food-medical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0.02007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-0.01977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14.26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4.554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3.439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4.628</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 intercept</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-17.76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4.924</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common slope</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0.07607</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0.008629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200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91.89</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3.172</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1000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400.3</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13.21</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sigma 5000</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1856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61.66</w:t>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1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bl>
    <w:p>
      <w:pPr>
        <w:spacing w:after="0" w:before="0" w:line="40" w:lineRule="exact"/>
        <w:ind w:firstLine="0"/>
      </w:pPr>
    </w:p>
    <w:p>
      <w:pPr>
        <w:pStyle w:val="Heading2"/>
      </w:pPr>
      <w:r>
        <w:t>Table S5b Fit diagnostics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loglik</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slope equality p</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mean abs probability error</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max probability error</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constant full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-9255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0.7803</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0.1015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0.2081</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constant common slope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-9255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0.1015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0.2087</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amount full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-7394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0.07687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0.03999</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0.08782</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-7397</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0.0899</w:t>
            </w:r>
          </w:p>
        </w:tc>
      </w:tr>
    </w:tbl>
    <w:p>
      <w:pPr>
        <w:spacing w:after="0" w:before="0" w:line="40" w:lineRule="exact"/>
        <w:ind w:firstLine="0"/>
      </w:pPr>
    </w:p>
    <w:p>
      <w:pPr>
        <w:pStyle w:val="Heading2"/>
      </w:pPr>
      <w:r>
        <w:t>Table S5c Merged category calibration</w:t>
      </w:r>
    </w:p>
    <w:tbl>
      <w:tblPr>
        <w:tblW w:type="auto" w:w="0"/>
        <w:jc w:val="center"/>
        <w:tblLayout w:type="fixed"/>
        <w:tblLook w:firstColumn="1" w:firstRow="1" w:lastColumn="0" w:lastRow="0" w:noHBand="0" w:noVBand="1" w:val="04A0"/>
      </w:tblPr>
      <w:tblGrid>
        <w:gridCol w:w="1728"/>
        <w:gridCol w:w="1699"/>
        <w:gridCol w:w="1218"/>
        <w:gridCol w:w="1218"/>
        <w:gridCol w:w="1218"/>
        <w:gridCol w:w="1218"/>
        <w:gridCol w:w="1218"/>
      </w:tblGrid>
      <w:tr>
        <w:trPr>
          <w:cantSplit/>
          <w:tblHeader/>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model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merged category</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observed probability</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predicted probability</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error</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0.01136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-0.1399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0.01832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-0.03184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0.3318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0.1975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0.5806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0.1009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0.05748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-0.1435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0.08872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-0.07176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0.007108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0.1073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0.3803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-0.09552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0.04663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0.1262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0.04351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-0.02546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0.001625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0.1625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0.01107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-0.1879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0.01774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0.306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0.2081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0.6074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-0.1715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0.08564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-0.06621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0.02077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0.4008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0.2689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0.1537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0.001366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-0.07376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0.6922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0.1221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0.01046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0.01707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0.01658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0.6514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0.1146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0.05365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-0.1738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0.07983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-0.04946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0.01161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0.1495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0.09709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0.4307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-0.09139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0.2866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0.1177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0.03302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-0.03954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0.001059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-0.03837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0.6241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0.1711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0.01132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0.01861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0.01824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-0.03192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0.3277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0.5831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0.05738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0.08846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-0.07202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0.07602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0.00676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0.1055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0.3736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-0.1022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0.2918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0.04698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0.04508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0.6485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0.01106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0.01771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0.3046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0.2068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0.6083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0.05622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-0.1716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0.02065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0.1776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0.3985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0.2903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0.05154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0.2705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-0.01402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0.001391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-0.07373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0.6866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0.1165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0.01722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0.01674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-0.03863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0.2689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0.2087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0.6479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0.08034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-0.04895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0.01218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0.09929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0.4394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-0.08266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0.2854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0.2428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-0.04113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constant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0.0009813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-0.03845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0.4636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0.03075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0.07487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-0.04178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0.01219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0.1467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-0.05428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0.03735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0.04005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0.05422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-0.03531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-0.08782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0.04606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0.1012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0.03219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-0.01313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0.5053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0.02081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0.1279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-0.07116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0.04806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-0.02153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0.5214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0.02219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0.1446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-0.08322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0.1881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0.03624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0.09939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0.04769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0.5263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0.008788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-0.08422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0.1927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0.07753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0.09181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0.03839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0.03463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0.5919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-0.06552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0.1532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0.02455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0.08518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-0.01071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0.5573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0.02045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-0.08659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0.04629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0.08783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-0.01398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0.5512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0.02914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-0.08334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0.1832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0.01124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full</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-0.009338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0.4531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0.4589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0.005862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0.2039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-0.07444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0.1586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0.1902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0.03166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0.1266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0.07641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0.09481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0.5096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0.02991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0.1454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-0.05564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0.1605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0.03146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0.1034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0.03412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-0.03984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0.4759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0.04678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0.1549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0.1941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0.03723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0.02403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0.4845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0.5058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0.02134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0.1277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-0.07136</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0.02352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0.04794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0.09788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0.07644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-0.02144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0.4992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0.5204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0.02122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0.1445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-0.08329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0.1883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0.03647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0.09979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0.04809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0.04697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-0.0225</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0.5175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0.007438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0.1547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-0.08403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0.1933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0.07807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0.09223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0.03881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0.03485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-0.04028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0.5969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0.02688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0.1857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0.1194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-0.06629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0.1287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0.02284</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0.08377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0.02839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0.06026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0.04844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-0.01182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0.5368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0.5415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0.004649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0.2275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0.1425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-0.08499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0.1811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0.05401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0.09293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0.03892</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0.05237</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-0.01037</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0.5221</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0.5295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0.007431</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0.1542</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-0.08079</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0.1309</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0.1915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0.06063</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0.07256</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0.09074</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0.01818</w:t>
            </w:r>
          </w:p>
        </w:tc>
      </w:tr>
      <w:tr>
        <w:trPr>
          <w:cantSplit/>
        </w:trPr>
        <w:tc>
          <w:tcPr>
            <w:tcW w:type="dxa" w:w="172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amount common slope</w:t>
            </w:r>
          </w:p>
        </w:tc>
        <w:tc>
          <w:tcPr>
            <w:tcW w:type="dxa" w:w="16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0.03943</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0.03398</w:t>
            </w:r>
          </w:p>
        </w:tc>
        <w:tc>
          <w:tcPr>
            <w:tcW w:type="dxa" w:w="12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-0.005455</w:t>
            </w:r>
          </w:p>
        </w:tc>
      </w:tr>
    </w:tbl>
    <w:p>
      <w:pPr>
        <w:spacing w:after="0" w:before="0" w:line="40" w:lineRule="exact"/>
        <w:ind w:firstLine="0"/>
      </w:pPr>
    </w:p>
    <w:p>
      <w:pPr>
        <w:spacing w:line="252" w:lineRule="auto"/>
        <w:ind w:firstLine="0"/>
        <w:jc w:val="left"/>
      </w:pPr>
      <w:r>
        <w:rPr>
          <w:b w:val="0"/>
          <w:sz w:val="20"/>
        </w:rPr>
        <w:t>Note: The complete table reports 45 probabilities per model, including both constrained fits. Category labels are below 10%,10–25%,25–50%,50–75%,above 75%. Errors are predicted minus observed. No numerically successful fit is silently substituted for the primary model.</w:t>
      </w:r>
    </w:p>
    <w:p>
      <w:pPr>
        <w:pStyle w:val="Heading1"/>
        <w:pageBreakBefore/>
      </w:pPr>
      <w:r>
        <w:t>S6 Food expenditure prediction and precision</w:t>
      </w:r>
    </w:p>
    <w:p>
      <w:r>
        <w:rPr>
          <w:b w:val="0"/>
        </w:rPr>
        <w:t>The G = 1 minus G = 0 highest-category Food–Cash gradient is −6.67 percentage points per fivefold step [−11.63, −1.71], with historical Holm7 p = 0.0504. The positive gradients in the two proxy groups concern a different comparison from this negative difference between gradients. For the complete two-restriction ratio models, highest-category Holm6 p values are 0.0426 and 0.0437 under the two mappings; the other four tests reject more strongly.</w:t>
      </w:r>
    </w:p>
    <w:p>
      <w:r>
        <w:rPr>
          <w:b w:val="0"/>
        </w:rPr>
        <w:t>Food−Cash is the sign convention throughout. The sharp prediction was negative in the subgroup more likely to face increasing bindingness. Historical G=0 and G=1 estimates are independently reproduced as positive 8.00 and 1.33 pp, respectively. G=0 is failure of a conservative lower-bound proxy, not observed bindingness. The sharp prediction is contradicted conditional on the proxy, rather than confirmed. No more general bindingness model is thereby excluded.</w:t>
      </w:r>
    </w:p>
    <w:p>
      <w:r>
        <w:rPr>
          <w:b w:val="0"/>
        </w:rPr>
        <w:t>Continuous models use all lower-order terms in form×amount-step×ordered-food-band. Adjusted models add log mapped income and ordered household size, with their full form and size interactions. Income uses the inherited M1 mapping, while household-size code 6 is six or more. Standardization is within adult Cash/Food (N 3,621); moderator units and 10th/90th percentiles are retained below. Six focal food coefficients use Holm6. Ratio sensitivities use two frozen monthly-food proxy mappings, multiplied by six and logged. These proxy values are not observed exact expenditure. The ratio-only model requires both common and form-dependent coefficient sums to equal zero; the interaction-only restriction is not a complete model test. The one-degree-of-freedom columns apply that historical type of restriction to the new mapped-expenditure sample; the actual earlier lower-bound fit excluded the lowest food band and used N=3,476, with nominal p=0.415 (Holm7=1). These are not identical fits.</w:t>
      </w:r>
    </w:p>
    <w:p>
      <w:pPr>
        <w:pStyle w:val="Heading2"/>
      </w:pPr>
      <w:r>
        <w:t>Table S6a Food subgroup raw cells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G</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ordinal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midpoint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top75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above bottom</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0.2258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0.6541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2.468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0.1782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0.6349</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2.274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0.02222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0.637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2.217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0.1376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0.5594</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2.462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0.1809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0.09091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0.6288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0.1652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0.5822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485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2.996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0.7464</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2.893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0.2398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0.09442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0.7361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445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2.836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0.222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0.06292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0.7528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470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2.951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0.2542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0.7277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487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0.7187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0.2045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0.07285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0.7373</w:t>
            </w:r>
          </w:p>
        </w:tc>
      </w:tr>
    </w:tbl>
    <w:p>
      <w:pPr>
        <w:spacing w:after="0" w:before="0" w:line="40" w:lineRule="exact"/>
        <w:ind w:firstLine="0"/>
      </w:pPr>
    </w:p>
    <w:p>
      <w:pPr>
        <w:pStyle w:val="Heading2"/>
      </w:pPr>
      <w:r>
        <w:t>Table S6a continued Original six category frequencies</w:t>
      </w:r>
    </w:p>
    <w:tbl>
      <w:tblPr>
        <w:tblW w:type="auto" w:w="0"/>
        <w:jc w:val="center"/>
        <w:tblLayout w:type="fixed"/>
        <w:tblLook w:firstColumn="1" w:firstRow="1" w:lastColumn="0" w:lastRow="0" w:noHBand="0" w:noVBand="1" w:val="04A0"/>
      </w:tblPr>
      <w:tblGrid>
        <w:gridCol w:w="1670"/>
        <w:gridCol w:w="981"/>
        <w:gridCol w:w="981"/>
        <w:gridCol w:w="981"/>
        <w:gridCol w:w="981"/>
        <w:gridCol w:w="981"/>
        <w:gridCol w:w="981"/>
        <w:gridCol w:w="981"/>
        <w:gridCol w:w="98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G</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share6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0.3459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0.1955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0.1654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0.1203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0.03759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0.1353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0.3651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0.1508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0.04762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0.07143</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0.363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0.2519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0.2148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0.03704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0.02222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0.4406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0.2028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0.1538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0.1399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0.02797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0.3712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0.2424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0.1742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0.06818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0.05303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0.09091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0.4178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0.1644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0.2466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0.05479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0.03425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0.08219</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0.2536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0.1753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0.2144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0.1691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0.05361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0.2639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0.1824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0.2146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0.1695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0.07511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0.09442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0.2472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0.1865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0.2539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0.1708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0.07865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0.06292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0.2723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0.1638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0.2128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0.1596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0.07447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0.2813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0.1869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0.2423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0.1745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0.05133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0.2627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0.2362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0.1347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0.07285</w:t>
            </w:r>
          </w:p>
        </w:tc>
      </w:tr>
    </w:tbl>
    <w:p>
      <w:pPr>
        <w:spacing w:after="0" w:before="0" w:line="40" w:lineRule="exact"/>
        <w:ind w:firstLine="0"/>
      </w:pPr>
    </w:p>
    <w:p>
      <w:pPr>
        <w:pStyle w:val="Heading2"/>
      </w:pPr>
      <w:r>
        <w:t>Table S6b Sign reproduction</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Food-Cash slope G=0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0.08005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0.03829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0.1218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0.0001717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Food-Cash slope G=1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2806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-0.01348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0.04013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G1-G0 Food-Cash slope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-0.06673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-0.1163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0.008396</w:t>
            </w:r>
          </w:p>
        </w:tc>
      </w:tr>
    </w:tbl>
    <w:p>
      <w:pPr>
        <w:spacing w:after="0" w:before="0" w:line="40" w:lineRule="exact"/>
        <w:ind w:firstLine="0"/>
      </w:pPr>
    </w:p>
    <w:p>
      <w:pPr>
        <w:pStyle w:val="Heading2"/>
      </w:pPr>
      <w:r>
        <w:t>Table S6c Continuous unadjusted moderation</w:t>
      </w:r>
    </w:p>
    <w:tbl>
      <w:tblPr>
        <w:tblW w:type="auto" w:w="0"/>
        <w:jc w:val="center"/>
        <w:tblLayout w:type="fixed"/>
        <w:tblLook w:firstColumn="1" w:firstRow="1" w:lastColumn="0" w:lastRow="0" w:noHBand="0" w:noVBand="1" w:val="04A0"/>
      </w:tblPr>
      <w:tblGrid>
        <w:gridCol w:w="1670"/>
        <w:gridCol w:w="981"/>
        <w:gridCol w:w="981"/>
        <w:gridCol w:w="981"/>
        <w:gridCol w:w="981"/>
        <w:gridCol w:w="981"/>
        <w:gridCol w:w="981"/>
        <w:gridCol w:w="981"/>
        <w:gridCol w:w="98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lo</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hi</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top75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0.002893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0.01337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-0.02331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0.02909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-0.03238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0.03816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0.8287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midpoint</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-0.009896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0.01158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-0.03259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0.0128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-0.04044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0.02065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0.3927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-0.06066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0.06641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-0.1908</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-0.2359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0.1145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0.361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bl>
    <w:p>
      <w:pPr>
        <w:spacing w:after="0" w:before="0" w:line="40" w:lineRule="exact"/>
        <w:ind w:firstLine="0"/>
      </w:pPr>
    </w:p>
    <w:p>
      <w:pPr>
        <w:pStyle w:val="Heading2"/>
      </w:pPr>
      <w:r>
        <w:t>Table S6d Continuous adjusted moderation</w:t>
      </w:r>
    </w:p>
    <w:tbl>
      <w:tblPr>
        <w:tblW w:type="auto" w:w="0"/>
        <w:jc w:val="center"/>
        <w:tblLayout w:type="fixed"/>
        <w:tblLook w:firstColumn="1" w:firstRow="1" w:lastColumn="0" w:lastRow="0" w:noHBand="0" w:noVBand="1" w:val="04A0"/>
      </w:tblPr>
      <w:tblGrid>
        <w:gridCol w:w="1670"/>
        <w:gridCol w:w="981"/>
        <w:gridCol w:w="981"/>
        <w:gridCol w:w="981"/>
        <w:gridCol w:w="981"/>
        <w:gridCol w:w="981"/>
        <w:gridCol w:w="981"/>
        <w:gridCol w:w="981"/>
        <w:gridCol w:w="98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se</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lo</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sim hi</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top75</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0.004387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0.01392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-0.0229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0.03167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-0.03234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0.04111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0.7526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midpoint</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-0.009036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0.01216</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-0.03287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0.01479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-0.04111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0.02304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0.4573</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ordinal</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-0.05374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0.07011</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-0.1912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0.08369</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-0.2387</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0.1312</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0.4434</w:t>
            </w:r>
          </w:p>
        </w:tc>
        <w:tc>
          <w:tcPr>
            <w:tcW w:type="dxa" w:w="98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r>
    </w:tbl>
    <w:p>
      <w:pPr>
        <w:spacing w:after="0" w:before="0" w:line="40" w:lineRule="exact"/>
        <w:ind w:firstLine="0"/>
      </w:pPr>
    </w:p>
    <w:p>
      <w:pPr>
        <w:pStyle w:val="Heading2"/>
      </w:pPr>
      <w:r>
        <w:t>Table S6e Moderator scaling</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variable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source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transform</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mean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p90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 band z</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q29 foodexp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ordered response code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3.398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1.165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1.376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income z</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income 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log</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8.487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-0.881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0.8578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household band z</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q28 hhsize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ordered response code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3.161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1.256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r>
    </w:tbl>
    <w:p>
      <w:pPr>
        <w:spacing w:after="0" w:before="0" w:line="40" w:lineRule="exact"/>
        <w:ind w:firstLine="0"/>
      </w:pPr>
    </w:p>
    <w:p>
      <w:pPr>
        <w:pStyle w:val="Heading2"/>
      </w:pPr>
      <w:r>
        <w:t>Table S6f Complete ratio restriction tests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mapping</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outcome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R2 loss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interaction only1df p</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top75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0.0426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0.002327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0.8177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2.074e-11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8.295e-11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0.0139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0.8928</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5.694e-15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3.417e-14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0.01814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0.8546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top75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0.04372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0.04372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0.001765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0.5154</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5.896e-10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1.769e-09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0.01166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0.6847</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2.421e-13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1.211e-12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0.01578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0.7159</w:t>
            </w:r>
          </w:p>
        </w:tc>
      </w:tr>
    </w:tbl>
    <w:p>
      <w:pPr>
        <w:spacing w:after="0" w:before="0" w:line="40" w:lineRule="exact"/>
        <w:ind w:firstLine="0"/>
      </w:pPr>
    </w:p>
    <w:p>
      <w:pPr>
        <w:pStyle w:val="Heading2"/>
      </w:pPr>
      <w:r>
        <w:t>Table S6g Ratio coefficient pairs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mapping</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outcome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term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-0.01474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0.06622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0.01763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0.003556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0.03171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-0.01392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0.01453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-0.01553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-0.02487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-0.006188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0.06487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0.08357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0.005327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-0.003372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0.02176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-0.1236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0.4006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0.2932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0.5081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-0.05613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0.09758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-0.00523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-0.1511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0.1406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-0.02474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-0.01462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0.03644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0.01764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0.05524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0.003498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0.03165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-0.00818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-0.03275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0.01639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-0.01535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-0.02469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-0.005997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0.05419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0.03792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0.07046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0.005262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-0.007812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0.01834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midpoint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2.333e-05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-0.02159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0.02164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-0.06777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-0.1224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-0.01308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0.3391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0.4326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C(form)[T.food]:la</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-0.05659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0.0972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ordinal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C(form)[T.food]:lf</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0.007335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-0.1184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0.1331</w:t>
            </w:r>
          </w:p>
        </w:tc>
      </w:tr>
    </w:tbl>
    <w:p>
      <w:pPr>
        <w:spacing w:after="0" w:before="0" w:line="40" w:lineRule="exact"/>
        <w:ind w:firstLine="0"/>
      </w:pPr>
    </w:p>
    <w:p>
      <w:pPr>
        <w:pStyle w:val="Heading1"/>
        <w:pageBreakBefore/>
      </w:pPr>
      <w:r>
        <w:t>S7 Prediction and precision ledger</w:t>
      </w:r>
    </w:p>
    <w:p>
      <w:r>
        <w:rPr>
          <w:b w:val="0"/>
        </w:rPr>
        <w:t>For unadjusted continuous Food moderation of the highest-category gradient, the nominal 80% MDE is 3.75 percentage points per standard deviation, rising to 4.65 with the six-test adjustment. The 10th–90th moderator span gives a compatible gradient-change interval of −6.00 to +7.49 points, compared with the Cash slope of −4.05 points per fivefold step. The adjusted estimate is +0.44 [−2.29, 3.17] points per standard deviation. All six focal continuous moderation tests have Holm6 p = 1.</w:t>
      </w:r>
    </w:p>
    <w:p>
      <w:r>
        <w:rPr>
          <w:b w:val="0"/>
        </w:rPr>
        <w:t>Relative rather than nominal income scaling improves highest-category held-out prediction by about 0.12%–0.17% across the two mappings in Table S7d. These gains are distinct from those of the unrestricted model. The nominal-only restriction rejects in the historical seven-test family; the relative-income restriction and income three-way interaction do not retain corrected evidence. This combination does not establish a ratio law.</w:t>
      </w:r>
    </w:p>
    <w:p>
      <w:r>
        <w:rPr>
          <w:b w:val="0"/>
        </w:rPr>
        <w:t>Income rank and emergency fundraising capacity are descriptive correlates rather than positive controls. The income association has the opposite sign to the generic validation prediction; emergency capacity is marginal after correction. Cash amount is the studied treatment and cannot serve as an independent validation control.</w:t>
      </w:r>
    </w:p>
    <w:p>
      <w:r>
        <w:rPr>
          <w:b w:val="0"/>
        </w:rPr>
        <w:t>For scalar estimates the nominal 80% normal-design minimum detectable effect is (z0.975+z0.8)×SE; the family-adjusted value uses z at 1−0.05/(2K). These plug-in quantities do not constitute realized power or justify equivalence. Joint restrictions have no unique scalar MDE. Where moderator and outcome units match, the observed 10th–90th span multiplies the coefficient interval and is compared with the matching Cash trend. It is a compatible observational range, not a causal proportion explained.</w:t>
      </w:r>
    </w:p>
    <w:p>
      <w:r>
        <w:rPr>
          <w:b w:val="0"/>
        </w:rPr>
        <w:t>Historical baseline-moderator fits retain the original full delivered sample N = 5,497 and full-sample standardization, with a matching full-sample headline slope. They were not rerun or searched. The continuous Food results use adult Cash/Food standardization and the adult benchmark. Joint income and screen nonrejections are retained as restrictions with no manufactured scalar precision. All-X and prediction summaries have different estimands and cannot be converted into percent explained. The ledger separates contradiction, affirmative restriction evidence, lack of affirmative moderation and inadequate precision.</w:t>
      </w:r>
    </w:p>
    <w:p>
      <w:pPr>
        <w:pStyle w:val="Heading2"/>
      </w:pPr>
      <w:r>
        <w:t>Table S7a Scalar precision</w:t>
      </w:r>
    </w:p>
    <w:tbl>
      <w:tblPr>
        <w:tblW w:type="auto" w:w="0"/>
        <w:jc w:val="center"/>
        <w:tblLayout w:type="fixed"/>
        <w:tblLook w:firstColumn="1" w:firstRow="1" w:lastColumn="0" w:lastRow="0" w:noHBand="0" w:noVBand="1" w:val="04A0"/>
      </w:tblPr>
      <w:tblGrid>
        <w:gridCol w:w="2390"/>
        <w:gridCol w:w="576"/>
        <w:gridCol w:w="1092"/>
        <w:gridCol w:w="1092"/>
        <w:gridCol w:w="1092"/>
        <w:gridCol w:w="1092"/>
        <w:gridCol w:w="1092"/>
        <w:gridCol w:w="1092"/>
      </w:tblGrid>
      <w:tr>
        <w:trPr>
          <w:cantSplit/>
          <w:tblHeader/>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account</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family K</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MDE80 nominal</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MDE80 family</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Fixed-yuan arithmetic</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Affine cash-food slope</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0.004573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-0.02676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0.04478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0.05172</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Affine cash-medical slope</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0.01975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-0.009676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0.04917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0.04206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0.04857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Affine food-medical slope</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0.01518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-0.01498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0.04533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0.04311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0.04979</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income ABS3df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income REL3df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income triple2df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inframarginal triple1df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-0.06673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-0.1163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-0.01711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0.07093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0.08941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ratio restriction1df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3476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-0.01443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-0.04911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0.02025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0.04958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triple2df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triple2df</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top75</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0.002893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-0.02331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0.02909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0.03745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0.04652</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midpoint</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-0.009896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-0.03259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0.0128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0.03244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0.04029</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ordinal</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-0.06066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-0.1908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0.0695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0.186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0.2311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top75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0.004387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0.03167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0.04844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midpoint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-0.03287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0.01479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0.03406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0.04231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ordinal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-0.05374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-0.1912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0.08369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0.1964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0.244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income rank z</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5497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0.008321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-0.009053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0.02483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0.0358</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fundraising</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5497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-0.0001561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-0.02063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0.02031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0.02926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0.04218</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food need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5497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-0.009032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-0.02795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0.009883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0.02704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0.03897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medical need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5497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-0.003688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-0.02201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0.01463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0.02618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0.03774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0 food-cash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2765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0.03417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0.005582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0.06277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0.04087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0.04087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0 medical-cash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2765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0.03011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0.004076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0.05615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0.03721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0.03721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1 food-cash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0.02685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-0.008579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0.06228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0.05064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0.05064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 1 medical-cash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2715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0.03022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-0.001126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0.06157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0.04481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0.04481</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0 food-cash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4272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0.03203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0.007554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0.05652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0.03499</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0 medical-cash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4272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0.03128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0.009424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0.05313</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0.03124</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0.03124</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1 food-cash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0.0308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-0.02447</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0.08606</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0.07899</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0.07899</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1 medical-cash</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0.03278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-0.01742</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0.08298</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0.07175</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0.07175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Observable composition</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09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bl>
    <w:p>
      <w:pPr>
        <w:spacing w:after="0" w:before="0" w:line="40" w:lineRule="exact"/>
        <w:ind w:firstLine="0"/>
      </w:pPr>
    </w:p>
    <w:p>
      <w:pPr>
        <w:pStyle w:val="Heading2"/>
      </w:pPr>
      <w:r>
        <w:t>Table S7b Compatible moderator ranges</w:t>
      </w:r>
    </w:p>
    <w:tbl>
      <w:tblPr>
        <w:tblW w:type="auto" w:w="0"/>
        <w:jc w:val="center"/>
        <w:tblLayout w:type="fixed"/>
        <w:tblLook w:firstColumn="1" w:firstRow="1" w:lastColumn="0" w:lastRow="0" w:noHBand="0" w:noVBand="1" w:val="04A0"/>
      </w:tblPr>
      <w:tblGrid>
        <w:gridCol w:w="2390"/>
        <w:gridCol w:w="576"/>
        <w:gridCol w:w="2184"/>
        <w:gridCol w:w="2184"/>
        <w:gridCol w:w="2184"/>
      </w:tblGrid>
      <w:tr>
        <w:trPr>
          <w:cantSplit/>
          <w:tblHeader/>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account</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10th–90th span</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Change low</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Change high</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headline slope</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top75</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-0.06004</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0.07495</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midpoint</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-0.08395</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0.03296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-0.02568</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ordinal</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-0.4916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0.179</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top75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-0.05898</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0.08159</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-0.04047</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midpoint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-0.08466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0.03811</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-0.02568</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 band ordinal adjusted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2.576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-0.4924</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0.2156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-0.1152</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income rank z</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2.318</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-0.02098</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0.05956</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-0.04055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fundraising</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2.797</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-0.05769</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0.05682</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-0.04055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food need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2.567</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-0.07174</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0.02537</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-0.04055</w:t>
            </w:r>
          </w:p>
        </w:tc>
      </w:tr>
      <w:tr>
        <w:trPr>
          <w:cantSplit/>
        </w:trPr>
        <w:tc>
          <w:tcPr>
            <w:tcW w:type="dxa" w:w="23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Historical medical need</w:t>
            </w:r>
          </w:p>
        </w:tc>
        <w:tc>
          <w:tcPr>
            <w:tcW w:type="dxa" w:w="57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2.892</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-0.06365</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0.04231</w:t>
            </w:r>
          </w:p>
        </w:tc>
        <w:tc>
          <w:tcPr>
            <w:tcW w:type="dxa" w:w="21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-0.04055</w:t>
            </w:r>
          </w:p>
        </w:tc>
      </w:tr>
    </w:tbl>
    <w:p>
      <w:pPr>
        <w:spacing w:after="0" w:before="0" w:line="40" w:lineRule="exact"/>
        <w:ind w:firstLine="0"/>
      </w:pPr>
    </w:p>
    <w:p>
      <w:pPr>
        <w:pStyle w:val="Heading2"/>
      </w:pPr>
      <w:r>
        <w:t>Table S7c Historical adult mechanism restrictions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test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income ABS3df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0.004244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0.02971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income REL3df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0.03515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0.1758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income triple2df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0.4708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inframarginal triple1df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3621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0.008396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0.05037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-0.06673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-0.1163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-0.01711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ratio restriction1df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3476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0.4148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-0.01443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-0.04911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0.02025</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triple2df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0.9265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triple2df</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0.9943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r>
          </w:p>
        </w:tc>
      </w:tr>
    </w:tbl>
    <w:p>
      <w:pPr>
        <w:spacing w:after="0" w:before="0" w:line="40" w:lineRule="exact"/>
        <w:ind w:firstLine="0"/>
      </w:pPr>
    </w:p>
    <w:p>
      <w:pPr>
        <w:pStyle w:val="Heading2"/>
      </w:pPr>
      <w:r>
        <w:t>Table S7d Historical relative income prediction</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mapping</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model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logloss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Absolute gain vs additive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Relative gain vs additive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Absolute gain vs ABS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Relative gain vs ABS</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additive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-0.0001889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-0.0007229</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ABS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0.0001889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0.0007224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REL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0.0006373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0.002437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0.0004483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0.001716</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unrestricted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0.0009602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0.003671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0.0007712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0.002951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triple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0.0006101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0.002333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0.0004212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0.001612</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additive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0.2615</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-0.0001889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-0.0007229</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ABS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0.0001889</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0.0007224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REL</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0.0005144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0.001967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0.0003254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0.001245</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unrestricted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0.2607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0.000853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0.003262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0.0006641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0.002541</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triple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0.261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0.0005344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0.002043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0.0003454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0.001322</w:t>
            </w:r>
          </w:p>
        </w:tc>
      </w:tr>
    </w:tbl>
    <w:p>
      <w:pPr>
        <w:spacing w:after="0" w:before="0" w:line="40" w:lineRule="exact"/>
        <w:ind w:firstLine="0"/>
      </w:pPr>
    </w:p>
    <w:p>
      <w:pPr>
        <w:pStyle w:val="Heading2"/>
      </w:pPr>
      <w:r>
        <w:t>S7.1 Historical broad observable screen</w:t>
      </w:r>
    </w:p>
    <w:p>
      <w:r>
        <w:rPr>
          <w:b w:val="0"/>
        </w:rPr>
        <w:t>The previously completed screen considered 150 representations per target/outcome, not 150 independent hypotheses. Cash and an earlier pooled restricted-versus-cash contrast (RC) were screened for ordinal, midpoint and highest-category outcomes. The historical full delivered sample and its original definitions are retained; no adult or separate Food/Medical screen is fitted here. No row had q &lt; 0.10 in its original family. This is lack of detected moderation, not evidence of homogeneity.</w:t>
      </w:r>
    </w:p>
    <w:p>
      <w:pPr>
        <w:pStyle w:val="Heading2"/>
      </w:pPr>
      <w:r>
        <w:t>Table S7e Historical screen correction summaries</w:t>
      </w:r>
    </w:p>
    <w:tbl>
      <w:tblPr>
        <w:tblW w:type="auto" w:w="0"/>
        <w:jc w:val="center"/>
        <w:tblLayout w:type="fixed"/>
        <w:tblLook w:firstColumn="1" w:firstRow="1" w:lastColumn="0" w:lastRow="0" w:noHBand="0" w:noVBand="1" w:val="04A0"/>
      </w:tblPr>
      <w:tblGrid>
        <w:gridCol w:w="2304"/>
        <w:gridCol w:w="1804"/>
        <w:gridCol w:w="1804"/>
        <w:gridCol w:w="1804"/>
        <w:gridCol w:w="1804"/>
      </w:tblGrid>
      <w:tr>
        <w:trPr>
          <w:cantSplit/>
          <w:tblHeader/>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Target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Outcome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Estimable</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Minimum q</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q &lt; .10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0.8695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1.0000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0.9771</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rc</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0.9498</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rc</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0.9446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23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rc</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1.0000</w:t>
            </w:r>
          </w:p>
        </w:tc>
        <w:tc>
          <w:tcPr>
            <w:tcW w:type="dxa" w:w="180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r>
    </w:tbl>
    <w:p>
      <w:pPr>
        <w:spacing w:after="0" w:before="0" w:line="40" w:lineRule="exact"/>
        <w:ind w:firstLine="0"/>
      </w:pPr>
    </w:p>
    <w:p>
      <w:pPr>
        <w:pStyle w:val="Heading2"/>
      </w:pPr>
      <w:r>
        <w:t>Table S7f Historical five-fold diagnostics</w:t>
      </w:r>
    </w:p>
    <w:tbl>
      <w:tblPr>
        <w:tblW w:type="auto" w:w="0"/>
        <w:jc w:val="center"/>
        <w:tblLayout w:type="fixed"/>
        <w:tblLook w:firstColumn="1" w:firstRow="1" w:lastColumn="0" w:lastRow="0" w:noHBand="0" w:noVBand="1" w:val="04A0"/>
      </w:tblPr>
      <w:tblGrid>
        <w:gridCol w:w="749"/>
        <w:gridCol w:w="1008"/>
        <w:gridCol w:w="1368"/>
        <w:gridCol w:w="1757"/>
        <w:gridCol w:w="2318"/>
        <w:gridCol w:w="2318"/>
      </w:tblGrid>
      <w:tr>
        <w:trPr>
          <w:cantSplit/>
          <w:tblHeader/>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Target</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Outcome</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Representations</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Valid train / holdout</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Five train same direction</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Five holdout positive</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143</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67</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143</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77</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top75</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143</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67</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8</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rc</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ordinal</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141</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68</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rc</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midpoint</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146 / 141</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78</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w:t>
            </w:r>
          </w:p>
        </w:tc>
      </w:tr>
      <w:tr>
        <w:trPr>
          <w:cantSplit/>
        </w:trPr>
        <w:tc>
          <w:tcPr>
            <w:tcW w:type="dxa" w:w="74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rc</w:t>
            </w:r>
          </w:p>
        </w:tc>
        <w:tc>
          <w:tcPr>
            <w:tcW w:type="dxa" w:w="100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top75</w:t>
            </w:r>
          </w:p>
        </w:tc>
        <w:tc>
          <w:tcPr>
            <w:tcW w:type="dxa" w:w="136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150</w:t>
            </w:r>
          </w:p>
        </w:tc>
        <w:tc>
          <w:tcPr>
            <w:tcW w:type="dxa" w:w="17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146 / 141</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65</w:t>
            </w:r>
          </w:p>
        </w:tc>
        <w:tc>
          <w:tcPr>
            <w:tcW w:type="dxa" w:w="231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w:t>
            </w:r>
          </w:p>
        </w:tc>
      </w:tr>
    </w:tbl>
    <w:p>
      <w:pPr>
        <w:spacing w:after="0" w:before="0" w:line="40" w:lineRule="exact"/>
        <w:ind w:firstLine="0"/>
      </w:pPr>
    </w:p>
    <w:p>
      <w:pPr>
        <w:spacing w:line="252" w:lineRule="auto"/>
        <w:ind w:firstLine="0"/>
        <w:jc w:val="left"/>
      </w:pPr>
      <w:r>
        <w:rPr>
          <w:b w:val="0"/>
          <w:sz w:val="20"/>
        </w:rPr>
        <w:t>Note: Five cell-stratified folds, historical seed 20261005. Training directions project into held-out coefficients; factor vectors use the training unit direction. Counts describe consistency across all five folds and are dependent, not independent replications. Sparse factor and zero-variance failures remain disclosed. Overlap with the full sample makes training comparisons optimistic. These summaries are not joint BLP/GATES tests. Exact historical tables and definitions remain in results/mpc_allx_screen and results/nc_revision_audit; they do not identify a common psychological mechanism.</w:t>
      </w:r>
    </w:p>
    <w:p>
      <w:pPr>
        <w:pStyle w:val="Heading1"/>
        <w:pageBreakBefore/>
      </w:pPr>
      <w:r>
        <w:t>S8 Response style and calibration sensitivity</w:t>
      </w:r>
    </w:p>
    <w:p>
      <w:r>
        <w:rPr>
          <w:b w:val="0"/>
        </w:rPr>
        <w:t>Q1 requires the within-person SD across 15 attitude responses numbered before the scenario to be at least 1 and at least four distinct values. Q2 requires SD at least 1.5, at least five distinct values, and no more than 80% endpoints (0 or 10). Components are life satisfaction, safety, three fairness items, government and social trust, social security, emergency fundraising, support, gain, effort, mobility, voice and pressure. The integrated questionnaire numbers these items before scenario 32; confirmation of fielded sequence remains an author item. These are response-style screens, not comprehension or attention tests. Passing can relate to respondent type, and exclusion need not improve validity.</w:t>
      </w:r>
    </w:p>
    <w:p>
      <w:r>
        <w:rPr>
          <w:b w:val="0"/>
        </w:rPr>
        <w:t>Adult Q1 pass/fail Ns are 2,715/2,765; Q2 Ns 1,208/4,272. Historical highest-category joint pass/fail interaction p values are 0.927 and 0.994 (Holm7=1). Subgroup gradients and their intervals below prevent interpreting this as equivalence; the strict screen is especially imprecise. Ordinal results attenuate under the strict screen. The original full grid of sample and outcome robustness remains in the aggregate replication archive without adding it to the 42-test scientific family.</w:t>
      </w:r>
    </w:p>
    <w:p>
      <w:r>
        <w:rPr>
          <w:b w:val="0"/>
        </w:rPr>
        <w:t>Age×education post-stratification targets the historical census transcription and does not repair the recruitment frame or selection on unobservables. Uncapped weights have ESS 314.84 and maximum 51.16; cap 10 gives ESS 1,190.95 with maximum absolute target discrepancy 0.1653. These are historical sensitivity results, not a national estimate.</w:t>
      </w:r>
    </w:p>
    <w:p>
      <w:pPr>
        <w:pStyle w:val="Heading2"/>
      </w:pPr>
      <w:r>
        <w:t>Table S8a Passed and failed screen gradients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test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subgroup 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estimate</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lo</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hi</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0 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2765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0.03417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0.005582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0.06277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0.01915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0 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2765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0.03011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0.004076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0.05615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0.0234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1 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0.02685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-0.008579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0.06228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0.1374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Q1 1 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2715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0.03022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-0.001126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0.06157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0.05881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 0 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4272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0.03203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0.007554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0.05652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0.01032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 0 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4272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0.03128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0.009424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0.05313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0.005029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Q2 1 food-cash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1208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-0.02447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0.08606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0.2747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 1 medical-cash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0.03278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-0.01742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0.08298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0.2006</w:t>
            </w:r>
          </w:p>
        </w:tc>
      </w:tr>
    </w:tbl>
    <w:p>
      <w:pPr>
        <w:spacing w:after="0" w:before="0" w:line="40" w:lineRule="exact"/>
        <w:ind w:firstLine="0"/>
      </w:pPr>
    </w:p>
    <w:p>
      <w:pPr>
        <w:pStyle w:val="Heading2"/>
      </w:pPr>
      <w:r>
        <w:t>Table S8b Screen cell counts</w:t>
      </w:r>
    </w:p>
    <w:tbl>
      <w:tblPr>
        <w:tblW w:type="auto" w:w="0"/>
        <w:jc w:val="center"/>
        <w:tblLayout w:type="fixed"/>
        <w:tblLook w:firstColumn="1" w:firstRow="1" w:lastColumn="0" w:lastRow="0" w:noHBand="0" w:noVBand="1" w:val="04A0"/>
      </w:tblPr>
      <w:tblGrid>
        <w:gridCol w:w="2232"/>
        <w:gridCol w:w="1457"/>
        <w:gridCol w:w="1457"/>
        <w:gridCol w:w="1457"/>
        <w:gridCol w:w="1457"/>
        <w:gridCol w:w="1457"/>
      </w:tblGrid>
      <w:tr>
        <w:trPr>
          <w:cantSplit/>
          <w:tblHeader/>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screen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passed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form</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amount</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events</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311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333</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26</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279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498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60</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455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497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462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32</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488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477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25</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505</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cash</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14</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158</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21</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18</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food</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137</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200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126</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9</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134</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7</w:t>
            </w:r>
          </w:p>
        </w:tc>
      </w:tr>
      <w:tr>
        <w:trPr>
          <w:cantSplit/>
        </w:trPr>
        <w:tc>
          <w:tcPr>
            <w:tcW w:type="dxa" w:w="223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Q2</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medical</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5000</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129</w:t>
            </w:r>
          </w:p>
        </w:tc>
        <w:tc>
          <w:tcPr>
            <w:tcW w:type="dxa" w:w="145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w:t>
            </w:r>
          </w:p>
        </w:tc>
      </w:tr>
    </w:tbl>
    <w:p>
      <w:pPr>
        <w:spacing w:after="0" w:before="0" w:line="40" w:lineRule="exact"/>
        <w:ind w:firstLine="0"/>
      </w:pPr>
    </w:p>
    <w:p>
      <w:pPr>
        <w:pStyle w:val="Heading2"/>
      </w:pPr>
      <w:r>
        <w:t>Table S8c Historical calibration diagnostics</w:t>
      </w:r>
    </w:p>
    <w:tbl>
      <w:tblPr>
        <w:tblW w:type="auto" w:w="0"/>
        <w:jc w:val="center"/>
        <w:tblLayout w:type="fixed"/>
        <w:tblLook w:firstColumn="1" w:firstRow="1" w:lastColumn="0" w:lastRow="0" w:noHBand="0" w:noVBand="1" w:val="04A0"/>
      </w:tblPr>
      <w:tblGrid>
        <w:gridCol w:w="1670"/>
        <w:gridCol w:w="1121"/>
        <w:gridCol w:w="1121"/>
        <w:gridCol w:w="1121"/>
        <w:gridCol w:w="1121"/>
        <w:gridCol w:w="1121"/>
        <w:gridCol w:w="1121"/>
        <w:gridCol w:w="1121"/>
      </w:tblGrid>
      <w:tr>
        <w:trPr>
          <w:cantSplit/>
          <w:tblHeader/>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scheme</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ESS</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 weight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max weight</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normalized cap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Max. target gap</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cap fraction</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unweighted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0.3324</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uncapped</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314.8</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0.186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51.16</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2.776e-17</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w:t>
            </w:r>
          </w:p>
        </w:tc>
      </w:tr>
      <w:tr>
        <w:trPr>
          <w:cantSplit/>
        </w:trPr>
        <w:tc>
          <w:tcPr>
            <w:tcW w:type="dxa" w:w="167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cap10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5480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1191</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0.32</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10</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0.1653</w:t>
            </w:r>
          </w:p>
        </w:tc>
        <w:tc>
          <w:tcPr>
            <w:tcW w:type="dxa" w:w="1121"/>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0.0292</w:t>
            </w:r>
          </w:p>
        </w:tc>
      </w:tr>
    </w:tbl>
    <w:p>
      <w:pPr>
        <w:spacing w:after="0" w:before="0" w:line="40" w:lineRule="exact"/>
        <w:ind w:firstLine="0"/>
      </w:pPr>
    </w:p>
    <w:p>
      <w:pPr>
        <w:pStyle w:val="Heading1"/>
        <w:pageBreakBefore/>
      </w:pPr>
      <w:r>
        <w:t>S9 Original questionnaire and English translation</w:t>
      </w:r>
    </w:p>
    <w:p>
      <w:r>
        <w:rPr>
          <w:b w:val="0"/>
        </w:rPr>
        <w:t>Chinese text is transcribed verbatim from the original integrated questionnaire. English is a translation, not a separately administered instrument. Wording and approximate numeric examples are retained.</w:t>
      </w:r>
    </w:p>
    <w:p>
      <w:pPr>
        <w:pStyle w:val="Heading2"/>
      </w:pPr>
      <w:r>
        <w:t>Randomization and common instruction</w:t>
      </w:r>
    </w:p>
    <w:p>
      <w:r>
        <w:rPr>
          <w:b w:val="0"/>
        </w:rPr>
        <w:t>随机情景题（第 32 题，单选）</w:t>
        <w:br/>
        <w:t>【填答说明】下面请您阅读一个简短的假设情境，并根据自己的真实想法作答。该情境仅用于学术研究中，问题没有对错之分，请根据您在类似情况下最可能的选择作答，感谢您的耐心填答。</w:t>
        <w:br/>
        <w:t>【随机化说明】本题采用情景随机设计：系统从下列 9 个版本（3 种补贴形式 × 3 档金额：现金补贴、食品/日用消费券、医保个人账户注入，各含 200 元、1000 元、5000 元）中随机抽取一个版本呈现给每位受访者，每位受访者仅作答其中一题。在交付数据中，9 个版本分别对应第 32–40 列（题号 32–40），未被抽中的版本在该受访者的记录中为空值。</w:t>
      </w:r>
    </w:p>
    <w:p>
      <w:r>
        <w:rPr>
          <w:b w:val="0"/>
        </w:rPr>
        <w:t>English common instruction: Read a short hypothetical scenario and answer according to your true thoughts. The scenario is used only for academic research; there are no correct or incorrect answers. Select what you would most likely do in a similar situation. System randomization selects one of nine versions (three forms by three amounts), and each respondent answers only that version; the other eight data columns are empty.</w:t>
      </w:r>
    </w:p>
    <w:p>
      <w:pPr>
        <w:pStyle w:val="Heading2"/>
      </w:pPr>
      <w:r>
        <w:t>版本 1（数据题号 32）：现金补贴 × 200 元</w:t>
      </w:r>
    </w:p>
    <w:p>
      <w:r>
        <w:rPr>
          <w:b w:val="0"/>
        </w:rPr>
        <w:t>【情境说明】假设政府一次性向您发放了一笔现金补贴 200 元，直接打入您的银行账户或微信/支付宝。这笔钱使用不受任何限制，可以花掉、存起来或用于还债。</w:t>
      </w:r>
    </w:p>
    <w:p>
      <w:r>
        <w:rPr>
          <w:b w:val="0"/>
        </w:rPr>
        <w:t>S1．收到这笔 200 元现金补贴后，您的【总消费】预计会比原计划多花多少钱？</w:t>
      </w:r>
    </w:p>
    <w:p>
      <w:r>
        <w:rPr>
          <w:b w:val="0"/>
        </w:rPr>
        <w:t>① 基本不会额外多消费（因现金补贴节省的钱几乎全部存起来或用于还债）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government gives you a one-time cash subsidy of RMB 200, paid directly into your bank account or WeChat/Alipay. Its use is unrestricted; you can spend it, save it, or repay debt.</w:t>
      </w:r>
    </w:p>
    <w:p>
      <w:r>
        <w:rPr>
          <w:b w:val="0"/>
        </w:rPr>
        <w:t>English question: After receiving this cash subsidy of RMB 200,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2（数据题号 33）：现金补贴 × 1000 元</w:t>
      </w:r>
    </w:p>
    <w:p>
      <w:r>
        <w:rPr>
          <w:b w:val="0"/>
        </w:rPr>
        <w:t>【情境说明】假设政府一次性向您发放了一笔现金补贴 1000 元，直接打入您的银行账户或微信/支付宝。这笔钱使用不受任何限制，可以花掉、存起来或用于还债。</w:t>
      </w:r>
    </w:p>
    <w:p>
      <w:r>
        <w:rPr>
          <w:b w:val="0"/>
        </w:rPr>
        <w:t>S1．收到这笔 1000 元现金补贴后，您的【总消费】预计会比原计划多花多少钱？</w:t>
      </w:r>
    </w:p>
    <w:p>
      <w:r>
        <w:rPr>
          <w:b w:val="0"/>
        </w:rPr>
        <w:t>① 基本不会额外多消费（因现金补贴节省的钱几乎全部存起来或用于还债）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government gives you a one-time cash subsidy of RMB 1,000, paid directly into your bank account or WeChat/Alipay. Its use is unrestricted; you can spend it, save it, or repay debt.</w:t>
      </w:r>
    </w:p>
    <w:p>
      <w:r>
        <w:rPr>
          <w:b w:val="0"/>
        </w:rPr>
        <w:t>English question: After receiving this cash subsidy of RMB 1,000,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3（数据题号 34）：现金补贴 × 5000 元</w:t>
      </w:r>
    </w:p>
    <w:p>
      <w:r>
        <w:rPr>
          <w:b w:val="0"/>
        </w:rPr>
        <w:t>【情境说明】假设政府一次性向您发放了一笔现金补贴 5000 元，直接打入您的银行账户或微信/支付宝。这笔钱使用不受任何限制，可以花掉、存起来或用于还债。</w:t>
      </w:r>
    </w:p>
    <w:p>
      <w:r>
        <w:rPr>
          <w:b w:val="0"/>
        </w:rPr>
        <w:t>S1．收到这笔 5000 元现金补贴后，您的【总消费】预计会比原计划多花多少钱？</w:t>
      </w:r>
    </w:p>
    <w:p>
      <w:r>
        <w:rPr>
          <w:b w:val="0"/>
        </w:rPr>
        <w:t>① 基本不会额外多消费（因现金补贴节省的钱几乎全部存起来或用于还债）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government gives you a one-time cash subsidy of RMB 5,000, paid directly into your bank account or WeChat/Alipay. Its use is unrestricted; you can spend it, save it, or repay debt.</w:t>
      </w:r>
    </w:p>
    <w:p>
      <w:r>
        <w:rPr>
          <w:b w:val="0"/>
        </w:rPr>
        <w:t>English question: After receiving this cash subsidy of RMB 5,000,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2"/>
      </w:pPr>
      <w:r>
        <w:t>版本 4（数据题号 35）：食品/日用消费券 × 200 元</w:t>
      </w:r>
    </w:p>
    <w:p>
      <w:r>
        <w:rPr>
          <w:b w:val="0"/>
        </w:rPr>
        <w:t>【情境说明】假设政府一次性向您发放了一笔电子消费券，面额 200 元，仅限用于超市、菜市场、便利店等购买食品和日用品，有效期 6 个月，不能提现、不能用于其他用途。</w:t>
      </w:r>
    </w:p>
    <w:p>
      <w:r>
        <w:rPr>
          <w:b w:val="0"/>
        </w:rPr>
        <w:t>S1．收到这笔 200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government gives you a one-time electronic consumption voucher worth RMB 200,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200,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5（数据题号 36）：食品/日用消费券 × 1000 元</w:t>
      </w:r>
    </w:p>
    <w:p>
      <w:r>
        <w:rPr>
          <w:b w:val="0"/>
        </w:rPr>
        <w:t>【情境说明】假设政府一次性向您发放了一笔电子消费券，面额 1000 元，仅限用于超市、菜市场、便利店等购买食品和日用品，有效期 6 个月，不能提现、不能用于其他用途。</w:t>
      </w:r>
    </w:p>
    <w:p>
      <w:r>
        <w:rPr>
          <w:b w:val="0"/>
        </w:rPr>
        <w:t>S1．收到这笔 1000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government gives you a one-time electronic consumption voucher worth RMB 1,000,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1,000,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6（数据题号 37）：食品/日用消费券 × 5000 元</w:t>
      </w:r>
    </w:p>
    <w:p>
      <w:r>
        <w:rPr>
          <w:b w:val="0"/>
        </w:rPr>
        <w:t>【情境说明】假设政府一次性向您发放了一笔电子消费券，面额 5000 元，仅限用于超市、菜市场、便利店等购买食品和日用品，有效期 6 个月，不能提现、不能用于其他用途。</w:t>
      </w:r>
    </w:p>
    <w:p>
      <w:r>
        <w:rPr>
          <w:b w:val="0"/>
        </w:rPr>
        <w:t>S1．收到这笔 5000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government gives you a one-time electronic consumption voucher worth RMB 5,000,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5,000,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2"/>
      </w:pPr>
      <w:r>
        <w:t>版本 7（数据题号 38）：医保个人账户注入 × 200 元</w:t>
      </w:r>
    </w:p>
    <w:p>
      <w:r>
        <w:rPr>
          <w:b w:val="0"/>
        </w:rPr>
        <w:t>【情境说明】假设医保部门向您的医保个人账户注入 200 元。这笔钱长期有效、可以累积结余，可用于您本人及家人的医疗相关支出（看病、买药、体检、康复护理等），不能提现，不能用于医疗以外的消费。</w:t>
      </w:r>
    </w:p>
    <w:p>
      <w:r>
        <w:rPr>
          <w:b w:val="0"/>
        </w:rPr>
        <w:t>S1．收到这笔 200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medical-insurance authority credits RMB 200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200,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8（数据题号 39）：医保个人账户注入 × 1000 元</w:t>
      </w:r>
    </w:p>
    <w:p>
      <w:r>
        <w:rPr>
          <w:b w:val="0"/>
        </w:rPr>
        <w:t>【情境说明】假设医保部门向您的医保个人账户注入 1000 元。这笔钱长期有效、可以累积结余，可用于您本人及家人的医疗相关支出（看病、买药、体检、康复护理等），不能提现，不能用于医疗以外的消费。</w:t>
      </w:r>
    </w:p>
    <w:p>
      <w:r>
        <w:rPr>
          <w:b w:val="0"/>
        </w:rPr>
        <w:t>S1．收到这笔 1000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medical-insurance authority credits RMB 1,000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1,000,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9（数据题号 40）：医保个人账户注入 × 5000 元</w:t>
      </w:r>
    </w:p>
    <w:p>
      <w:r>
        <w:rPr>
          <w:b w:val="0"/>
        </w:rPr>
        <w:t>【情境说明】假设医保部门向您的医保个人账户注入 5000 元。这笔钱长期有效、可以累积结余，可用于您本人及家人的医疗相关支出（看病、买药、体检、康复护理等），不能提现，不能用于医疗以外的消费。</w:t>
      </w:r>
    </w:p>
    <w:p>
      <w:r>
        <w:rPr>
          <w:b w:val="0"/>
        </w:rPr>
        <w:t>S1．收到这笔 5000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medical-insurance authority credits RMB 5,000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5,000,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1"/>
        <w:pageBreakBefore/>
      </w:pPr>
      <w:r>
        <w:t>S10 Replication definitions and declarations</w:t>
      </w:r>
    </w:p>
    <w:p>
      <w:r>
        <w:rPr>
          <w:b w:val="0"/>
        </w:rPr>
        <w:t>Fixed seeds are 2026100417 for cell/midpoint bootstrap,2026100418 for interval bootstrap, and 2026100419 for the 10,000 joint min-P draws. All bootstrap cells retain their observed sizes. Original data are hash-verified against the earlier freeze; no individual records are exported. The aggregate numerical package contains exact estimates, covariance, calibration and draw-level convergence summaries, together with analysis scripts. Outcome identifiers in machine-readable tables may retain legacy names for continuity; the displayed interpretation is always above-bottom-category rather than observed participation. Author metadata and human review of the AI-assisted preparation remain pending as stated in the main draft.</w:t>
      </w:r>
    </w:p>
    <w:p>
      <w:pPr>
        <w:pStyle w:val="Heading1"/>
        <w:pageBreakBefore/>
      </w:pPr>
      <w:r>
        <w:t>S11 Reference verification</w:t>
      </w:r>
    </w:p>
    <w:p>
      <w:r>
        <w:rPr>
          <w:b w:val="0"/>
        </w:rPr>
        <w:t>The focused source refresh is dated 4 October 2026. The accompanying JEBO_V4_REFERENCE_AUDIT.csv records every cited work, DOI where applicable, primary URL, access scope, metadata checks and claim boundaries. Bibliographic checks do not imply new full-text access. Jappelli et al. is now cited as a published European Economic Review article; Bonomo et al., Bernard and Crossley et al. are identified as working-paper versions. The conceptual citations do not identify mechanisms in this experiment.</w:t>
      </w:r>
    </w:p>
    <w:tbl>
      <w:tblPr>
        <w:tblW w:type="auto" w:w="0"/>
        <w:jc w:val="center"/>
        <w:tblLayout w:type="fixed"/>
        <w:tblLook w:firstColumn="1" w:firstRow="1" w:lastColumn="0" w:lastRow="0" w:noHBand="0" w:noVBand="1" w:val="04A0"/>
      </w:tblPr>
      <w:tblGrid>
        <w:gridCol w:w="2016"/>
        <w:gridCol w:w="3024"/>
        <w:gridCol w:w="4478"/>
      </w:tblGrid>
      <w:tr>
        <w:trPr>
          <w:cantSplit/>
          <w:tblHeader/>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Work</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Verified version</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Scope of use</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Bernard, R. (2023)</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Deutsche Bundesbank Discussion Paper  13/2023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Payment mode crossed with shock size already studied; cite verified DP version, no first-design claim.</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Cunha, J.M. (2014)</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Journal: Applied Economics 6 195-230</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Actual in-kind/cash RCT; aggregate and item-level inframarginality differ.</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Friedman, M. (1957)</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Princeton University Press</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Permanent versus transitory income conceptual benchmark; no universal size monotonicity.</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Boehm, J., Fize, E., Jaravel, X. (2025)</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115 1-42</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Actual transfers and transactions, cash-like versus expiring card; fixed-amount form contrast.</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Kooreman, P. (2000)</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90 571-583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Benefit labeling evidence; not a direct total-spending size comparison.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Pauls, T., Laudi, M. (2025)</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Economic Behavior &amp; Organization 235 107079</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Framing a permanent tax cut and stated allocations; not randomized transfer amount or form.</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Crossley, T.F., Fisher, P., Levell, P., Low, H. (2026)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Federal Reserve Bank of Chicago Working Paper  2026-04</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Direct versus filtered elicitation changes patterns; working paper, not validation of our instrument.</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Abeler, J., Marklein, F. (2017)</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the European Economic Association 15 99-127</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Labels in incentivized consumption experiments; our bundles do not isolate labels.</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Fagereng, A., Holm, M.B., Natvik, G.J. (2021)</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Journal: Macroeconomics 13 1-54</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Norwegian lottery and administrative data; resources and size jointly matter.</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Jappelli, T., Pistaferri, L. (2010)</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Annual Review of Economics 2 479-506</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Consumption smoothing review; no universal finite-shock monotonicity.</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Bonomo, T., Ruffini, K., Schanzenbach, D.W. (2026)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NBER Working Paper  35698</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Food-store scanner responses across programmes; working paper, not total consumption.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Jappelli, T., Savoia, E., Sciacchetano, A. (2026)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European Economic Review 186 105303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Italian hypothetical lottery amounts and time profiles; published EER 186 105303.</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Hastings, J., Shapiro, J.M. (2018)</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108 3493-3540</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SNAP eligible food expenditure; not total additional consumption.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Lee, J.N., Morduch, J., Ravindran, S., Shonchoy, A.S. (2024)</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Economic Behavior &amp; Organization 221 675-688</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Mobile money and remittance earmarking; willingness to spend, not a transfer MPC.</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Shapiro, M.D., Slemrod, J. (2003)</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93 381-396</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Survey responses to actual tax rebates; not hypothetical validation.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Heath, C., Soll, J.B. (1996)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Consumer Research 23 40-52</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Category budgeting; not a unique transfer-form-by-size law.</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Parker, J.A., Souleles, N.S. (2019)</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Review: Insights 1 273-290</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Actual rebate reports compared with revealed responses; context-specific correspondence.</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Andreolli, M., Surico, P. (2026)</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Journal: Macroeconomics 18 34-68</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Size patterns vary by resources; no universal negative size gradient.</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Thaler, R. (1985)</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Marketing Science 4 199-214</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Conceptual mental coding and household budgeting; no identified mediator here.</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Shefrin, H.M., Thaler, R.H. (1988)</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Economic Inquiry 26 609-643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Behavioral life-cycle account distinctions; not a prediction of all nine cells.</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Thaler, R.H. (1999)</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Journal of Behavioral Decision Making 12 183-206</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Background mental accounting synthesis; no unique size interaction.</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Ueda, K. (2025)</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Economics Letters 247 112179</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Linked survey and transaction results in that setting; not universal survey invalidity.</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Kaplan, G., Violante, G.L. (2022)</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Annual Review of Economics 14 747-775</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Model synthesis; only qualitative background, not calibration values. Publisher links an erratum.</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Kan, K., Peng, S., Wang, P. (2017)</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American Economic Journal: Economic Policy 9 137-153</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Taiwan voucher survey and discounts; no universal voucher MPC.</w:t>
            </w:r>
          </w:p>
        </w:tc>
      </w:tr>
      <w:tr>
        <w:trPr>
          <w:cantSplit/>
        </w:trPr>
        <w:tc>
          <w:tcPr>
            <w:tcW w:type="dxa" w:w="2016"/>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Fuster, A., Kaplan, G., Zafar, B. (2021)</w:t>
            </w:r>
          </w:p>
        </w:tc>
        <w:tc>
          <w:tcPr>
            <w:tcW w:type="dxa" w:w="302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The Review of Economic Studies 88 1760-1795</w:t>
            </w:r>
          </w:p>
        </w:tc>
        <w:tc>
          <w:tcPr>
            <w:tcW w:type="dxa" w:w="447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Hypothetical scenarios with filtered spending adjustment; not the current bottom-bin margin.</w:t>
            </w:r>
          </w:p>
        </w:tc>
      </w:tr>
    </w:tbl>
    <w:p>
      <w:pPr>
        <w:spacing w:after="0" w:before="0" w:line="40" w:lineRule="exact"/>
        <w:ind w:firstLine="0"/>
      </w:pP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ind w:firstLine="420"/>
      <w:jc w:val="both"/>
    </w:pPr>
    <w:rPr>
      <w:rFonts w:ascii="Times New Roman" w:hAnsi="Times New Roman" w:cs="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ind w:firstLine="0"/>
      <w:jc w:val="left"/>
      <w:outlineLvl w:val="0"/>
    </w:pPr>
    <w:rPr>
      <w:rFonts w:ascii="Times New Roman" w:hAnsi="Times New Roman" w:cs="Times New Roman"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ind w:firstLine="0"/>
      <w:jc w:val="left"/>
      <w:outlineLvl w:val="1"/>
    </w:pPr>
    <w:rPr>
      <w:rFonts w:ascii="Times New Roman" w:hAnsi="Times New Roman" w:cs="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ind w:firstLine="0"/>
      <w:jc w:val="left"/>
      <w:outlineLvl w:val="2"/>
    </w:pPr>
    <w:rPr>
      <w:rFonts w:ascii="Times New Roman" w:hAnsi="Times New Roman" w:cs="Times New Roman" w:eastAsia="SimSu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SimSu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SimSu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SimSu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SimSu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SimSu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SimSu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SimSu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ind w:firstLine="0"/>
      <w:contextualSpacing/>
      <w:jc w:val="left"/>
    </w:pPr>
    <w:rPr>
      <w:rFonts w:ascii="Times New Roman" w:hAnsi="Times New Roman" w:cs="Times New Roman" w:eastAsia="SimSu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SimSu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SimSu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Stated spending responses across transfer forms and amounts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