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w:t>
      </w:r>
    </w:p>
    <w:p>
      <w:r>
        <w:rPr>
          <w:b w:val="0"/>
        </w:rPr>
        <w:t>Transfer size and stated spending: Distributional evidence from cash and earmarked resources</w:t>
      </w:r>
    </w:p>
    <w:p>
      <w:r>
        <w:rPr>
          <w:b w:val="0"/>
        </w:rPr>
        <w:t>Zelin Liu and Yinghao Pan</w:t>
      </w:r>
    </w:p>
    <w:p>
      <w:pPr>
        <w:pStyle w:val="Heading1"/>
      </w:pPr>
      <w:r>
        <w:t>S1. Design, coding and analysis populations</w:t>
      </w:r>
    </w:p>
    <w:p>
      <w:r>
        <w:rPr>
          <w:b w:val="0"/>
        </w:rPr>
        <w:t>The adult-primary sample A includes recorded ages 18–100, with observed adult ages ending at 81 (N=5,480). The historical full sample R has 5,497 records, including 17 recorded minors. Re-analysis of adults does not resolve the ethics and consent requirements for the original collection. The original questionnaire places 15 attitude items, including three subitems, before the transfer scenarios. Background information is returned through the questionnaire platform. Recruitment channel, field dates, consent and ethics documents, allocation logs and the stopping rule must be documented before submission; the separate author-information checklist identifies these outstanding items. The analysis does not infer them from platform metadata.</w:t>
      </w:r>
    </w:p>
    <w:p>
      <w:r>
        <w:rPr>
          <w:b w:val="0"/>
        </w:rPr>
        <w:t>Each respondent answers one hypothetical scenario. The Food voucher is noncashable, covers food/daily necessities and expires after six months; Medical is a long-lived personal medical-account credit for medical-related expenditure. The outcome concerns additional total spending relative to existing plans. The forms also differ in explanatory wording, including the lowest-category description. Food and medical expenditure questions precede the scenarios and may prime categories. The question has no common explicit horizon. The exact original Chinese questionnaire remains in the private source archive; aggregate documentation does not replace verification of the instrument and its administration.</w:t>
      </w:r>
    </w:p>
    <w:p>
      <w:r>
        <w:rPr>
          <w:b w:val="0"/>
        </w:rPr>
        <w:t>The six category scores are 1–6. Midpoints are 0/.05/.175/.375/.625/.875. Positive-category means categories 2–6; other thresholds are categories 3–6,4–6,5–6 and 6. The last has the verbal label above 75%, with a 75–100% yuan example. No midpoint is an observed amount. Ordinal coding imposes equal rank spacing; ordered-link alternatives introduce latent-scale assumptions instead. Table S1 gives all adult cell frequencies, and Table S2 gives the five threshold profiles. Amount lines connect independent randomized groups, not repeated observations.</w:t>
      </w:r>
    </w:p>
    <w:p>
      <w:pPr>
        <w:pStyle w:val="Heading2"/>
      </w:pPr>
      <w:r>
        <w:t>Table S1. All adult response bins</w:t>
      </w:r>
    </w:p>
    <w:tbl>
      <w:tblPr>
        <w:tblW w:type="auto" w:w="0"/>
        <w:tblLayout w:type="fixed"/>
        <w:tblLook w:firstColumn="1" w:firstRow="1" w:lastColumn="0" w:lastRow="0" w:noHBand="0" w:noVBand="1" w:val="04A0"/>
      </w:tblPr>
      <w:tblGrid>
        <w:gridCol w:w="1515"/>
        <w:gridCol w:w="985"/>
        <w:gridCol w:w="682"/>
        <w:gridCol w:w="1061"/>
        <w:gridCol w:w="1061"/>
        <w:gridCol w:w="1061"/>
        <w:gridCol w:w="1061"/>
        <w:gridCol w:w="1061"/>
        <w:gridCol w:w="1061"/>
      </w:tblGrid>
      <w:tr>
        <w:trPr>
          <w:cantSplit/>
          <w:tblHeader/>
        </w:trPr>
        <w:tc>
          <w:tcPr>
            <w:tcW w:type="dxa" w:w="1515"/>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6"/>
              </w:rPr>
              <w:t>Form</w:t>
            </w:r>
          </w:p>
        </w:tc>
        <w:tc>
          <w:tcPr>
            <w:tcW w:type="dxa" w:w="985"/>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6"/>
              </w:rPr>
              <w:t>RMB</w:t>
            </w:r>
          </w:p>
        </w:tc>
        <w:tc>
          <w:tcPr>
            <w:tcW w:type="dxa" w:w="682"/>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6"/>
              </w:rPr>
              <w:t>N</w:t>
            </w:r>
          </w:p>
        </w:tc>
        <w:tc>
          <w:tcPr>
            <w:tcW w:type="dxa" w:w="1061"/>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6"/>
              </w:rPr>
              <w:t>None*</w:t>
            </w:r>
          </w:p>
        </w:tc>
        <w:tc>
          <w:tcPr>
            <w:tcW w:type="dxa" w:w="1061"/>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6"/>
              </w:rPr>
              <w:t>&lt;10%</w:t>
            </w:r>
          </w:p>
        </w:tc>
        <w:tc>
          <w:tcPr>
            <w:tcW w:type="dxa" w:w="1061"/>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6"/>
              </w:rPr>
              <w:t>10–25%</w:t>
            </w:r>
          </w:p>
        </w:tc>
        <w:tc>
          <w:tcPr>
            <w:tcW w:type="dxa" w:w="1061"/>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6"/>
              </w:rPr>
              <w:t>25–50%</w:t>
            </w:r>
          </w:p>
        </w:tc>
        <w:tc>
          <w:tcPr>
            <w:tcW w:type="dxa" w:w="1061"/>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6"/>
              </w:rPr>
              <w:t>50–75%</w:t>
            </w:r>
          </w:p>
        </w:tc>
        <w:tc>
          <w:tcPr>
            <w:tcW w:type="dxa" w:w="1061"/>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6"/>
              </w:rPr>
              <w:t>&gt;75%</w:t>
            </w:r>
          </w:p>
        </w:tc>
      </w:tr>
      <w:tr>
        <w:trPr>
          <w:cantSplit/>
        </w:trPr>
        <w:tc>
          <w:tcPr>
            <w:tcW w:type="dxa" w:w="151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Cash</w:t>
            </w:r>
          </w:p>
        </w:tc>
        <w:tc>
          <w:tcPr>
            <w:tcW w:type="dxa" w:w="98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200</w:t>
            </w:r>
          </w:p>
        </w:tc>
        <w:tc>
          <w:tcPr>
            <w:tcW w:type="dxa" w:w="6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618</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27.3</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18.0</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20.4</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15.9</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5.0</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13.4</w:t>
            </w:r>
          </w:p>
        </w:tc>
      </w:tr>
      <w:tr>
        <w:trPr>
          <w:cantSplit/>
        </w:trPr>
        <w:tc>
          <w:tcPr>
            <w:tcW w:type="dxa" w:w="151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Cash</w:t>
            </w:r>
          </w:p>
        </w:tc>
        <w:tc>
          <w:tcPr>
            <w:tcW w:type="dxa" w:w="98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1000</w:t>
            </w:r>
          </w:p>
        </w:tc>
        <w:tc>
          <w:tcPr>
            <w:tcW w:type="dxa" w:w="6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592</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28.5</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19.4</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20.1</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16.0</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6.9</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9.0</w:t>
            </w:r>
          </w:p>
        </w:tc>
      </w:tr>
      <w:tr>
        <w:trPr>
          <w:cantSplit/>
        </w:trPr>
        <w:tc>
          <w:tcPr>
            <w:tcW w:type="dxa" w:w="151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Cash</w:t>
            </w:r>
          </w:p>
        </w:tc>
        <w:tc>
          <w:tcPr>
            <w:tcW w:type="dxa" w:w="98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5000</w:t>
            </w:r>
          </w:p>
        </w:tc>
        <w:tc>
          <w:tcPr>
            <w:tcW w:type="dxa" w:w="6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580</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27.4</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20.2</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24.5</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15.7</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6.9</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5.3</w:t>
            </w:r>
          </w:p>
        </w:tc>
      </w:tr>
      <w:tr>
        <w:trPr>
          <w:cantSplit/>
        </w:trPr>
        <w:tc>
          <w:tcPr>
            <w:tcW w:type="dxa" w:w="151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Food</w:t>
            </w:r>
          </w:p>
        </w:tc>
        <w:tc>
          <w:tcPr>
            <w:tcW w:type="dxa" w:w="98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200</w:t>
            </w:r>
          </w:p>
        </w:tc>
        <w:tc>
          <w:tcPr>
            <w:tcW w:type="dxa" w:w="6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613</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31.2</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17.3</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19.9</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15.5</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6.4</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9.8</w:t>
            </w:r>
          </w:p>
        </w:tc>
      </w:tr>
      <w:tr>
        <w:trPr>
          <w:cantSplit/>
        </w:trPr>
        <w:tc>
          <w:tcPr>
            <w:tcW w:type="dxa" w:w="151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Food</w:t>
            </w:r>
          </w:p>
        </w:tc>
        <w:tc>
          <w:tcPr>
            <w:tcW w:type="dxa" w:w="98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1000</w:t>
            </w:r>
          </w:p>
        </w:tc>
        <w:tc>
          <w:tcPr>
            <w:tcW w:type="dxa" w:w="6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619</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30.0</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19.9</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22.8</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15.2</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5.2</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6.9</w:t>
            </w:r>
          </w:p>
        </w:tc>
      </w:tr>
      <w:tr>
        <w:trPr>
          <w:cantSplit/>
        </w:trPr>
        <w:tc>
          <w:tcPr>
            <w:tcW w:type="dxa" w:w="151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Food</w:t>
            </w:r>
          </w:p>
        </w:tc>
        <w:tc>
          <w:tcPr>
            <w:tcW w:type="dxa" w:w="98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5000</w:t>
            </w:r>
          </w:p>
        </w:tc>
        <w:tc>
          <w:tcPr>
            <w:tcW w:type="dxa" w:w="6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599</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30.1</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21.7</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23.9</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11.5</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5.3</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7.5</w:t>
            </w:r>
          </w:p>
        </w:tc>
      </w:tr>
      <w:tr>
        <w:trPr>
          <w:cantSplit/>
        </w:trPr>
        <w:tc>
          <w:tcPr>
            <w:tcW w:type="dxa" w:w="151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Medical</w:t>
            </w:r>
          </w:p>
        </w:tc>
        <w:tc>
          <w:tcPr>
            <w:tcW w:type="dxa" w:w="98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200</w:t>
            </w:r>
          </w:p>
        </w:tc>
        <w:tc>
          <w:tcPr>
            <w:tcW w:type="dxa" w:w="6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614</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38.6</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18.4</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18.6</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12.9</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5.5</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6.0</w:t>
            </w:r>
          </w:p>
        </w:tc>
      </w:tr>
      <w:tr>
        <w:trPr>
          <w:cantSplit/>
        </w:trPr>
        <w:tc>
          <w:tcPr>
            <w:tcW w:type="dxa" w:w="151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Medical</w:t>
            </w:r>
          </w:p>
        </w:tc>
        <w:tc>
          <w:tcPr>
            <w:tcW w:type="dxa" w:w="98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1000</w:t>
            </w:r>
          </w:p>
        </w:tc>
        <w:tc>
          <w:tcPr>
            <w:tcW w:type="dxa" w:w="6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611</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32.9</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20.8</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22.7</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12.9</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5.4</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5.2</w:t>
            </w:r>
          </w:p>
        </w:tc>
      </w:tr>
      <w:tr>
        <w:trPr>
          <w:cantSplit/>
        </w:trPr>
        <w:tc>
          <w:tcPr>
            <w:tcW w:type="dxa" w:w="151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Medical</w:t>
            </w:r>
          </w:p>
        </w:tc>
        <w:tc>
          <w:tcPr>
            <w:tcW w:type="dxa" w:w="98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5000</w:t>
            </w:r>
          </w:p>
        </w:tc>
        <w:tc>
          <w:tcPr>
            <w:tcW w:type="dxa" w:w="6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634</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35.5</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16.7</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23.5</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13.1</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7.3</w:t>
            </w:r>
          </w:p>
        </w:tc>
        <w:tc>
          <w:tcPr>
            <w:tcW w:type="dxa" w:w="106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3.9</w:t>
            </w:r>
          </w:p>
        </w:tc>
      </w:tr>
    </w:tbl>
    <w:p>
      <w:r>
        <w:rPr>
          <w:b w:val="0"/>
        </w:rPr>
        <w:t>Percent of respondents. *Essentially no increase, not an observed exact zero. Rows sum to 100 before rounding.</w:t>
      </w:r>
    </w:p>
    <w:p>
      <w:pPr>
        <w:pStyle w:val="Heading2"/>
      </w:pPr>
      <w:r>
        <w:t>Table S2. Complete adult threshold profiles</w:t>
      </w:r>
    </w:p>
    <w:tbl>
      <w:tblPr>
        <w:tblW w:type="auto" w:w="0"/>
        <w:tblLayout w:type="fixed"/>
        <w:tblLook w:firstColumn="1" w:firstRow="1" w:lastColumn="0" w:lastRow="0" w:noHBand="0" w:noVBand="1" w:val="04A0"/>
      </w:tblPr>
      <w:tblGrid>
        <w:gridCol w:w="2040"/>
        <w:gridCol w:w="979"/>
        <w:gridCol w:w="1306"/>
        <w:gridCol w:w="1306"/>
        <w:gridCol w:w="1306"/>
        <w:gridCol w:w="1306"/>
        <w:gridCol w:w="1306"/>
      </w:tblGrid>
      <w:tr>
        <w:trPr>
          <w:cantSplit/>
          <w:tblHeader/>
        </w:trPr>
        <w:tc>
          <w:tcPr>
            <w:tcW w:type="dxa" w:w="2040"/>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6"/>
              </w:rPr>
              <w:t>Form</w:t>
            </w:r>
          </w:p>
        </w:tc>
        <w:tc>
          <w:tcPr>
            <w:tcW w:type="dxa" w:w="979"/>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6"/>
              </w:rPr>
              <w:t>RMB</w:t>
            </w:r>
          </w:p>
        </w:tc>
        <w:tc>
          <w:tcPr>
            <w:tcW w:type="dxa" w:w="1306"/>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6"/>
              </w:rPr>
              <w:t>Positive</w:t>
            </w:r>
          </w:p>
        </w:tc>
        <w:tc>
          <w:tcPr>
            <w:tcW w:type="dxa" w:w="1306"/>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6"/>
              </w:rPr>
              <w:t>≥10%</w:t>
            </w:r>
          </w:p>
        </w:tc>
        <w:tc>
          <w:tcPr>
            <w:tcW w:type="dxa" w:w="1306"/>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6"/>
              </w:rPr>
              <w:t>≥25%</w:t>
            </w:r>
          </w:p>
        </w:tc>
        <w:tc>
          <w:tcPr>
            <w:tcW w:type="dxa" w:w="1306"/>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6"/>
              </w:rPr>
              <w:t>≥50%</w:t>
            </w:r>
          </w:p>
        </w:tc>
        <w:tc>
          <w:tcPr>
            <w:tcW w:type="dxa" w:w="1306"/>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6"/>
              </w:rPr>
              <w:t>&gt;75%</w:t>
            </w:r>
          </w:p>
        </w:tc>
      </w:tr>
      <w:tr>
        <w:trPr>
          <w:cantSplit/>
        </w:trPr>
        <w:tc>
          <w:tcPr>
            <w:tcW w:type="dxa" w:w="204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Cash</w:t>
            </w:r>
          </w:p>
        </w:tc>
        <w:tc>
          <w:tcPr>
            <w:tcW w:type="dxa" w:w="979"/>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200</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72.65</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54.69</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34.30</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18.45</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13.43</w:t>
            </w:r>
          </w:p>
        </w:tc>
      </w:tr>
      <w:tr>
        <w:trPr>
          <w:cantSplit/>
        </w:trPr>
        <w:tc>
          <w:tcPr>
            <w:tcW w:type="dxa" w:w="204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Cash</w:t>
            </w:r>
          </w:p>
        </w:tc>
        <w:tc>
          <w:tcPr>
            <w:tcW w:type="dxa" w:w="979"/>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1000</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71.45</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52.03</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31.93</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15.88</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8.95</w:t>
            </w:r>
          </w:p>
        </w:tc>
      </w:tr>
      <w:tr>
        <w:trPr>
          <w:cantSplit/>
        </w:trPr>
        <w:tc>
          <w:tcPr>
            <w:tcW w:type="dxa" w:w="204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Cash</w:t>
            </w:r>
          </w:p>
        </w:tc>
        <w:tc>
          <w:tcPr>
            <w:tcW w:type="dxa" w:w="979"/>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5000</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72.59</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52.41</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27.93</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12.24</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5.34</w:t>
            </w:r>
          </w:p>
        </w:tc>
      </w:tr>
      <w:tr>
        <w:trPr>
          <w:cantSplit/>
        </w:trPr>
        <w:tc>
          <w:tcPr>
            <w:tcW w:type="dxa" w:w="204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Food</w:t>
            </w:r>
          </w:p>
        </w:tc>
        <w:tc>
          <w:tcPr>
            <w:tcW w:type="dxa" w:w="979"/>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200</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68.84</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51.55</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31.65</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16.15</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9.79</w:t>
            </w:r>
          </w:p>
        </w:tc>
      </w:tr>
      <w:tr>
        <w:trPr>
          <w:cantSplit/>
        </w:trPr>
        <w:tc>
          <w:tcPr>
            <w:tcW w:type="dxa" w:w="204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Food</w:t>
            </w:r>
          </w:p>
        </w:tc>
        <w:tc>
          <w:tcPr>
            <w:tcW w:type="dxa" w:w="979"/>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1000</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69.95</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50.08</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27.30</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12.12</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6.95</w:t>
            </w:r>
          </w:p>
        </w:tc>
      </w:tr>
      <w:tr>
        <w:trPr>
          <w:cantSplit/>
        </w:trPr>
        <w:tc>
          <w:tcPr>
            <w:tcW w:type="dxa" w:w="204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Food</w:t>
            </w:r>
          </w:p>
        </w:tc>
        <w:tc>
          <w:tcPr>
            <w:tcW w:type="dxa" w:w="979"/>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5000</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69.95</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48.25</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24.37</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12.85</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7.51</w:t>
            </w:r>
          </w:p>
        </w:tc>
      </w:tr>
      <w:tr>
        <w:trPr>
          <w:cantSplit/>
        </w:trPr>
        <w:tc>
          <w:tcPr>
            <w:tcW w:type="dxa" w:w="204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Medical</w:t>
            </w:r>
          </w:p>
        </w:tc>
        <w:tc>
          <w:tcPr>
            <w:tcW w:type="dxa" w:w="979"/>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200</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61.40</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43.00</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24.43</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11.56</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6.03</w:t>
            </w:r>
          </w:p>
        </w:tc>
      </w:tr>
      <w:tr>
        <w:trPr>
          <w:cantSplit/>
        </w:trPr>
        <w:tc>
          <w:tcPr>
            <w:tcW w:type="dxa" w:w="204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Medical</w:t>
            </w:r>
          </w:p>
        </w:tc>
        <w:tc>
          <w:tcPr>
            <w:tcW w:type="dxa" w:w="979"/>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1000</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67.10</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46.32</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23.57</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10.64</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5.24</w:t>
            </w:r>
          </w:p>
        </w:tc>
      </w:tr>
      <w:tr>
        <w:trPr>
          <w:cantSplit/>
        </w:trPr>
        <w:tc>
          <w:tcPr>
            <w:tcW w:type="dxa" w:w="204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Medical</w:t>
            </w:r>
          </w:p>
        </w:tc>
        <w:tc>
          <w:tcPr>
            <w:tcW w:type="dxa" w:w="979"/>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5000</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64.51</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47.79</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24.29</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11.20</w:t>
            </w:r>
          </w:p>
        </w:tc>
        <w:tc>
          <w:tcPr>
            <w:tcW w:type="dxa" w:w="130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6"/>
              </w:rPr>
              <w:t>3.94</w:t>
            </w:r>
          </w:p>
        </w:tc>
      </w:tr>
    </w:tbl>
    <w:p>
      <w:r>
        <w:rPr>
          <w:b w:val="0"/>
        </w:rPr>
        <w:t>Percent. Full pointwise intervals are in profiles.csv; no threshold was added for this transition.</w:t>
      </w:r>
    </w:p>
    <w:p>
      <w:pPr>
        <w:pStyle w:val="Heading1"/>
      </w:pPr>
      <w:r>
        <w:t>S2. First-order factor effects and form contrasts</w:t>
      </w:r>
    </w:p>
    <w:p>
      <w:r>
        <w:rPr>
          <w:b w:val="0"/>
        </w:rPr>
        <w:t>Saturated nine-cell means identify the marginal contrasts. Form effects average cell differences equally over the three amounts; amount effects average equally over the three forms. All uncertainty uses HC3. The highest-category family contains two omnibus tests and four reference contrasts: Food–Cash, Medical–Cash,1,000–200 and 5,000–200. Holm adjustment is within those six tests. The ordinal and midpoint rows are supplied descriptively, without implying a new correction family. A separate six-test family compares Food–Cash and Medical–Cash at each amount for the highest category. Table S4 includes pointwise and simultaneous intervals; the positive Food point estimate at 5,000 does not establish a crossover.</w:t>
      </w:r>
    </w:p>
    <w:p>
      <w:pPr>
        <w:pStyle w:val="Heading2"/>
      </w:pPr>
      <w:r>
        <w:t>Table S3. Equal-weight marginal factor contrasts</w:t>
      </w:r>
    </w:p>
    <w:tbl>
      <w:tblPr>
        <w:tblW w:type="auto" w:w="0"/>
        <w:tblLayout w:type="fixed"/>
        <w:tblLook w:firstColumn="1" w:firstRow="1" w:lastColumn="0" w:lastRow="0" w:noHBand="0" w:noVBand="1" w:val="04A0"/>
      </w:tblPr>
      <w:tblGrid>
        <w:gridCol w:w="1591"/>
        <w:gridCol w:w="2122"/>
        <w:gridCol w:w="3182"/>
        <w:gridCol w:w="1326"/>
        <w:gridCol w:w="1326"/>
      </w:tblGrid>
      <w:tr>
        <w:trPr>
          <w:cantSplit/>
          <w:tblHeader/>
        </w:trPr>
        <w:tc>
          <w:tcPr>
            <w:tcW w:type="dxa" w:w="1591"/>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Outcome</w:t>
            </w:r>
          </w:p>
        </w:tc>
        <w:tc>
          <w:tcPr>
            <w:tcW w:type="dxa" w:w="2122"/>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Contrast</w:t>
            </w:r>
          </w:p>
        </w:tc>
        <w:tc>
          <w:tcPr>
            <w:tcW w:type="dxa" w:w="3182"/>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Estimate [95% CI]</w:t>
            </w:r>
          </w:p>
        </w:tc>
        <w:tc>
          <w:tcPr>
            <w:tcW w:type="dxa" w:w="1326"/>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Nominal p</w:t>
            </w:r>
          </w:p>
        </w:tc>
        <w:tc>
          <w:tcPr>
            <w:tcW w:type="dxa" w:w="1326"/>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Holm 6</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ordinal</w:t>
            </w:r>
          </w:p>
        </w:tc>
        <w:tc>
          <w:tcPr>
            <w:tcW w:type="dxa" w:w="212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food-cash</w:t>
            </w:r>
          </w:p>
        </w:tc>
        <w:tc>
          <w:tcPr>
            <w:tcW w:type="dxa" w:w="31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-0.123 [-0.225, -0.021]</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0.018</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ordinal</w:t>
            </w:r>
          </w:p>
        </w:tc>
        <w:tc>
          <w:tcPr>
            <w:tcW w:type="dxa" w:w="212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medical-cash</w:t>
            </w:r>
          </w:p>
        </w:tc>
        <w:tc>
          <w:tcPr>
            <w:tcW w:type="dxa" w:w="31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-0.311 [-0.411, -0.211]</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&lt;0.001</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ordinal</w:t>
            </w:r>
          </w:p>
        </w:tc>
        <w:tc>
          <w:tcPr>
            <w:tcW w:type="dxa" w:w="212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1000-200</w:t>
            </w:r>
          </w:p>
        </w:tc>
        <w:tc>
          <w:tcPr>
            <w:tcW w:type="dxa" w:w="31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-0.061 [-0.163, 0.040]</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0.237</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ordinal</w:t>
            </w:r>
          </w:p>
        </w:tc>
        <w:tc>
          <w:tcPr>
            <w:tcW w:type="dxa" w:w="212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5000-200</w:t>
            </w:r>
          </w:p>
        </w:tc>
        <w:tc>
          <w:tcPr>
            <w:tcW w:type="dxa" w:w="31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-0.109 [-0.210, -0.009]</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0.033</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midpoint</w:t>
            </w:r>
          </w:p>
        </w:tc>
        <w:tc>
          <w:tcPr>
            <w:tcW w:type="dxa" w:w="212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food-cash</w:t>
            </w:r>
          </w:p>
        </w:tc>
        <w:tc>
          <w:tcPr>
            <w:tcW w:type="dxa" w:w="31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-1.98 [-3.71, -0.26]</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0.024</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midpoint</w:t>
            </w:r>
          </w:p>
        </w:tc>
        <w:tc>
          <w:tcPr>
            <w:tcW w:type="dxa" w:w="212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medical-cash</w:t>
            </w:r>
          </w:p>
        </w:tc>
        <w:tc>
          <w:tcPr>
            <w:tcW w:type="dxa" w:w="31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-4.91 [-6.56, -3.26]</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&lt;0.001</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midpoint</w:t>
            </w:r>
          </w:p>
        </w:tc>
        <w:tc>
          <w:tcPr>
            <w:tcW w:type="dxa" w:w="212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1000-200</w:t>
            </w:r>
          </w:p>
        </w:tc>
        <w:tc>
          <w:tcPr>
            <w:tcW w:type="dxa" w:w="31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-1.75 [-3.46, -0.04]</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0.045</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midpoint</w:t>
            </w:r>
          </w:p>
        </w:tc>
        <w:tc>
          <w:tcPr>
            <w:tcW w:type="dxa" w:w="212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5000-200</w:t>
            </w:r>
          </w:p>
        </w:tc>
        <w:tc>
          <w:tcPr>
            <w:tcW w:type="dxa" w:w="31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-2.74 [-4.42, -1.07]</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0.001</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top 75</w:t>
            </w:r>
          </w:p>
        </w:tc>
        <w:tc>
          <w:tcPr>
            <w:tcW w:type="dxa" w:w="212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food-cash</w:t>
            </w:r>
          </w:p>
        </w:tc>
        <w:tc>
          <w:tcPr>
            <w:tcW w:type="dxa" w:w="31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-1.16 [-2.99, 0.66]</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0.213</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0.213</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top 75</w:t>
            </w:r>
          </w:p>
        </w:tc>
        <w:tc>
          <w:tcPr>
            <w:tcW w:type="dxa" w:w="212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medical-cash</w:t>
            </w:r>
          </w:p>
        </w:tc>
        <w:tc>
          <w:tcPr>
            <w:tcW w:type="dxa" w:w="31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-4.17 [-5.84, -2.51]</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&lt;0.001</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&lt;0.001</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top 75</w:t>
            </w:r>
          </w:p>
        </w:tc>
        <w:tc>
          <w:tcPr>
            <w:tcW w:type="dxa" w:w="212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1000-200</w:t>
            </w:r>
          </w:p>
        </w:tc>
        <w:tc>
          <w:tcPr>
            <w:tcW w:type="dxa" w:w="31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-2.70 [-4.49, -0.91]</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0.003</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0.006</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top 75</w:t>
            </w:r>
          </w:p>
        </w:tc>
        <w:tc>
          <w:tcPr>
            <w:tcW w:type="dxa" w:w="212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5000-200</w:t>
            </w:r>
          </w:p>
        </w:tc>
        <w:tc>
          <w:tcPr>
            <w:tcW w:type="dxa" w:w="31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-4.15 [-5.86, -2.43]</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&lt;0.001</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&lt;0.001</w:t>
            </w:r>
          </w:p>
        </w:tc>
      </w:tr>
    </w:tbl>
    <w:p>
      <w:r>
        <w:rPr>
          <w:b w:val="0"/>
        </w:rPr>
        <w:t>Ordinal score units; otherwise percentage points. Holm 6 applies only to highest-category results; the two omnibus tests are included in that family and retained in main_effects.csv.</w:t>
      </w:r>
    </w:p>
    <w:p>
      <w:pPr>
        <w:pStyle w:val="Heading2"/>
      </w:pPr>
      <w:r>
        <w:t>Table S4. Highest-category form contrasts at each amount</w:t>
      </w:r>
    </w:p>
    <w:tbl>
      <w:tblPr>
        <w:tblW w:type="auto" w:w="0"/>
        <w:tblLayout w:type="fixed"/>
        <w:tblLook w:firstColumn="1" w:firstRow="1" w:lastColumn="0" w:lastRow="0" w:noHBand="0" w:noVBand="1" w:val="04A0"/>
      </w:tblPr>
      <w:tblGrid>
        <w:gridCol w:w="1591"/>
        <w:gridCol w:w="2122"/>
        <w:gridCol w:w="3182"/>
        <w:gridCol w:w="1326"/>
        <w:gridCol w:w="1326"/>
      </w:tblGrid>
      <w:tr>
        <w:trPr>
          <w:cantSplit/>
          <w:tblHeader/>
        </w:trPr>
        <w:tc>
          <w:tcPr>
            <w:tcW w:type="dxa" w:w="1591"/>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Contrast</w:t>
            </w:r>
          </w:p>
        </w:tc>
        <w:tc>
          <w:tcPr>
            <w:tcW w:type="dxa" w:w="2122"/>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RMB</w:t>
            </w:r>
          </w:p>
        </w:tc>
        <w:tc>
          <w:tcPr>
            <w:tcW w:type="dxa" w:w="3182"/>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Estimate [pointwise 95% CI]</w:t>
            </w:r>
          </w:p>
        </w:tc>
        <w:tc>
          <w:tcPr>
            <w:tcW w:type="dxa" w:w="1326"/>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Simultaneous 95% CI</w:t>
            </w:r>
          </w:p>
        </w:tc>
        <w:tc>
          <w:tcPr>
            <w:tcW w:type="dxa" w:w="1326"/>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Holm 6</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food-cash</w:t>
            </w:r>
          </w:p>
        </w:tc>
        <w:tc>
          <w:tcPr>
            <w:tcW w:type="dxa" w:w="212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200</w:t>
            </w:r>
          </w:p>
        </w:tc>
        <w:tc>
          <w:tcPr>
            <w:tcW w:type="dxa" w:w="31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-3.64 [-7.22, -0.06]</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[-8.46, 1.17]</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0.184</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medical-cash</w:t>
            </w:r>
          </w:p>
        </w:tc>
        <w:tc>
          <w:tcPr>
            <w:tcW w:type="dxa" w:w="212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200</w:t>
            </w:r>
          </w:p>
        </w:tc>
        <w:tc>
          <w:tcPr>
            <w:tcW w:type="dxa" w:w="31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-7.40 [-10.69, -4.12]</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[-11.83, -2.98]</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&lt;0.001</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food-cash</w:t>
            </w:r>
          </w:p>
        </w:tc>
        <w:tc>
          <w:tcPr>
            <w:tcW w:type="dxa" w:w="212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1000</w:t>
            </w:r>
          </w:p>
        </w:tc>
        <w:tc>
          <w:tcPr>
            <w:tcW w:type="dxa" w:w="31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-2.01 [-5.06, 1.05]</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[-6.12, 2.11]</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0.396</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medical-cash</w:t>
            </w:r>
          </w:p>
        </w:tc>
        <w:tc>
          <w:tcPr>
            <w:tcW w:type="dxa" w:w="212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1000</w:t>
            </w:r>
          </w:p>
        </w:tc>
        <w:tc>
          <w:tcPr>
            <w:tcW w:type="dxa" w:w="31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-3.72 [-6.62, -0.81]</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[-7.63, 0.19]</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0.061</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food-cash</w:t>
            </w:r>
          </w:p>
        </w:tc>
        <w:tc>
          <w:tcPr>
            <w:tcW w:type="dxa" w:w="212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5000</w:t>
            </w:r>
          </w:p>
        </w:tc>
        <w:tc>
          <w:tcPr>
            <w:tcW w:type="dxa" w:w="31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2.17 [-0.63, 4.97]</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[-1.60, 5.94]</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0.387</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medical-cash</w:t>
            </w:r>
          </w:p>
        </w:tc>
        <w:tc>
          <w:tcPr>
            <w:tcW w:type="dxa" w:w="212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5000</w:t>
            </w:r>
          </w:p>
        </w:tc>
        <w:tc>
          <w:tcPr>
            <w:tcW w:type="dxa" w:w="31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-1.40 [-3.78, 0.98]</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[-4.61, 1.80]</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0.396</w:t>
            </w:r>
          </w:p>
        </w:tc>
      </w:tr>
    </w:tbl>
    <w:p>
      <w:r>
        <w:rPr>
          <w:b w:val="0"/>
        </w:rPr>
        <w:t>Bonferroni simultaneous intervals cover the six contrasts. Adult sample.</w:t>
      </w:r>
    </w:p>
    <w:p>
      <w:pPr>
        <w:pStyle w:val="Heading1"/>
      </w:pPr>
      <w:r>
        <w:t>S3. Interaction family and statistical calibration</w:t>
      </w:r>
    </w:p>
    <w:p>
      <w:r>
        <w:rPr>
          <w:b w:val="0"/>
        </w:rPr>
        <w:t>For each of seven codings, the linear model contains an intercept, two form indicators, z=log(amount/200)/log(5), and two form×z terms. Its omnibus interaction has two degrees of freedom; each Cash-versus-form contrast has one. The 21-test family holds sample, model and amount representation fixed. It was defined after earlier exploration and does not have preregistered status. Robustness specifications address sensitivity and remain visible separately; treating their dependent p values as a count of independent replications would be misleading.</w:t>
      </w:r>
    </w:p>
    <w:p>
      <w:r>
        <w:rPr>
          <w:b w:val="0"/>
        </w:rPr>
        <w:t>Holm is applied to the 21 nominal p values. The joint min-P method stacks HC3 interaction influence contributions across outcomes to construct a 14×14 covariance V. In each of 10,000 draws, a centered Gaussian vector V^(1/2)g supplies the joint coefficient errors. Each omnibus Wald statistic is mapped through its chi-square distribution with its own degrees of freedom, and each scalar contrast supplies a two-sided normal p value. The minimum across all 21 p values is compared with each observed p. Adjusted values use(1+number of simulated minima no greater than the observed p)/(B+1). Tiny negative covariance eigenvalues attributable to round-off are truncated at zero.</w:t>
      </w:r>
    </w:p>
    <w:p>
      <w:r>
        <w:rPr>
          <w:b w:val="0"/>
        </w:rPr>
        <w:t>This construction targets an asymptotic joint centered-error law, using the unrestricted covariance. It is not randomization inference under a sharp treatment null. The covariance and all seven grouped sufficient-statistic fits were previously checked against respondent-row regressions, with discrepancies below 6×10^−16 in coefficients and 4×10^−17 in covariance entries. No such respondent-level fitting is newly performed for the JEBO transition. Bonferroni simultaneous 95% intervals across the 21 tests accompany scalar contrasts. A min-P value near 0.039 has Monte Carlo standard error around 0.002; its threshold crossing is not a separate robust discovery.</w:t>
      </w:r>
    </w:p>
    <w:p>
      <w:pPr>
        <w:pStyle w:val="Heading2"/>
      </w:pPr>
      <w:r>
        <w:t>Table S5. Adult interaction family</w:t>
      </w:r>
    </w:p>
    <w:tbl>
      <w:tblPr>
        <w:tblW w:type="auto" w:w="0"/>
        <w:tblLayout w:type="fixed"/>
        <w:tblLook w:firstColumn="1" w:firstRow="1" w:lastColumn="0" w:lastRow="0" w:noHBand="0" w:noVBand="1" w:val="04A0"/>
      </w:tblPr>
      <w:tblGrid>
        <w:gridCol w:w="1591"/>
        <w:gridCol w:w="2122"/>
        <w:gridCol w:w="3182"/>
        <w:gridCol w:w="1326"/>
        <w:gridCol w:w="1326"/>
      </w:tblGrid>
      <w:tr>
        <w:trPr>
          <w:cantSplit/>
          <w:tblHeader/>
        </w:trPr>
        <w:tc>
          <w:tcPr>
            <w:tcW w:type="dxa" w:w="1591"/>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Outcome</w:t>
            </w:r>
          </w:p>
        </w:tc>
        <w:tc>
          <w:tcPr>
            <w:tcW w:type="dxa" w:w="2122"/>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Test</w:t>
            </w:r>
          </w:p>
        </w:tc>
        <w:tc>
          <w:tcPr>
            <w:tcW w:type="dxa" w:w="3182"/>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Nominal p</w:t>
            </w:r>
          </w:p>
        </w:tc>
        <w:tc>
          <w:tcPr>
            <w:tcW w:type="dxa" w:w="1326"/>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Holm 21</w:t>
            </w:r>
          </w:p>
        </w:tc>
        <w:tc>
          <w:tcPr>
            <w:tcW w:type="dxa" w:w="1326"/>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Min-P21</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ordinal</w:t>
            </w:r>
          </w:p>
        </w:tc>
        <w:tc>
          <w:tcPr>
            <w:tcW w:type="dxa" w:w="212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omnibus</w:t>
            </w:r>
          </w:p>
        </w:tc>
        <w:tc>
          <w:tcPr>
            <w:tcW w:type="dxa" w:w="31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0.060</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0.844</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0.373</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ordinal</w:t>
            </w:r>
          </w:p>
        </w:tc>
        <w:tc>
          <w:tcPr>
            <w:tcW w:type="dxa" w:w="212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cash-food</w:t>
            </w:r>
          </w:p>
        </w:tc>
        <w:tc>
          <w:tcPr>
            <w:tcW w:type="dxa" w:w="31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0.534</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1.000</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0.996</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ordinal</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cash-medical</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0.023</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0.387</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0.175</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midpoint</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omnibus</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0.033</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0.522</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0.232</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midpoint</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cash-food</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0.378</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1.000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0.963</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midpoint</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cash-medical</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0.011</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0.204</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0.093</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any_spending</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omnibus</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0.700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1.000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1.000</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any_spending</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cash-food</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0.745</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1.000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1.000</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any_spending</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cash-medical</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0.401</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1.000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0.973</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ge 10</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omnibus</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0.090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1.000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0.493</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ge 10</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cash-food</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0.808</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1.000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1.000</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ge 10</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cash-medical</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0.079</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1.000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0.449</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ge 25</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omnibus</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0.088</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1.000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0.487</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ge 25</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cash-food</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0.804</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1.000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1.000</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ge 25</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cash-medical</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0.085</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1.000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0.476</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ge 50</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omnibus</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0.103</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1.000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0.543</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ge 50</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cash-food</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0.321</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1.000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0.933</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ge 50</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cash-medical</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0.034</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0.522</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0.236</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top 75</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omnibus</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0.009</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0.181</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0.082</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top 75</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cash-food</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0.012</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0.224</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0.105</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top 75</w:t>
            </w:r>
          </w:p>
        </w:tc>
        <w:tc>
          <w:tcPr>
            <w:tcW w:type="dxa" w:w="212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cash-medical</w:t>
            </w:r>
          </w:p>
        </w:tc>
        <w:tc>
          <w:tcPr>
            <w:tcW w:type="dxa" w:w="31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0.004</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0.079</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0.039</w:t>
            </w:r>
          </w:p>
        </w:tc>
      </w:tr>
    </w:tbl>
    <w:p>
      <w:r>
        <w:rPr>
          <w:b w:val="0"/>
        </w:rPr>
        <w:t>All 21 tests retained. Scalar estimates and Bonferroni simultaneous intervals are in scientific_family21.csv. Seven codings are dependent descriptions of one response.</w:t>
      </w:r>
    </w:p>
    <w:p>
      <w:r>
        <w:rPr>
          <w:b w:val="0"/>
        </w:rPr>
        <w:t>Prior calibration used 1,000 independently generated datasets per scenario, each with a complete coefficient/HC3 refit and 999 calibration draws. The three scenarios were a pooled null, additive probability main effects, and a partial null with 15 true and 6 false restrictions. The partial-null alternative shifts mass between intermediate Food categories while leaving the highest-category interaction null. Table S6 reports family rejection rates with exact binomial intervals. These limited scenarios do not establish universal finite-sample control or power for the observed effect.</w:t>
      </w:r>
    </w:p>
    <w:p>
      <w:pPr>
        <w:pStyle w:val="Heading2"/>
      </w:pPr>
      <w:r>
        <w:t>Table S6. Existing complete-refit simulation checks</w:t>
      </w:r>
    </w:p>
    <w:tbl>
      <w:tblPr>
        <w:tblW w:type="auto" w:w="0"/>
        <w:tblLayout w:type="fixed"/>
        <w:tblLook w:firstColumn="1" w:firstRow="1" w:lastColumn="0" w:lastRow="0" w:noHBand="0" w:noVBand="1" w:val="04A0"/>
      </w:tblPr>
      <w:tblGrid>
        <w:gridCol w:w="1605"/>
        <w:gridCol w:w="2648"/>
        <w:gridCol w:w="2648"/>
        <w:gridCol w:w="2648"/>
      </w:tblGrid>
      <w:tr>
        <w:trPr>
          <w:cantSplit/>
          <w:tblHeader/>
        </w:trPr>
        <w:tc>
          <w:tcPr>
            <w:tcW w:type="dxa" w:w="1605"/>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Scenario</w:t>
            </w:r>
          </w:p>
        </w:tc>
        <w:tc>
          <w:tcPr>
            <w:tcW w:type="dxa" w:w="2648"/>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Method</w:t>
            </w:r>
          </w:p>
        </w:tc>
        <w:tc>
          <w:tcPr>
            <w:tcW w:type="dxa" w:w="2648"/>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FWER [95% CI]</w:t>
            </w:r>
          </w:p>
        </w:tc>
        <w:tc>
          <w:tcPr>
            <w:tcW w:type="dxa" w:w="2648"/>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False-null power</w:t>
            </w:r>
          </w:p>
        </w:tc>
      </w:tr>
      <w:tr>
        <w:trPr>
          <w:cantSplit/>
        </w:trPr>
        <w:tc>
          <w:tcPr>
            <w:tcW w:type="dxa" w:w="160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pooled null</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holm</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0.027 [0.018, 0.039]</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w:t>
            </w:r>
          </w:p>
        </w:tc>
      </w:tr>
      <w:tr>
        <w:trPr>
          <w:cantSplit/>
        </w:trPr>
        <w:tc>
          <w:tcPr>
            <w:tcW w:type="dxa" w:w="160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pooled null</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minP</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0.055 [0.042, 0.071]</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w:t>
            </w:r>
          </w:p>
        </w:tc>
      </w:tr>
      <w:tr>
        <w:trPr>
          <w:cantSplit/>
        </w:trPr>
        <w:tc>
          <w:tcPr>
            <w:tcW w:type="dxa" w:w="160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additive probability main effects</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holm</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0.025 [0.016, 0.037]</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w:t>
            </w:r>
          </w:p>
        </w:tc>
      </w:tr>
      <w:tr>
        <w:trPr>
          <w:cantSplit/>
        </w:trPr>
        <w:tc>
          <w:tcPr>
            <w:tcW w:type="dxa" w:w="160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additive probability main effects</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minP</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0.053 [0.040, 0.069]</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w:t>
            </w:r>
          </w:p>
        </w:tc>
      </w:tr>
      <w:tr>
        <w:trPr>
          <w:cantSplit/>
        </w:trPr>
        <w:tc>
          <w:tcPr>
            <w:tcW w:type="dxa" w:w="160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partial null intermediate food interaction</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holm</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0.022 [0.014, 0.033]</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0.021</w:t>
            </w:r>
          </w:p>
        </w:tc>
      </w:tr>
      <w:tr>
        <w:trPr>
          <w:cantSplit/>
        </w:trPr>
        <w:tc>
          <w:tcPr>
            <w:tcW w:type="dxa" w:w="160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partial null intermediate food interaction</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minP</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0.041 [0.030, 0.055]</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0.032</w:t>
            </w:r>
          </w:p>
        </w:tc>
      </w:tr>
    </w:tbl>
    <w:p>
      <w:r>
        <w:rPr>
          <w:b w:val="0"/>
        </w:rPr>
        <w:t>1,000 refitted datasets per scenario;999 draws per fit; no failed refits. Power is mean rejection over six false restrictions in the partial-null simulation, not observed-effect power.</w:t>
      </w:r>
    </w:p>
    <w:p>
      <w:r>
        <w:rPr>
          <w:b w:val="0"/>
        </w:rPr>
        <w:t>The earlier 1,500-row diagnostic mixed outcome/contrast choices with samples, links and amount representations. Its unnormalized maximum combined absolute scalar z values with square roots of multidimensional Wald statistics. In 4,949 of 5,000 saved draws, a four-degree-of-freedom row supplied that maximum. The leading model types were saturated OLS/LPM and logit, not primarily the ordered location-scale fit. Applying degrees-of-freedom-specific p transformations to the same saved grid changed the focal full-sample omnibus adjusted value from 0.414 to 0.370. That corrects a scale problem but retains the old family and null-model limitations. It is not the current primary inference.</w:t>
      </w:r>
    </w:p>
    <w:p>
      <w:r>
        <w:rPr>
          <w:b w:val="0"/>
        </w:rPr>
        <w:t>The historical family also combined different additive nulls across links. In one ordered location-scale construction, the constrained fit zeroed both location and scale interactions while some reported tests involved location alone. The old 7/200 simulation examined a fixed-score family maximum under a pooled null, rather than a single isolated test, but did not refit the entire estimation procedure or establish useful power. These limitations are retained in the analysis history. The narrower 21-test family is more interpretable; it cannot retroactively eliminate selection across the research programme.</w:t>
      </w:r>
    </w:p>
    <w:p>
      <w:pPr>
        <w:pStyle w:val="Heading1"/>
      </w:pPr>
      <w:r>
        <w:t>S4. Threshold and specification sensitivity</w:t>
      </w:r>
    </w:p>
    <w:p>
      <w:r>
        <w:rPr>
          <w:b w:val="0"/>
        </w:rPr>
        <w:t>The original 420-specification grid crosses seven outcome/model representations, five overlapping samples, two covariate choices, two amount representations and three form contrasts. Its supplied summary contains 20 specifications per outcome/contrast. Highest-category Food–Cash and Medical–Cash signs are consistent across that grid, but intervals and ordinal contrasts are less stable. Sign counts are descriptive. Changing sample definitions changes the target population, and nonlinear latent-scale coefficients do not share the probability scale of a linear model. No pooled specification-curve p value is constructed.</w:t>
      </w:r>
    </w:p>
    <w:p>
      <w:pPr>
        <w:pStyle w:val="Heading2"/>
      </w:pPr>
      <w:r>
        <w:t>Table S7. Historical 420-grid descriptive summary</w:t>
      </w:r>
    </w:p>
    <w:tbl>
      <w:tblPr>
        <w:tblW w:type="auto" w:w="0"/>
        <w:tblLayout w:type="fixed"/>
        <w:tblLook w:firstColumn="1" w:firstRow="1" w:lastColumn="0" w:lastRow="0" w:noHBand="0" w:noVBand="1" w:val="04A0"/>
      </w:tblPr>
      <w:tblGrid>
        <w:gridCol w:w="1591"/>
        <w:gridCol w:w="2122"/>
        <w:gridCol w:w="3182"/>
        <w:gridCol w:w="1326"/>
        <w:gridCol w:w="1326"/>
      </w:tblGrid>
      <w:tr>
        <w:trPr>
          <w:cantSplit/>
          <w:tblHeader/>
        </w:trPr>
        <w:tc>
          <w:tcPr>
            <w:tcW w:type="dxa" w:w="1591"/>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Coding</w:t>
            </w:r>
          </w:p>
        </w:tc>
        <w:tc>
          <w:tcPr>
            <w:tcW w:type="dxa" w:w="2122"/>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Contrast</w:t>
            </w:r>
          </w:p>
        </w:tc>
        <w:tc>
          <w:tcPr>
            <w:tcW w:type="dxa" w:w="3182"/>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Specs</w:t>
            </w:r>
          </w:p>
        </w:tc>
        <w:tc>
          <w:tcPr>
            <w:tcW w:type="dxa" w:w="1326"/>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Positive sign (%)</w:t>
            </w:r>
          </w:p>
        </w:tc>
        <w:tc>
          <w:tcPr>
            <w:tcW w:type="dxa" w:w="1326"/>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CI excludes 0 (%)</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top 75</w:t>
            </w:r>
          </w:p>
        </w:tc>
        <w:tc>
          <w:tcPr>
            <w:tcW w:type="dxa" w:w="212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food-cash</w:t>
            </w:r>
          </w:p>
        </w:tc>
        <w:tc>
          <w:tcPr>
            <w:tcW w:type="dxa" w:w="31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20</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100</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60</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top 75</w:t>
            </w:r>
          </w:p>
        </w:tc>
        <w:tc>
          <w:tcPr>
            <w:tcW w:type="dxa" w:w="212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medical-cash</w:t>
            </w:r>
          </w:p>
        </w:tc>
        <w:tc>
          <w:tcPr>
            <w:tcW w:type="dxa" w:w="31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20</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100</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70</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top 75</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restricted-cash</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20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100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70</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top 75_logit_AME</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food-cash</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20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100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60</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top 75_logit_AME</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medical-cash</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20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100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60</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top 75_logit_AME</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restricted-cash</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20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100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60</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ordered_logit</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food-cash</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20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60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ordered_logit</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medical-cash</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20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80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60</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ordered_logit</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restricted-cash</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20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70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ordered_probit</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food-cash</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20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60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ordered_probit</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medical-cash</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20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80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60</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ordered_probit</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restricted-cash</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20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80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20</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alt_top</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food-cash</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20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100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alt_top</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medical-cash</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20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100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60</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alt_top</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restricted-cash</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20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100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60</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midpoint</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food-cash</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20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100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midpoint</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medical-cash</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20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100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60</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midpoint</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restricted-cash</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20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100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40</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ordinal</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food-cash</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20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60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0</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ordinal</w:t>
            </w:r>
          </w:p>
        </w:tc>
        <w:tc>
          <w:tcPr>
            <w:tcW w:type="dxa" w:w="212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medical-cash</w:t>
            </w:r>
          </w:p>
        </w:tc>
        <w:tc>
          <w:tcPr>
            <w:tcW w:type="dxa" w:w="3182"/>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20</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95</w:t>
            </w:r>
          </w:p>
        </w:tc>
        <w:tc>
          <w:tcPr>
            <w:tcW w:type="dxa" w:w="1326"/>
            <w:tcMar>
              <w:top w:w="75" w:type="dxa"/>
              <w:bottom w:w="75" w:type="dxa"/>
              <w:left w:w="75" w:type="dxa"/>
              <w:right w:w="75" w:type="dxa"/>
            </w:tcMar>
            <w:tcBorders>
              <w:top w:val="single" w:sz="4" w:color="D5D5D5"/>
              <w:bottom w:val="single" w:sz="4" w:color="D5D5D5"/>
            </w:tcBorders>
          </w:tcPr>
          <w:p>
            <w:pPr>
              <w:keepNext w:val="0"/>
              <w:spacing w:line="240" w:lineRule="auto" w:after="40" w:before="40"/>
            </w:pPr>
            <w:r>
              <w:rPr>
                <w:b w:val="0"/>
                <w:sz w:val="18"/>
              </w:rPr>
              <w:t>60</w:t>
            </w:r>
          </w:p>
        </w:tc>
      </w:tr>
      <w:tr>
        <w:trPr>
          <w:cantSplit/>
        </w:trPr>
        <w:tc>
          <w:tcPr>
            <w:tcW w:type="dxa" w:w="1591"/>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ordinal</w:t>
            </w:r>
          </w:p>
        </w:tc>
        <w:tc>
          <w:tcPr>
            <w:tcW w:type="dxa" w:w="212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restricted-cash</w:t>
            </w:r>
          </w:p>
        </w:tc>
        <w:tc>
          <w:tcPr>
            <w:tcW w:type="dxa" w:w="3182"/>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20</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80</w:t>
            </w:r>
          </w:p>
        </w:tc>
        <w:tc>
          <w:tcPr>
            <w:tcW w:type="dxa" w:w="132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20</w:t>
            </w:r>
          </w:p>
        </w:tc>
      </w:tr>
    </w:tbl>
    <w:p>
      <w:r>
        <w:rPr>
          <w:b w:val="0"/>
        </w:rPr>
        <w:t>Historical R/A/C/Q1/Q2 samples; positive means the named form/derived Restricted slope exceeds Cash. Each row summarizes 20 dependent specifications. Different codings have different scales; this is not a new test.</w:t>
      </w:r>
    </w:p>
    <w:p>
      <w:r>
        <w:rPr>
          <w:b w:val="0"/>
        </w:rPr>
        <w:t>Ordered logit/probit and location-scale sensitivity are retained in the historical tables, including failed-fit/status fields rather than selected successful fits. In the full-sample trend ordered-logit example, the omnibus nominal p is 0.0816 and Cash–Medical p is 0.0378; these are latent-location results, not probability-effect magnitudes. The broader grid includes adult and response-screen variants. In particular, strict Q2 ordinal contrasts attenuate and may change sign. Stability of the highest-category point estimates should not be generalized to every coding. The primary adult ordinal omnibus remains nonsignificant even before the 21-test correction.</w:t>
      </w:r>
    </w:p>
    <w:p>
      <w:r>
        <w:rPr>
          <w:b w:val="0"/>
        </w:rPr>
        <w:t>Direct historical tests comparing the highest-category slope difference with other threshold differences did not establish exclusive tail specificity. For the derived Restricted–Cash contrast, all four top-versus-lower-threshold Holm values are 1.000. Restricted always means the equally weighted average 0.5 Food+0.5 Medical, not a fourth randomized arm and not an assertion of Food–Medical equivalence. The main paper therefore describes visible high-response compression while retaining the full bins.</w:t>
      </w:r>
    </w:p>
    <w:p>
      <w:r>
        <w:rPr>
          <w:b w:val="0"/>
        </w:rPr>
        <w:t>Adult endpoint risk and odds ratios for the highest response are supplied in Table S8. Cash's larger relative decline shows why proximity to zero alone is not a sufficient arithmetic account of its steeper probability decline. These within-form ratios are not adjusted tests that relative slopes differ across forms. Implied-yuan outcomes in the earlier package multiply the assigned amount by midpoint scores. Their increases are partly mechanical and do not validate actual spending or a constant-yuan behavioral model. The earlier full-sample Cash implied-yuan elasticity was 0.929; this is an arithmetic translation with coding assumptions, not a new JEBO result.</w:t>
      </w:r>
    </w:p>
    <w:p>
      <w:pPr>
        <w:pStyle w:val="Heading2"/>
      </w:pPr>
      <w:r>
        <w:t>Table S8. Adult highest-category endpoint ratios</w:t>
      </w:r>
    </w:p>
    <w:tbl>
      <w:tblPr>
        <w:tblW w:type="auto" w:w="0"/>
        <w:tblLayout w:type="fixed"/>
        <w:tblLook w:firstColumn="1" w:firstRow="1" w:lastColumn="0" w:lastRow="0" w:noHBand="0" w:noVBand="1" w:val="04A0"/>
      </w:tblPr>
      <w:tblGrid>
        <w:gridCol w:w="2220"/>
        <w:gridCol w:w="3663"/>
        <w:gridCol w:w="3663"/>
      </w:tblGrid>
      <w:tr>
        <w:trPr>
          <w:cantSplit/>
          <w:tblHeader/>
        </w:trPr>
        <w:tc>
          <w:tcPr>
            <w:tcW w:type="dxa" w:w="2220"/>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Form</w:t>
            </w:r>
          </w:p>
        </w:tc>
        <w:tc>
          <w:tcPr>
            <w:tcW w:type="dxa" w:w="3663"/>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Risk ratio [95% CI]</w:t>
            </w:r>
          </w:p>
        </w:tc>
        <w:tc>
          <w:tcPr>
            <w:tcW w:type="dxa" w:w="3663"/>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Odds ratio [95% CI]</w:t>
            </w:r>
          </w:p>
        </w:tc>
      </w:tr>
      <w:tr>
        <w:trPr>
          <w:cantSplit/>
        </w:trPr>
        <w:tc>
          <w:tcPr>
            <w:tcW w:type="dxa" w:w="222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Cash</w:t>
            </w:r>
          </w:p>
        </w:tc>
        <w:tc>
          <w:tcPr>
            <w:tcW w:type="dxa" w:w="366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0.398 [0.268, 0.592]</w:t>
            </w:r>
          </w:p>
        </w:tc>
        <w:tc>
          <w:tcPr>
            <w:tcW w:type="dxa" w:w="366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0.364 [0.237, 0.559]</w:t>
            </w:r>
          </w:p>
        </w:tc>
      </w:tr>
      <w:tr>
        <w:trPr>
          <w:cantSplit/>
        </w:trPr>
        <w:tc>
          <w:tcPr>
            <w:tcW w:type="dxa" w:w="222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Food</w:t>
            </w:r>
          </w:p>
        </w:tc>
        <w:tc>
          <w:tcPr>
            <w:tcW w:type="dxa" w:w="366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0.768 [0.530, 1.111]</w:t>
            </w:r>
          </w:p>
        </w:tc>
        <w:tc>
          <w:tcPr>
            <w:tcW w:type="dxa" w:w="366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0.749 [0.500, 1.122]</w:t>
            </w:r>
          </w:p>
        </w:tc>
      </w:tr>
      <w:tr>
        <w:trPr>
          <w:cantSplit/>
        </w:trPr>
        <w:tc>
          <w:tcPr>
            <w:tcW w:type="dxa" w:w="222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Medical</w:t>
            </w:r>
          </w:p>
        </w:tc>
        <w:tc>
          <w:tcPr>
            <w:tcW w:type="dxa" w:w="366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0.654 [0.399, 1.074]</w:t>
            </w:r>
          </w:p>
        </w:tc>
        <w:tc>
          <w:tcPr>
            <w:tcW w:type="dxa" w:w="366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0.640 [0.380, 1.077]</w:t>
            </w:r>
          </w:p>
        </w:tc>
      </w:tr>
    </w:tbl>
    <w:p>
      <w:r>
        <w:rPr>
          <w:b w:val="0"/>
        </w:rPr>
        <w:t>5,000 versus 200. Pointwise log-scale delta-method intervals, not tests comparing ratios across forms.</w:t>
      </w:r>
    </w:p>
    <w:p>
      <w:pPr>
        <w:pStyle w:val="Heading1"/>
      </w:pPr>
      <w:r>
        <w:t>S5. Extensive/conditional decomposition</w:t>
      </w:r>
    </w:p>
    <w:p>
      <w:r>
        <w:rPr>
          <w:b w:val="0"/>
        </w:rPr>
        <w:t>Only this new empirical calculation was authorized for the target transition. Its post hoc analysis manifest was committed before execution. We use the approved adult 54 category counts (nine cells×six categories), not respondent records. Within each cell, p=1−share(category 1), m is the midpoint mean and m+=m/p. The endpoint identity is Δm=Δp×(m+low+m+high)/2+Δm+×(plow+phigh)/2. All nine mean identities and all three decompositions pass to numerical tolerance 1×10^−14.</w:t>
      </w:r>
    </w:p>
    <w:p>
      <w:r>
        <w:rPr>
          <w:b w:val="0"/>
        </w:rPr>
        <w:t>Bootstrap sampling uses numpy's default_rng with seed 2026100316 and 4,000 draws. For each cell and draw, a multinomial draw with its observed N and six observed category frequencies is exactly equivalent to sampling categorical records with replacement within that cell. Cells are sampled independently, with fixed cell sizes. Percentile 2.5%/97.5% intervals are pointwise. No draw has zero positive-category observations; no redraw or selective exclusion is needed. Identities hold for every draw. The decomposition introduces no new hypothesis tests, subgroup searches, thresholds or contribution percentages near a zero total.</w:t>
      </w:r>
    </w:p>
    <w:p>
      <w:r>
        <w:rPr>
          <w:b w:val="0"/>
        </w:rPr>
        <w:t>Table S9 reports all cell quantities and conditional-positive intervals. Main Table 3 reports endpoint contributions. The conditional group is selected by an outcome after assignment. Its mean and the associated product component are descriptive; they do not identify a causal intensive-margin effect for a stable population. This is the same selection issue even if the contribution's pointwise interval excludes zero.</w:t>
      </w:r>
    </w:p>
    <w:p>
      <w:pPr>
        <w:pStyle w:val="Heading2"/>
      </w:pPr>
      <w:r>
        <w:t>Table S9. Adult cell decomposition quantities</w:t>
      </w:r>
    </w:p>
    <w:tbl>
      <w:tblPr>
        <w:tblW w:type="auto" w:w="0"/>
        <w:tblLayout w:type="fixed"/>
        <w:tblLook w:firstColumn="1" w:firstRow="1" w:lastColumn="0" w:lastRow="0" w:noHBand="0" w:noVBand="1" w:val="04A0"/>
      </w:tblPr>
      <w:tblGrid>
        <w:gridCol w:w="1273"/>
        <w:gridCol w:w="1114"/>
        <w:gridCol w:w="1750"/>
        <w:gridCol w:w="1750"/>
        <w:gridCol w:w="3660"/>
      </w:tblGrid>
      <w:tr>
        <w:trPr>
          <w:cantSplit/>
          <w:tblHeader/>
        </w:trPr>
        <w:tc>
          <w:tcPr>
            <w:tcW w:type="dxa" w:w="1273"/>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Form</w:t>
            </w:r>
          </w:p>
        </w:tc>
        <w:tc>
          <w:tcPr>
            <w:tcW w:type="dxa" w:w="1114"/>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RMB</w:t>
            </w:r>
          </w:p>
        </w:tc>
        <w:tc>
          <w:tcPr>
            <w:tcW w:type="dxa" w:w="1750"/>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Positive (%)</w:t>
            </w:r>
          </w:p>
        </w:tc>
        <w:tc>
          <w:tcPr>
            <w:tcW w:type="dxa" w:w="1750"/>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Midpoint (%)</w:t>
            </w:r>
          </w:p>
        </w:tc>
        <w:tc>
          <w:tcPr>
            <w:tcW w:type="dxa" w:w="3660"/>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Conditional midpoint [95% CI] (%)</w:t>
            </w:r>
          </w:p>
        </w:tc>
      </w:tr>
      <w:tr>
        <w:trPr>
          <w:cantSplit/>
        </w:trPr>
        <w:tc>
          <w:tcPr>
            <w:tcW w:type="dxa" w:w="127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Cash</w:t>
            </w:r>
          </w:p>
        </w:tc>
        <w:tc>
          <w:tcPr>
            <w:tcW w:type="dxa" w:w="1114"/>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200</w:t>
            </w:r>
          </w:p>
        </w:tc>
        <w:tc>
          <w:tcPr>
            <w:tcW w:type="dxa" w:w="175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72.65</w:t>
            </w:r>
          </w:p>
        </w:tc>
        <w:tc>
          <w:tcPr>
            <w:tcW w:type="dxa" w:w="175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25.30</w:t>
            </w:r>
          </w:p>
        </w:tc>
        <w:tc>
          <w:tcPr>
            <w:tcW w:type="dxa" w:w="366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34.82 [32.18, 37.49]</w:t>
            </w:r>
          </w:p>
        </w:tc>
      </w:tr>
      <w:tr>
        <w:trPr>
          <w:cantSplit/>
        </w:trPr>
        <w:tc>
          <w:tcPr>
            <w:tcW w:type="dxa" w:w="127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Cash</w:t>
            </w:r>
          </w:p>
        </w:tc>
        <w:tc>
          <w:tcPr>
            <w:tcW w:type="dxa" w:w="1114"/>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1000</w:t>
            </w:r>
          </w:p>
        </w:tc>
        <w:tc>
          <w:tcPr>
            <w:tcW w:type="dxa" w:w="175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71.45</w:t>
            </w:r>
          </w:p>
        </w:tc>
        <w:tc>
          <w:tcPr>
            <w:tcW w:type="dxa" w:w="175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22.67</w:t>
            </w:r>
          </w:p>
        </w:tc>
        <w:tc>
          <w:tcPr>
            <w:tcW w:type="dxa" w:w="366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31.73 [29.24, 34.32]</w:t>
            </w:r>
          </w:p>
        </w:tc>
      </w:tr>
      <w:tr>
        <w:trPr>
          <w:cantSplit/>
        </w:trPr>
        <w:tc>
          <w:tcPr>
            <w:tcW w:type="dxa" w:w="127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Cash</w:t>
            </w:r>
          </w:p>
        </w:tc>
        <w:tc>
          <w:tcPr>
            <w:tcW w:type="dxa" w:w="1114"/>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5000</w:t>
            </w:r>
          </w:p>
        </w:tc>
        <w:tc>
          <w:tcPr>
            <w:tcW w:type="dxa" w:w="175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72.59</w:t>
            </w:r>
          </w:p>
        </w:tc>
        <w:tc>
          <w:tcPr>
            <w:tcW w:type="dxa" w:w="175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20.16</w:t>
            </w:r>
          </w:p>
        </w:tc>
        <w:tc>
          <w:tcPr>
            <w:tcW w:type="dxa" w:w="366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27.78 [25.55, 30.08]</w:t>
            </w:r>
          </w:p>
        </w:tc>
      </w:tr>
      <w:tr>
        <w:trPr>
          <w:cantSplit/>
        </w:trPr>
        <w:tc>
          <w:tcPr>
            <w:tcW w:type="dxa" w:w="127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Food</w:t>
            </w:r>
          </w:p>
        </w:tc>
        <w:tc>
          <w:tcPr>
            <w:tcW w:type="dxa" w:w="1114"/>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200</w:t>
            </w:r>
          </w:p>
        </w:tc>
        <w:tc>
          <w:tcPr>
            <w:tcW w:type="dxa" w:w="175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68.84</w:t>
            </w:r>
          </w:p>
        </w:tc>
        <w:tc>
          <w:tcPr>
            <w:tcW w:type="dxa" w:w="175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22.70</w:t>
            </w:r>
          </w:p>
        </w:tc>
        <w:tc>
          <w:tcPr>
            <w:tcW w:type="dxa" w:w="366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32.97 [30.30, 35.70]</w:t>
            </w:r>
          </w:p>
        </w:tc>
      </w:tr>
      <w:tr>
        <w:trPr>
          <w:cantSplit/>
        </w:trPr>
        <w:tc>
          <w:tcPr>
            <w:tcW w:type="dxa" w:w="127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Food</w:t>
            </w:r>
          </w:p>
        </w:tc>
        <w:tc>
          <w:tcPr>
            <w:tcW w:type="dxa" w:w="1114"/>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1000</w:t>
            </w:r>
          </w:p>
        </w:tc>
        <w:tc>
          <w:tcPr>
            <w:tcW w:type="dxa" w:w="175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69.95</w:t>
            </w:r>
          </w:p>
        </w:tc>
        <w:tc>
          <w:tcPr>
            <w:tcW w:type="dxa" w:w="175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19.98</w:t>
            </w:r>
          </w:p>
        </w:tc>
        <w:tc>
          <w:tcPr>
            <w:tcW w:type="dxa" w:w="366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28.57 [26.16, 30.93]</w:t>
            </w:r>
          </w:p>
        </w:tc>
      </w:tr>
      <w:tr>
        <w:trPr>
          <w:cantSplit/>
        </w:trPr>
        <w:tc>
          <w:tcPr>
            <w:tcW w:type="dxa" w:w="127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Food</w:t>
            </w:r>
          </w:p>
        </w:tc>
        <w:tc>
          <w:tcPr>
            <w:tcW w:type="dxa" w:w="1114"/>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5000</w:t>
            </w:r>
          </w:p>
        </w:tc>
        <w:tc>
          <w:tcPr>
            <w:tcW w:type="dxa" w:w="175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69.95</w:t>
            </w:r>
          </w:p>
        </w:tc>
        <w:tc>
          <w:tcPr>
            <w:tcW w:type="dxa" w:w="175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19.49</w:t>
            </w:r>
          </w:p>
        </w:tc>
        <w:tc>
          <w:tcPr>
            <w:tcW w:type="dxa" w:w="366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27.87 [25.43, 30.50]</w:t>
            </w:r>
          </w:p>
        </w:tc>
      </w:tr>
      <w:tr>
        <w:trPr>
          <w:cantSplit/>
        </w:trPr>
        <w:tc>
          <w:tcPr>
            <w:tcW w:type="dxa" w:w="127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Medical</w:t>
            </w:r>
          </w:p>
        </w:tc>
        <w:tc>
          <w:tcPr>
            <w:tcW w:type="dxa" w:w="1114"/>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200</w:t>
            </w:r>
          </w:p>
        </w:tc>
        <w:tc>
          <w:tcPr>
            <w:tcW w:type="dxa" w:w="175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61.40</w:t>
            </w:r>
          </w:p>
        </w:tc>
        <w:tc>
          <w:tcPr>
            <w:tcW w:type="dxa" w:w="175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17.73</w:t>
            </w:r>
          </w:p>
        </w:tc>
        <w:tc>
          <w:tcPr>
            <w:tcW w:type="dxa" w:w="366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28.87 [26.31, 31.42]</w:t>
            </w:r>
          </w:p>
        </w:tc>
      </w:tr>
      <w:tr>
        <w:trPr>
          <w:cantSplit/>
        </w:trPr>
        <w:tc>
          <w:tcPr>
            <w:tcW w:type="dxa" w:w="127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Medical</w:t>
            </w:r>
          </w:p>
        </w:tc>
        <w:tc>
          <w:tcPr>
            <w:tcW w:type="dxa" w:w="1114"/>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1000</w:t>
            </w:r>
          </w:p>
        </w:tc>
        <w:tc>
          <w:tcPr>
            <w:tcW w:type="dxa" w:w="175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67.10</w:t>
            </w:r>
          </w:p>
        </w:tc>
        <w:tc>
          <w:tcPr>
            <w:tcW w:type="dxa" w:w="175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17.83</w:t>
            </w:r>
          </w:p>
        </w:tc>
        <w:tc>
          <w:tcPr>
            <w:tcW w:type="dxa" w:w="366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26.57 [24.33, 29.03]</w:t>
            </w:r>
          </w:p>
        </w:tc>
      </w:tr>
      <w:tr>
        <w:trPr>
          <w:cantSplit/>
        </w:trPr>
        <w:tc>
          <w:tcPr>
            <w:tcW w:type="dxa" w:w="127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Medical</w:t>
            </w:r>
          </w:p>
        </w:tc>
        <w:tc>
          <w:tcPr>
            <w:tcW w:type="dxa" w:w="1114"/>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5000</w:t>
            </w:r>
          </w:p>
        </w:tc>
        <w:tc>
          <w:tcPr>
            <w:tcW w:type="dxa" w:w="175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64.51</w:t>
            </w:r>
          </w:p>
        </w:tc>
        <w:tc>
          <w:tcPr>
            <w:tcW w:type="dxa" w:w="175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17.84</w:t>
            </w:r>
          </w:p>
        </w:tc>
        <w:tc>
          <w:tcPr>
            <w:tcW w:type="dxa" w:w="366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27.66 [25.44, 29.89]</w:t>
            </w:r>
          </w:p>
        </w:tc>
      </w:tr>
    </w:tbl>
    <w:p>
      <w:r>
        <w:rPr>
          <w:b w:val="0"/>
        </w:rPr>
        <w:t>N and all three bootstrap interval sets are in extensive_intensive_cells.csv. Conditional-positive means are descriptive.</w:t>
      </w:r>
    </w:p>
    <w:p>
      <w:pPr>
        <w:pStyle w:val="Heading1"/>
      </w:pPr>
      <w:r>
        <w:t>S6. Conceptual predictions</w:t>
      </w:r>
    </w:p>
    <w:p>
      <w:r>
        <w:rPr>
          <w:b w:val="0"/>
        </w:rPr>
        <w:t>Table S10 summarizes the six accounts considered in interpretation. These are conditional predictions rather than fitted models. A broad theory with ambiguous gap predictions is not confirmed by a matching sign. No structural estimation, Bayesian mechanism comparison or additional mediator search is performed.</w:t>
      </w:r>
    </w:p>
    <w:p>
      <w:pPr>
        <w:pStyle w:val="Heading2"/>
      </w:pPr>
      <w:r>
        <w:t>Table S10. Conceptual predictions and missing measurements</w:t>
      </w:r>
    </w:p>
    <w:tbl>
      <w:tblPr>
        <w:tblW w:type="auto" w:w="0"/>
        <w:tblLayout w:type="fixed"/>
        <w:tblLook w:firstColumn="1" w:firstRow="1" w:lastColumn="0" w:lastRow="0" w:noHBand="0" w:noVBand="1" w:val="04A0"/>
      </w:tblPr>
      <w:tblGrid>
        <w:gridCol w:w="1605"/>
        <w:gridCol w:w="2648"/>
        <w:gridCol w:w="2648"/>
        <w:gridCol w:w="2648"/>
      </w:tblGrid>
      <w:tr>
        <w:trPr>
          <w:cantSplit/>
          <w:tblHeader/>
        </w:trPr>
        <w:tc>
          <w:tcPr>
            <w:tcW w:type="dxa" w:w="1605"/>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Account</w:t>
            </w:r>
          </w:p>
        </w:tc>
        <w:tc>
          <w:tcPr>
            <w:tcW w:type="dxa" w:w="2648"/>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Cash/margin implication</w:t>
            </w:r>
          </w:p>
        </w:tc>
        <w:tc>
          <w:tcPr>
            <w:tcW w:type="dxa" w:w="2648"/>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Form comparison</w:t>
            </w:r>
          </w:p>
        </w:tc>
        <w:tc>
          <w:tcPr>
            <w:tcW w:type="dxa" w:w="2648"/>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Missing for identification</w:t>
            </w:r>
          </w:p>
        </w:tc>
      </w:tr>
      <w:tr>
        <w:trPr>
          <w:cantSplit/>
        </w:trPr>
        <w:tc>
          <w:tcPr>
            <w:tcW w:type="dxa" w:w="160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Concave consumption / PIH</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Cash decline conditional on consumption-function assumptions</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Equal if fully fungible; otherwise ambiguous</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Horizon, preferences and wealth</w:t>
            </w:r>
          </w:p>
        </w:tc>
      </w:tr>
      <w:tr>
        <w:trPr>
          <w:cantSplit/>
        </w:trPr>
        <w:tc>
          <w:tcPr>
            <w:tcW w:type="dxa" w:w="160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Liquidity / hand-to-mouth</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High small-shock response near constraints</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Both margins; gap ambiguous</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Liquid resources and exogenous liquidity</w:t>
            </w:r>
          </w:p>
        </w:tc>
      </w:tr>
      <w:tr>
        <w:trPr>
          <w:cantSplit/>
        </w:trPr>
        <w:tc>
          <w:tcPr>
            <w:tcW w:type="dxa" w:w="160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Small-windfall mental accounts</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Lower conditional shares if larger gains enter assets</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Gap may shrink under additional assumptions</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Account categorization / intended use</w:t>
            </w:r>
          </w:p>
        </w:tc>
      </w:tr>
      <w:tr>
        <w:trPr>
          <w:cantSplit/>
        </w:trPr>
        <w:tc>
          <w:tcPr>
            <w:tcW w:type="dxa" w:w="160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Attention / planning</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Entry may rise as conditional share falls</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Expiry and salience can change either margin</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Attention and planning horizon</w:t>
            </w:r>
          </w:p>
        </w:tc>
      </w:tr>
      <w:tr>
        <w:trPr>
          <w:cantSplit/>
        </w:trPr>
        <w:tc>
          <w:tcPr>
            <w:tcW w:type="dxa" w:w="160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Mechanical eligibility restriction</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Cash benchmark; eligible spending matters</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Gap sign depends on substitution and timing</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Counterfactual eligible spending</w:t>
            </w:r>
          </w:p>
        </w:tc>
      </w:tr>
      <w:tr>
        <w:trPr>
          <w:cantSplit/>
        </w:trPr>
        <w:tc>
          <w:tcPr>
            <w:tcW w:type="dxa" w:w="160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Earmarking / commitment</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Category budgets influence allocation</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Either margin; gap ambiguous</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Independent label/commitment manipulation</w:t>
            </w:r>
          </w:p>
        </w:tc>
      </w:tr>
    </w:tbl>
    <w:p>
      <w:r>
        <w:rPr>
          <w:b w:val="0"/>
        </w:rPr>
        <w:t>Predictions require auxiliary assumptions. Income/expenditure diagnostics speak to selected implications; none uniquely identifies a process. Full synthesis: BEHAVIORAL_PREDICTIONS.md.</w:t>
      </w:r>
    </w:p>
    <w:p>
      <w:pPr>
        <w:pStyle w:val="Heading1"/>
      </w:pPr>
      <w:r>
        <w:t>S7. Income-relative scale and Food expenditure</w:t>
      </w:r>
    </w:p>
    <w:p>
      <w:r>
        <w:rPr>
          <w:b w:val="0"/>
        </w:rPr>
        <w:t>The unrestricted income model is a logit with form-specific intercepts, log(amount) slopes and log(income) slopes. ABS sets the three income slopes to zero. REL sets each income slope equal to the negative of its amount slope. ABS and REL are nonnested restrictions of the unrestricted model. A separate form×amount×income test includes all lower-order terms. Table S11 gives the seven-test diagnostic family, including income, Food and response-screen tests.</w:t>
      </w:r>
    </w:p>
    <w:p>
      <w:r>
        <w:rPr>
          <w:b w:val="0"/>
        </w:rPr>
        <w:t>The M1 current-income mapping uses 250,750,2,000.5,5,500.5,11,500.5 and 20,000 RMB for codes 1–6; legacy codes 11–16 use 500,2,000.5,4,000.5,6,500.5,10,000.5 and 16,000.5. M2 changes only codes 1,6 and 11 to 125,30,000 and 250. These represent income bands, not exact household resources; legacy income is personal income. Five cell-stratified folds are constructed in the full sample with seed 20261003, then restricted to adults. Model comparisons share folds, and scaling uses training data only. All fits converged in the existing prediction analysis.</w:t>
      </w:r>
    </w:p>
    <w:p>
      <w:pPr>
        <w:pStyle w:val="Heading2"/>
      </w:pPr>
      <w:r>
        <w:t>Table S11. Direct diagnostic restrictions</w:t>
      </w:r>
    </w:p>
    <w:tbl>
      <w:tblPr>
        <w:tblW w:type="auto" w:w="0"/>
        <w:tblLayout w:type="fixed"/>
        <w:tblLook w:firstColumn="1" w:firstRow="1" w:lastColumn="0" w:lastRow="0" w:noHBand="0" w:noVBand="1" w:val="04A0"/>
      </w:tblPr>
      <w:tblGrid>
        <w:gridCol w:w="4224"/>
        <w:gridCol w:w="1098"/>
        <w:gridCol w:w="845"/>
        <w:gridCol w:w="1690"/>
        <w:gridCol w:w="1690"/>
      </w:tblGrid>
      <w:tr>
        <w:trPr>
          <w:cantSplit/>
          <w:tblHeader/>
        </w:trPr>
        <w:tc>
          <w:tcPr>
            <w:tcW w:type="dxa" w:w="4224"/>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Restriction</w:t>
            </w:r>
          </w:p>
        </w:tc>
        <w:tc>
          <w:tcPr>
            <w:tcW w:type="dxa" w:w="1098"/>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N</w:t>
            </w:r>
          </w:p>
        </w:tc>
        <w:tc>
          <w:tcPr>
            <w:tcW w:type="dxa" w:w="845"/>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df</w:t>
            </w:r>
          </w:p>
        </w:tc>
        <w:tc>
          <w:tcPr>
            <w:tcW w:type="dxa" w:w="1690"/>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Nominal p</w:t>
            </w:r>
          </w:p>
        </w:tc>
        <w:tc>
          <w:tcPr>
            <w:tcW w:type="dxa" w:w="1690"/>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Holm 7</w:t>
            </w:r>
          </w:p>
        </w:tc>
      </w:tr>
      <w:tr>
        <w:trPr>
          <w:cantSplit/>
        </w:trPr>
        <w:tc>
          <w:tcPr>
            <w:tcW w:type="dxa" w:w="4224"/>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income ABS3 df</w:t>
            </w:r>
          </w:p>
        </w:tc>
        <w:tc>
          <w:tcPr>
            <w:tcW w:type="dxa" w:w="109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5480</w:t>
            </w:r>
          </w:p>
        </w:tc>
        <w:tc>
          <w:tcPr>
            <w:tcW w:type="dxa" w:w="84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3</w:t>
            </w:r>
          </w:p>
        </w:tc>
        <w:tc>
          <w:tcPr>
            <w:tcW w:type="dxa" w:w="169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0.004</w:t>
            </w:r>
          </w:p>
        </w:tc>
        <w:tc>
          <w:tcPr>
            <w:tcW w:type="dxa" w:w="169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0.030</w:t>
            </w:r>
          </w:p>
        </w:tc>
      </w:tr>
      <w:tr>
        <w:trPr>
          <w:cantSplit/>
        </w:trPr>
        <w:tc>
          <w:tcPr>
            <w:tcW w:type="dxa" w:w="4224"/>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income REL3 df</w:t>
            </w:r>
          </w:p>
        </w:tc>
        <w:tc>
          <w:tcPr>
            <w:tcW w:type="dxa" w:w="109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5480</w:t>
            </w:r>
          </w:p>
        </w:tc>
        <w:tc>
          <w:tcPr>
            <w:tcW w:type="dxa" w:w="84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3</w:t>
            </w:r>
          </w:p>
        </w:tc>
        <w:tc>
          <w:tcPr>
            <w:tcW w:type="dxa" w:w="169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0.035</w:t>
            </w:r>
          </w:p>
        </w:tc>
        <w:tc>
          <w:tcPr>
            <w:tcW w:type="dxa" w:w="169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0.176</w:t>
            </w:r>
          </w:p>
        </w:tc>
      </w:tr>
      <w:tr>
        <w:trPr>
          <w:cantSplit/>
        </w:trPr>
        <w:tc>
          <w:tcPr>
            <w:tcW w:type="dxa" w:w="4224"/>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income triple 2 df</w:t>
            </w:r>
          </w:p>
        </w:tc>
        <w:tc>
          <w:tcPr>
            <w:tcW w:type="dxa" w:w="109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5480</w:t>
            </w:r>
          </w:p>
        </w:tc>
        <w:tc>
          <w:tcPr>
            <w:tcW w:type="dxa" w:w="84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2</w:t>
            </w:r>
          </w:p>
        </w:tc>
        <w:tc>
          <w:tcPr>
            <w:tcW w:type="dxa" w:w="169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0.471</w:t>
            </w:r>
          </w:p>
        </w:tc>
        <w:tc>
          <w:tcPr>
            <w:tcW w:type="dxa" w:w="169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1.000</w:t>
            </w:r>
          </w:p>
        </w:tc>
      </w:tr>
      <w:tr>
        <w:trPr>
          <w:cantSplit/>
        </w:trPr>
        <w:tc>
          <w:tcPr>
            <w:tcW w:type="dxa" w:w="4224"/>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inframarginal triple 1 df</w:t>
            </w:r>
          </w:p>
        </w:tc>
        <w:tc>
          <w:tcPr>
            <w:tcW w:type="dxa" w:w="109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3621</w:t>
            </w:r>
          </w:p>
        </w:tc>
        <w:tc>
          <w:tcPr>
            <w:tcW w:type="dxa" w:w="84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w:t>
            </w:r>
          </w:p>
        </w:tc>
        <w:tc>
          <w:tcPr>
            <w:tcW w:type="dxa" w:w="169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0.008</w:t>
            </w:r>
          </w:p>
        </w:tc>
        <w:tc>
          <w:tcPr>
            <w:tcW w:type="dxa" w:w="169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0.0504</w:t>
            </w:r>
          </w:p>
        </w:tc>
      </w:tr>
      <w:tr>
        <w:trPr>
          <w:cantSplit/>
        </w:trPr>
        <w:tc>
          <w:tcPr>
            <w:tcW w:type="dxa" w:w="4224"/>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ratio restriction 1 df</w:t>
            </w:r>
          </w:p>
        </w:tc>
        <w:tc>
          <w:tcPr>
            <w:tcW w:type="dxa" w:w="109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3476</w:t>
            </w:r>
          </w:p>
        </w:tc>
        <w:tc>
          <w:tcPr>
            <w:tcW w:type="dxa" w:w="84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w:t>
            </w:r>
          </w:p>
        </w:tc>
        <w:tc>
          <w:tcPr>
            <w:tcW w:type="dxa" w:w="169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0.415</w:t>
            </w:r>
          </w:p>
        </w:tc>
        <w:tc>
          <w:tcPr>
            <w:tcW w:type="dxa" w:w="169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1.000</w:t>
            </w:r>
          </w:p>
        </w:tc>
      </w:tr>
      <w:tr>
        <w:trPr>
          <w:cantSplit/>
        </w:trPr>
        <w:tc>
          <w:tcPr>
            <w:tcW w:type="dxa" w:w="4224"/>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Q1 triple 2 df</w:t>
            </w:r>
          </w:p>
        </w:tc>
        <w:tc>
          <w:tcPr>
            <w:tcW w:type="dxa" w:w="109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5480</w:t>
            </w:r>
          </w:p>
        </w:tc>
        <w:tc>
          <w:tcPr>
            <w:tcW w:type="dxa" w:w="84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2</w:t>
            </w:r>
          </w:p>
        </w:tc>
        <w:tc>
          <w:tcPr>
            <w:tcW w:type="dxa" w:w="169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0.927</w:t>
            </w:r>
          </w:p>
        </w:tc>
        <w:tc>
          <w:tcPr>
            <w:tcW w:type="dxa" w:w="169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1.000</w:t>
            </w:r>
          </w:p>
        </w:tc>
      </w:tr>
      <w:tr>
        <w:trPr>
          <w:cantSplit/>
        </w:trPr>
        <w:tc>
          <w:tcPr>
            <w:tcW w:type="dxa" w:w="4224"/>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Q2 triple 2 df</w:t>
            </w:r>
          </w:p>
        </w:tc>
        <w:tc>
          <w:tcPr>
            <w:tcW w:type="dxa" w:w="109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5480</w:t>
            </w:r>
          </w:p>
        </w:tc>
        <w:tc>
          <w:tcPr>
            <w:tcW w:type="dxa" w:w="84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2</w:t>
            </w:r>
          </w:p>
        </w:tc>
        <w:tc>
          <w:tcPr>
            <w:tcW w:type="dxa" w:w="169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0.994</w:t>
            </w:r>
          </w:p>
        </w:tc>
        <w:tc>
          <w:tcPr>
            <w:tcW w:type="dxa" w:w="169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1.000</w:t>
            </w:r>
          </w:p>
        </w:tc>
      </w:tr>
    </w:tbl>
    <w:p>
      <w:r>
        <w:rPr>
          <w:b w:val="0"/>
        </w:rPr>
        <w:t>Adult highest-category outcome. Seven tests form one local family. Full coefficient details and group contrasts are in mechanism_details.csv.</w:t>
      </w:r>
    </w:p>
    <w:p>
      <w:pPr>
        <w:pStyle w:val="Heading2"/>
      </w:pPr>
      <w:r>
        <w:t>Table S12. Existing held-out prediction comparisons</w:t>
      </w:r>
    </w:p>
    <w:tbl>
      <w:tblPr>
        <w:tblW w:type="auto" w:w="0"/>
        <w:tblLayout w:type="fixed"/>
        <w:tblLook w:firstColumn="1" w:firstRow="1" w:lastColumn="0" w:lastRow="0" w:noHBand="0" w:noVBand="1" w:val="04A0"/>
      </w:tblPr>
      <w:tblGrid>
        <w:gridCol w:w="1605"/>
        <w:gridCol w:w="2648"/>
        <w:gridCol w:w="2648"/>
        <w:gridCol w:w="2648"/>
      </w:tblGrid>
      <w:tr>
        <w:trPr>
          <w:cantSplit/>
          <w:tblHeader/>
        </w:trPr>
        <w:tc>
          <w:tcPr>
            <w:tcW w:type="dxa" w:w="1605"/>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Mapping</w:t>
            </w:r>
          </w:p>
        </w:tc>
        <w:tc>
          <w:tcPr>
            <w:tcW w:type="dxa" w:w="2648"/>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Model</w:t>
            </w:r>
          </w:p>
        </w:tc>
        <w:tc>
          <w:tcPr>
            <w:tcW w:type="dxa" w:w="2648"/>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Log loss</w:t>
            </w:r>
          </w:p>
        </w:tc>
        <w:tc>
          <w:tcPr>
            <w:tcW w:type="dxa" w:w="2648"/>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Gain vs ABS (%)</w:t>
            </w:r>
          </w:p>
        </w:tc>
      </w:tr>
      <w:tr>
        <w:trPr>
          <w:cantSplit/>
        </w:trPr>
        <w:tc>
          <w:tcPr>
            <w:tcW w:type="dxa" w:w="160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M1</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additive</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0.261524</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-0.072</w:t>
            </w:r>
          </w:p>
        </w:tc>
      </w:tr>
      <w:tr>
        <w:trPr>
          <w:cantSplit/>
        </w:trPr>
        <w:tc>
          <w:tcPr>
            <w:tcW w:type="dxa" w:w="160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M1</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ABS</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0.261335</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0.000</w:t>
            </w:r>
          </w:p>
        </w:tc>
      </w:tr>
      <w:tr>
        <w:trPr>
          <w:cantSplit/>
        </w:trPr>
        <w:tc>
          <w:tcPr>
            <w:tcW w:type="dxa" w:w="160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M1</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REL</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0.260887</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0.172</w:t>
            </w:r>
          </w:p>
        </w:tc>
      </w:tr>
      <w:tr>
        <w:trPr>
          <w:cantSplit/>
        </w:trPr>
        <w:tc>
          <w:tcPr>
            <w:tcW w:type="dxa" w:w="160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M1</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unrestricted</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0.260564</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0.295</w:t>
            </w:r>
          </w:p>
        </w:tc>
      </w:tr>
      <w:tr>
        <w:trPr>
          <w:cantSplit/>
        </w:trPr>
        <w:tc>
          <w:tcPr>
            <w:tcW w:type="dxa" w:w="160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M1</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triple</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0.260914</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0.161</w:t>
            </w:r>
          </w:p>
        </w:tc>
      </w:tr>
      <w:tr>
        <w:trPr>
          <w:cantSplit/>
        </w:trPr>
        <w:tc>
          <w:tcPr>
            <w:tcW w:type="dxa" w:w="160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M2</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additive</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0.261524</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-0.072</w:t>
            </w:r>
          </w:p>
        </w:tc>
      </w:tr>
      <w:tr>
        <w:trPr>
          <w:cantSplit/>
        </w:trPr>
        <w:tc>
          <w:tcPr>
            <w:tcW w:type="dxa" w:w="160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M2</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ABS</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0.261335</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0.000</w:t>
            </w:r>
          </w:p>
        </w:tc>
      </w:tr>
      <w:tr>
        <w:trPr>
          <w:cantSplit/>
        </w:trPr>
        <w:tc>
          <w:tcPr>
            <w:tcW w:type="dxa" w:w="160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M2</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REL</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0.261010</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0.125</w:t>
            </w:r>
          </w:p>
        </w:tc>
      </w:tr>
      <w:tr>
        <w:trPr>
          <w:cantSplit/>
        </w:trPr>
        <w:tc>
          <w:tcPr>
            <w:tcW w:type="dxa" w:w="160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M2</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unrestricted</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0.260671</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0.254</w:t>
            </w:r>
          </w:p>
        </w:tc>
      </w:tr>
      <w:tr>
        <w:trPr>
          <w:cantSplit/>
        </w:trPr>
        <w:tc>
          <w:tcPr>
            <w:tcW w:type="dxa" w:w="160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M2</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triple</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0.260990</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0.132</w:t>
            </w:r>
          </w:p>
        </w:tc>
      </w:tr>
    </w:tbl>
    <w:p>
      <w:r>
        <w:rPr>
          <w:b w:val="0"/>
        </w:rPr>
        <w:t>Positive gain means lower loss. Common fixed folds; no materiality gate or new inferential test.</w:t>
      </w:r>
    </w:p>
    <w:p>
      <w:r>
        <w:rPr>
          <w:b w:val="0"/>
        </w:rPr>
        <w:t>The gains are descriptive; no 1% hurdle or any other materiality rule decides whether relative scale “works.” Fold-level uncertainties are not treated as independent because training sets overlap. The alternative mapping preserves the broad prediction ranking. Rejecting ABS indicates additional income information; nonrejection of REL does not establish the ratio as a sufficient explanation, still less identify mental accounting.</w:t>
      </w:r>
    </w:p>
    <w:p>
      <w:r>
        <w:rPr>
          <w:b w:val="0"/>
        </w:rPr>
        <w:t>For Food, G=1 when six times the monthly food-expenditure lower bound exceeds 5,000. The Cash/Food adult sample is 3,621, with 2,806 classified and 815 remaining. The form×z×G model includes all lower-order terms. Its direct triple difference, rather than comparing separate subgroup significance, is the relevant test. A separate amount/food-expenditure ratio restriction uses 3,476 adults with positive lower bounds; its adjusted p=1.000 supplies no positive evidence that the ratio is correct. The classification assumes stable eligible spending and does not observe counterfactual redemption or cash substitution.</w:t>
      </w:r>
    </w:p>
    <w:p>
      <w:pPr>
        <w:pStyle w:val="Heading1"/>
      </w:pPr>
      <w:r>
        <w:t>S8. Response-style screens and descriptive associations</w:t>
      </w:r>
    </w:p>
    <w:p>
      <w:r>
        <w:rPr>
          <w:b w:val="0"/>
        </w:rPr>
        <w:t>C excludes constant responses across 15 zero-to-ten attitude items and duplicate identifiers, leaving 5,171 adults. Q1 requires sample standard deviation≥1 and at least 4 distinct responses (N=2,715). Q2 requires standard deviation≥1.5, at least 5 distinct values and no more than 80% at the endpoints 0 or 10 (N=1,208). Q1/Q2 here name analysis samples, not the first two questionnaire questions. Their code uses neither treatment assignment nor spending outcome. The relevant items precede the vignette in the questionnaire, although administration timestamps and possible advance exposure are not documented.</w:t>
      </w:r>
    </w:p>
    <w:p>
      <w:r>
        <w:rPr>
          <w:b w:val="0"/>
        </w:rPr>
        <w:t>These are response-style screens, not validated measures of dishonest or inattentive responding. They can select genuine attitudes and variance preferences. Direct joint tests of whether highest-category form×amount effects differ between passers and failers have nominal p=0.927/0.994 and Holm p=1.000 for both screens. The subgroup estimates and intervals are in Table S13; event/cell counts remain available in screen_cell_counts.csv. Null differences do not demonstrate equivalent effects. The historical constant-response-excluded omnibus nominal p=0.0036 is smaller than the full-sample 0.0080, but selecting that sample as primary on this basis would compound selection.</w:t>
      </w:r>
    </w:p>
    <w:p>
      <w:pPr>
        <w:pStyle w:val="Heading2"/>
      </w:pPr>
      <w:r>
        <w:t>Table S13. Highest-category screen-group slope differences</w:t>
      </w:r>
    </w:p>
    <w:tbl>
      <w:tblPr>
        <w:tblW w:type="auto" w:w="0"/>
        <w:tblLayout w:type="fixed"/>
        <w:tblLook w:firstColumn="1" w:firstRow="1" w:lastColumn="0" w:lastRow="0" w:noHBand="0" w:noVBand="1" w:val="04A0"/>
      </w:tblPr>
      <w:tblGrid>
        <w:gridCol w:w="3978"/>
        <w:gridCol w:w="1273"/>
        <w:gridCol w:w="4296"/>
      </w:tblGrid>
      <w:tr>
        <w:trPr>
          <w:cantSplit/>
          <w:tblHeader/>
        </w:trPr>
        <w:tc>
          <w:tcPr>
            <w:tcW w:type="dxa" w:w="3978"/>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Screen / pass(1) or fail(0) / contrast</w:t>
            </w:r>
          </w:p>
        </w:tc>
        <w:tc>
          <w:tcPr>
            <w:tcW w:type="dxa" w:w="1273"/>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Group N</w:t>
            </w:r>
          </w:p>
        </w:tc>
        <w:tc>
          <w:tcPr>
            <w:tcW w:type="dxa" w:w="4296"/>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Estimate [95% CI] (pp)</w:t>
            </w:r>
          </w:p>
        </w:tc>
      </w:tr>
      <w:tr>
        <w:trPr>
          <w:cantSplit/>
        </w:trPr>
        <w:tc>
          <w:tcPr>
            <w:tcW w:type="dxa" w:w="397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Q1 0 food-cash</w:t>
            </w:r>
          </w:p>
        </w:tc>
        <w:tc>
          <w:tcPr>
            <w:tcW w:type="dxa" w:w="127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2765</w:t>
            </w:r>
          </w:p>
        </w:tc>
        <w:tc>
          <w:tcPr>
            <w:tcW w:type="dxa" w:w="429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3.42 [0.56, 6.28]</w:t>
            </w:r>
          </w:p>
        </w:tc>
      </w:tr>
      <w:tr>
        <w:trPr>
          <w:cantSplit/>
        </w:trPr>
        <w:tc>
          <w:tcPr>
            <w:tcW w:type="dxa" w:w="397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Q1 0 medical-cash</w:t>
            </w:r>
          </w:p>
        </w:tc>
        <w:tc>
          <w:tcPr>
            <w:tcW w:type="dxa" w:w="127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2765</w:t>
            </w:r>
          </w:p>
        </w:tc>
        <w:tc>
          <w:tcPr>
            <w:tcW w:type="dxa" w:w="429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3.01 [0.41, 5.61]</w:t>
            </w:r>
          </w:p>
        </w:tc>
      </w:tr>
      <w:tr>
        <w:trPr>
          <w:cantSplit/>
        </w:trPr>
        <w:tc>
          <w:tcPr>
            <w:tcW w:type="dxa" w:w="397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Q1 1 food-cash</w:t>
            </w:r>
          </w:p>
        </w:tc>
        <w:tc>
          <w:tcPr>
            <w:tcW w:type="dxa" w:w="127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2715</w:t>
            </w:r>
          </w:p>
        </w:tc>
        <w:tc>
          <w:tcPr>
            <w:tcW w:type="dxa" w:w="429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2.69 [-0.86, 6.23]</w:t>
            </w:r>
          </w:p>
        </w:tc>
      </w:tr>
      <w:tr>
        <w:trPr>
          <w:cantSplit/>
        </w:trPr>
        <w:tc>
          <w:tcPr>
            <w:tcW w:type="dxa" w:w="397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Q1 1 medical-cash</w:t>
            </w:r>
          </w:p>
        </w:tc>
        <w:tc>
          <w:tcPr>
            <w:tcW w:type="dxa" w:w="127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2715</w:t>
            </w:r>
          </w:p>
        </w:tc>
        <w:tc>
          <w:tcPr>
            <w:tcW w:type="dxa" w:w="429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3.02 [-0.11, 6.16]</w:t>
            </w:r>
          </w:p>
        </w:tc>
      </w:tr>
      <w:tr>
        <w:trPr>
          <w:cantSplit/>
        </w:trPr>
        <w:tc>
          <w:tcPr>
            <w:tcW w:type="dxa" w:w="397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Q2 0 food-cash</w:t>
            </w:r>
          </w:p>
        </w:tc>
        <w:tc>
          <w:tcPr>
            <w:tcW w:type="dxa" w:w="127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4272</w:t>
            </w:r>
          </w:p>
        </w:tc>
        <w:tc>
          <w:tcPr>
            <w:tcW w:type="dxa" w:w="429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3.20 [0.76, 5.65]</w:t>
            </w:r>
          </w:p>
        </w:tc>
      </w:tr>
      <w:tr>
        <w:trPr>
          <w:cantSplit/>
        </w:trPr>
        <w:tc>
          <w:tcPr>
            <w:tcW w:type="dxa" w:w="397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Q2 0 medical-cash</w:t>
            </w:r>
          </w:p>
        </w:tc>
        <w:tc>
          <w:tcPr>
            <w:tcW w:type="dxa" w:w="127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4272</w:t>
            </w:r>
          </w:p>
        </w:tc>
        <w:tc>
          <w:tcPr>
            <w:tcW w:type="dxa" w:w="429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3.13 [0.94, 5.31]</w:t>
            </w:r>
          </w:p>
        </w:tc>
      </w:tr>
      <w:tr>
        <w:trPr>
          <w:cantSplit/>
        </w:trPr>
        <w:tc>
          <w:tcPr>
            <w:tcW w:type="dxa" w:w="397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Q2 1 food-cash</w:t>
            </w:r>
          </w:p>
        </w:tc>
        <w:tc>
          <w:tcPr>
            <w:tcW w:type="dxa" w:w="127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1208</w:t>
            </w:r>
          </w:p>
        </w:tc>
        <w:tc>
          <w:tcPr>
            <w:tcW w:type="dxa" w:w="429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3.08 [-2.45, 8.61]</w:t>
            </w:r>
          </w:p>
        </w:tc>
      </w:tr>
      <w:tr>
        <w:trPr>
          <w:cantSplit/>
        </w:trPr>
        <w:tc>
          <w:tcPr>
            <w:tcW w:type="dxa" w:w="397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Q2 1 medical-cash</w:t>
            </w:r>
          </w:p>
        </w:tc>
        <w:tc>
          <w:tcPr>
            <w:tcW w:type="dxa" w:w="127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1208</w:t>
            </w:r>
          </w:p>
        </w:tc>
        <w:tc>
          <w:tcPr>
            <w:tcW w:type="dxa" w:w="4296"/>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3.28 [-1.74, 8.30]</w:t>
            </w:r>
          </w:p>
        </w:tc>
      </w:tr>
    </w:tbl>
    <w:p>
      <w:r>
        <w:rPr>
          <w:b w:val="0"/>
        </w:rPr>
        <w:t>Food–Cash or Medical–Cash per fivefold amount increase. Direct pass/fail joint tests, not separate subgroup significance, appear in Table S11.</w:t>
      </w:r>
    </w:p>
    <w:p>
      <w:r>
        <w:rPr>
          <w:b w:val="0"/>
        </w:rPr>
        <w:t>Earlier “positive controls” are renamed descriptive Cash associations. Cash size is the focal phenomenon itself, emergency fundraising has highest-category Holm p=0.063, and income rank has a positive association rather than the prespecified negative expectation (Holm p=0.006). These cannot independently validate hypothetical responses as realized behavior. They use the historical full Cash sample N=1,798 and adjust jointly for dose, income rank and emergency fundraising; do not substitute their estimates for the adult primary results.</w:t>
      </w:r>
    </w:p>
    <w:p>
      <w:r>
        <w:rPr>
          <w:b w:val="0"/>
        </w:rPr>
        <w:t>The existing who-drives analysis found no moderator surviving its local Holm families; its joint Cash and Restricted–Cash moderation p values were 0.535 and 0.554. The broad 150-variable screen likewise did not identify a stable FDR-adjusted moderator. These nulls are not equivalence evidence. For example, the plug-in minimum detectable Cash–Food highest-category moderation by income rank is about 3.34 percentage points per standard deviation. That precision is insufficient to rule out substantial moderation. No further moderator screening is performed, and neither ML predictions nor variable importance are interpreted as identified individual treatment slopes.</w:t>
      </w:r>
    </w:p>
    <w:p>
      <w:pPr>
        <w:pStyle w:val="Heading1"/>
      </w:pPr>
      <w:r>
        <w:t>S9. Population calibration</w:t>
      </w:r>
    </w:p>
    <w:p>
      <w:r>
        <w:rPr>
          <w:b w:val="0"/>
        </w:rPr>
        <w:t>The 2020 Chinese census Table 4-1 supplies joint age/education targets. Four adult age groups (18–29,30–44,45–59,60+) crossed with three education groups (junior secondary or less, high/secondary vocational, tertiary) give 12 cells with observed sample support. Support in broad cells does not imply coverage within them: only 90 respondents are 60 or older, and observed age ends at 81. The targets concern 2020, not the survey recruitment population.</w:t>
      </w:r>
    </w:p>
    <w:p>
      <w:r>
        <w:rPr>
          <w:b w:val="0"/>
        </w:rPr>
        <w:t>Uncapped weights equal target share/sample share. Capped weights are min(λw,10), with λ chosen to retain mean 1, so the normalized maximum is truly 10. Exact balance and that cap cannot both be achieved here. Effective sample size is 314.8 under uncapped weights and 1,191.0 when capped; the largest target-cell gap after capping is 16.53 percentage points. Weighted uncertainty is conditional on these weights, not inclusive of the unknown selection process. Table S14 reports diagnostics; the full cell targets and weighted effects remain in the aggregate archive. This feasible sensitivity does not justify national generalization.</w:t>
      </w:r>
    </w:p>
    <w:p>
      <w:pPr>
        <w:pStyle w:val="Heading2"/>
      </w:pPr>
      <w:r>
        <w:t>Table S14. Census-weight diagnostics</w:t>
      </w:r>
    </w:p>
    <w:tbl>
      <w:tblPr>
        <w:tblW w:type="auto" w:w="0"/>
        <w:tblLayout w:type="fixed"/>
        <w:tblLook w:firstColumn="1" w:firstRow="1" w:lastColumn="0" w:lastRow="0" w:noHBand="0" w:noVBand="1" w:val="04A0"/>
      </w:tblPr>
      <w:tblGrid>
        <w:gridCol w:w="1605"/>
        <w:gridCol w:w="2648"/>
        <w:gridCol w:w="2648"/>
        <w:gridCol w:w="2648"/>
      </w:tblGrid>
      <w:tr>
        <w:trPr>
          <w:cantSplit/>
          <w:tblHeader/>
        </w:trPr>
        <w:tc>
          <w:tcPr>
            <w:tcW w:type="dxa" w:w="1605"/>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Scheme</w:t>
            </w:r>
          </w:p>
        </w:tc>
        <w:tc>
          <w:tcPr>
            <w:tcW w:type="dxa" w:w="2648"/>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ESS</w:t>
            </w:r>
          </w:p>
        </w:tc>
        <w:tc>
          <w:tcPr>
            <w:tcW w:type="dxa" w:w="2648"/>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Maximum normalized weight</w:t>
            </w:r>
          </w:p>
        </w:tc>
        <w:tc>
          <w:tcPr>
            <w:tcW w:type="dxa" w:w="2648"/>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Largest target gap (pp)</w:t>
            </w:r>
          </w:p>
        </w:tc>
      </w:tr>
      <w:tr>
        <w:trPr>
          <w:cantSplit/>
        </w:trPr>
        <w:tc>
          <w:tcPr>
            <w:tcW w:type="dxa" w:w="160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unweighted</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5480.0</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1.00</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33.24</w:t>
            </w:r>
          </w:p>
        </w:tc>
      </w:tr>
      <w:tr>
        <w:trPr>
          <w:cantSplit/>
        </w:trPr>
        <w:tc>
          <w:tcPr>
            <w:tcW w:type="dxa" w:w="160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uncapped</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314.8</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51.16</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0.00</w:t>
            </w:r>
          </w:p>
        </w:tc>
      </w:tr>
      <w:tr>
        <w:trPr>
          <w:cantSplit/>
        </w:trPr>
        <w:tc>
          <w:tcPr>
            <w:tcW w:type="dxa" w:w="1605"/>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cap 10</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1191.0</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10.00</w:t>
            </w:r>
          </w:p>
        </w:tc>
        <w:tc>
          <w:tcPr>
            <w:tcW w:type="dxa" w:w="2648"/>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16.53</w:t>
            </w:r>
          </w:p>
        </w:tc>
      </w:tr>
    </w:tbl>
    <w:p>
      <w:r>
        <w:rPr>
          <w:b w:val="0"/>
        </w:rPr>
        <w:t>Source: National Bureau of Statistics 2020 census Table 4-1, https://www.stats.gov.cn/sj/pcsj/rkpc/7rp/zk/html/A0401.jpg . Twelve joint cells. Targets and effects: calibration_cells.csv / calibration_effects.csv. Weights do not establish representativeness.</w:t>
      </w:r>
    </w:p>
    <w:p>
      <w:pPr>
        <w:pStyle w:val="Heading1"/>
      </w:pPr>
      <w:r>
        <w:t>S10. Analysis lineage and source directory</w:t>
      </w:r>
    </w:p>
    <w:p>
      <w:r>
        <w:rPr>
          <w:b w:val="0"/>
        </w:rPr>
        <w:t>The sequence is discovery of the size/distribution pattern, bounded threshold/specification strengthening, theory-variable moderation, broad observable screening, presentation of the distribution atlas, revision-stage statistical/measurement audit, and the current finite-family reanalysis. The JEBO transition adds only the product decomposition and literature synthesis. It does not re-estimate the previous hypotheses, shrink their families further or recast post hoc results as preregistered. The archive preserves unfavorable results and old versions alongside the current interpretation.</w:t>
      </w:r>
    </w:p>
    <w:p>
      <w:pPr>
        <w:pStyle w:val="Heading2"/>
      </w:pPr>
      <w:r>
        <w:t>Table S15. Source archive and sample scope</w:t>
      </w:r>
    </w:p>
    <w:tbl>
      <w:tblPr>
        <w:tblW w:type="auto" w:w="0"/>
        <w:tblLayout w:type="fixed"/>
        <w:tblLook w:firstColumn="1" w:firstRow="1" w:lastColumn="0" w:lastRow="0" w:noHBand="0" w:noVBand="1" w:val="04A0"/>
      </w:tblPr>
      <w:tblGrid>
        <w:gridCol w:w="2220"/>
        <w:gridCol w:w="3663"/>
        <w:gridCol w:w="3663"/>
      </w:tblGrid>
      <w:tr>
        <w:trPr>
          <w:cantSplit/>
          <w:tblHeader/>
        </w:trPr>
        <w:tc>
          <w:tcPr>
            <w:tcW w:type="dxa" w:w="2220"/>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Stage</w:t>
            </w:r>
          </w:p>
        </w:tc>
        <w:tc>
          <w:tcPr>
            <w:tcW w:type="dxa" w:w="3663"/>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Directory under results/</w:t>
            </w:r>
          </w:p>
        </w:tc>
        <w:tc>
          <w:tcPr>
            <w:tcW w:type="dxa" w:w="3663"/>
            <w:tcMar>
              <w:top w:w="75" w:type="dxa"/>
              <w:bottom w:w="75" w:type="dxa"/>
              <w:left w:w="75" w:type="dxa"/>
              <w:right w:w="75" w:type="dxa"/>
            </w:tcMar>
            <w:tcBorders>
              <w:top w:val="single" w:sz="4" w:color="D5D5D5"/>
              <w:bottom w:val="single" w:sz="4" w:color="D5D5D5"/>
            </w:tcBorders>
            <w:shd w:fill="EFEFEF"/>
          </w:tcPr>
          <w:p>
            <w:pPr>
              <w:keepNext/>
              <w:spacing w:line="240" w:lineRule="auto" w:after="40" w:before="40"/>
            </w:pPr>
            <w:r>
              <w:rPr>
                <w:b/>
                <w:sz w:val="18"/>
              </w:rPr>
              <w:t>Scope</w:t>
            </w:r>
          </w:p>
        </w:tc>
      </w:tr>
      <w:tr>
        <w:trPr>
          <w:cantSplit/>
        </w:trPr>
        <w:tc>
          <w:tcPr>
            <w:tcW w:type="dxa" w:w="222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PR9 size-curve discovery</w:t>
            </w:r>
          </w:p>
        </w:tc>
        <w:tc>
          <w:tcPr>
            <w:tcW w:type="dxa" w:w="366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mpc_size_curve</w:t>
            </w:r>
          </w:p>
        </w:tc>
        <w:tc>
          <w:tcPr>
            <w:tcW w:type="dxa" w:w="366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R primary; original cells/thresholds/ordered fits</w:t>
            </w:r>
          </w:p>
        </w:tc>
      </w:tr>
      <w:tr>
        <w:trPr>
          <w:cantSplit/>
        </w:trPr>
        <w:tc>
          <w:tcPr>
            <w:tcW w:type="dxa" w:w="222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PR10 finite strengthening</w:t>
            </w:r>
          </w:p>
        </w:tc>
        <w:tc>
          <w:tcPr>
            <w:tcW w:type="dxa" w:w="366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mpc_final_strengthening</w:t>
            </w:r>
          </w:p>
        </w:tc>
        <w:tc>
          <w:tcPr>
            <w:tcW w:type="dxa" w:w="366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420 grid; tail tests; implied yuan; local adjustments</w:t>
            </w:r>
          </w:p>
        </w:tc>
      </w:tr>
      <w:tr>
        <w:trPr>
          <w:cantSplit/>
        </w:trPr>
        <w:tc>
          <w:tcPr>
            <w:tcW w:type="dxa" w:w="222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PR11 theory-variable moderation</w:t>
            </w:r>
          </w:p>
        </w:tc>
        <w:tc>
          <w:tcPr>
            <w:tcW w:type="dxa" w:w="366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mpc_who_drives</w:t>
            </w:r>
          </w:p>
        </w:tc>
        <w:tc>
          <w:tcPr>
            <w:tcW w:type="dxa" w:w="366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R primary; fixed moderator tests and power limits</w:t>
            </w:r>
          </w:p>
        </w:tc>
      </w:tr>
      <w:tr>
        <w:trPr>
          <w:cantSplit/>
        </w:trPr>
        <w:tc>
          <w:tcPr>
            <w:tcW w:type="dxa" w:w="222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PR12 observable screen</w:t>
            </w:r>
          </w:p>
        </w:tc>
        <w:tc>
          <w:tcPr>
            <w:tcW w:type="dxa" w:w="366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mpc_allx_screen</w:t>
            </w:r>
          </w:p>
        </w:tc>
        <w:tc>
          <w:tcPr>
            <w:tcW w:type="dxa" w:w="366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150 planned variables; failed-fit accounting and FDR</w:t>
            </w:r>
          </w:p>
        </w:tc>
      </w:tr>
      <w:tr>
        <w:trPr>
          <w:cantSplit/>
        </w:trPr>
        <w:tc>
          <w:tcPr>
            <w:tcW w:type="dxa" w:w="222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PR13 approved figures</w:t>
            </w:r>
          </w:p>
        </w:tc>
        <w:tc>
          <w:tcPr>
            <w:tcW w:type="dxa" w:w="366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nature_main_figures</w:t>
            </w:r>
          </w:p>
        </w:tc>
        <w:tc>
          <w:tcPr>
            <w:tcW w:type="dxa" w:w="366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Historical mostlyR sources, not reused as adult values</w:t>
            </w:r>
          </w:p>
        </w:tc>
      </w:tr>
      <w:tr>
        <w:trPr>
          <w:cantSplit/>
        </w:trPr>
        <w:tc>
          <w:tcPr>
            <w:tcW w:type="dxa" w:w="222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PR14 atlas</w:t>
            </w:r>
          </w:p>
        </w:tc>
        <w:tc>
          <w:tcPr>
            <w:tcW w:type="dxa" w:w="366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mpc_hero_figure</w:t>
            </w:r>
          </w:p>
        </w:tc>
        <w:tc>
          <w:tcPr>
            <w:tcW w:type="dxa" w:w="366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Geometry reused; original numbers retained unchanged</w:t>
            </w:r>
          </w:p>
        </w:tc>
      </w:tr>
      <w:tr>
        <w:trPr>
          <w:cantSplit/>
        </w:trPr>
        <w:tc>
          <w:tcPr>
            <w:tcW w:type="dxa" w:w="222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PR15 revision audit</w:t>
            </w:r>
          </w:p>
        </w:tc>
        <w:tc>
          <w:tcPr>
            <w:tcW w:type="dxa" w:w="366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nc_revision_audit</w:t>
            </w:r>
          </w:p>
        </w:tc>
        <w:tc>
          <w:tcPr>
            <w:tcW w:type="dxa" w:w="366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1,500 grid; ordered models; diagnostics; obsolete criteria disclosed</w:t>
            </w:r>
          </w:p>
        </w:tc>
      </w:tr>
      <w:tr>
        <w:trPr>
          <w:cantSplit/>
        </w:trPr>
        <w:tc>
          <w:tcPr>
            <w:tcW w:type="dxa" w:w="222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PR16 evidence revision</w:t>
            </w:r>
          </w:p>
        </w:tc>
        <w:tc>
          <w:tcPr>
            <w:tcW w:type="dxa" w:w="366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nc_evidence_revision</w:t>
            </w:r>
          </w:p>
        </w:tc>
        <w:tc>
          <w:tcPr>
            <w:tcW w:type="dxa" w:w="366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Authoritative adultA family 21/diagnostics; no re-estimation here</w:t>
            </w:r>
          </w:p>
        </w:tc>
      </w:tr>
      <w:tr>
        <w:trPr>
          <w:cantSplit/>
        </w:trPr>
        <w:tc>
          <w:tcPr>
            <w:tcW w:type="dxa" w:w="2220"/>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JEBO transition</w:t>
            </w:r>
          </w:p>
        </w:tc>
        <w:tc>
          <w:tcPr>
            <w:tcW w:type="dxa" w:w="366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jebo_transition</w:t>
            </w:r>
          </w:p>
        </w:tc>
        <w:tc>
          <w:tcPr>
            <w:tcW w:type="dxa" w:w="3663"/>
            <w:tcMar>
              <w:top w:w="75" w:type="dxa"/>
              <w:bottom w:w="75" w:type="dxa"/>
              <w:left w:w="75" w:type="dxa"/>
              <w:right w:w="75" w:type="dxa"/>
            </w:tcMar>
            <w:tcBorders>
              <w:top w:val="single" w:sz="4" w:color="D5D5D5"/>
              <w:bottom w:val="single" w:sz="4" w:color="D5D5D5"/>
            </w:tcBorders>
          </w:tcPr>
          <w:p>
            <w:pPr>
              <w:keepNext/>
              <w:spacing w:line="240" w:lineRule="auto" w:after="40" w:before="40"/>
            </w:pPr>
            <w:r>
              <w:rPr>
                <w:b w:val="0"/>
                <w:sz w:val="18"/>
              </w:rPr>
              <w:t>Adult aggregate-only decomposition and literature synthesis</w:t>
            </w:r>
          </w:p>
        </w:tc>
      </w:tr>
    </w:tbl>
    <w:p>
      <w:r>
        <w:rPr>
          <w:b w:val="0"/>
        </w:rPr>
        <w:t>All earlier packages remain unchanged. Historical local adjustments are not substituted for the primary interaction family.</w:t>
      </w:r>
    </w:p>
    <w:p>
      <w:r>
        <w:rPr>
          <w:b w:val="0"/>
        </w:rPr>
        <w:t>Aggregate source files, analysis code and figure-generation scripts accompany this package. Respondent records are not included. Access conditions for de-identified data, consent restrictions and an archival identifier require author documentation. The source manifest links the analysis base and identifies which historical outputs are descriptive or superseded; these distinctions are essential when reusing numbers. No change in journal positioning changes the status of the evidence.</w:t>
      </w:r>
    </w:p>
    <w:sectPr w:rsidR="00FC693F" w:rsidRPr="0006063C" w:rsidSect="00034616">
      <w:footerReference w:type="default" r:id="rId9"/>
      <w:pgSz w:w="11909" w:h="16834"/>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5" w:lineRule="auto" w:after="14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4"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40" w:after="120" w:line="264" w:lineRule="auto"/>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64" w:lineRule="auto" w:before="0"/>
      <w:contextualSpacing/>
    </w:pPr>
    <w:rPr>
      <w:rFonts w:asciiTheme="majorHAnsi" w:eastAsiaTheme="majorEastAsia" w:hAnsiTheme="majorHAnsi" w:cstheme="majorBidi"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subject>Spending responses to hypothetical transfer scenarios</dc:subject>
  <dc:creator>Zelin Liu and Yinghao Pan</dc:creator>
  <cp:keywords/>
  <dc:description>generated by python-docx</dc:description>
  <cp:lastModifiedBy/>
  <cp:revision>1</cp:revision>
  <dcterms:created xsi:type="dcterms:W3CDTF">2013-12-23T23:15:00Z</dcterms:created>
  <dcterms:modified xsi:type="dcterms:W3CDTF">2013-12-23T23:15:00Z</dcterms:modified>
  <cp:category/>
</cp:coreProperties>
</file>