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ind w:left="283" w:hanging="283"/>
        <w:jc w:val="left"/>
      </w:pPr>
      <w:r>
        <w:t>• Cash falls, Food falls less, and Medical stays flat in observed mean shares.</w:t>
      </w:r>
    </w:p>
    <w:p>
      <w:pPr>
        <w:ind w:left="283" w:hanging="283"/>
        <w:jc w:val="left"/>
      </w:pPr>
      <w:r>
        <w:t>• Mean shares draw closer at large amounts, while category profiles differ.</w:t>
      </w:r>
    </w:p>
    <w:p>
      <w:pPr>
        <w:ind w:left="283" w:hanging="283"/>
        <w:jc w:val="left"/>
      </w:pPr>
      <w:r>
        <w:t>• Cash's upper tail contracts; Medical's mean hides offsetting category changes.</w:t>
      </w:r>
    </w:p>
    <w:p>
      <w:pPr>
        <w:ind w:left="283" w:hanging="283"/>
        <w:jc w:val="left"/>
      </w:pPr>
      <w:r>
        <w:t>• Declining shares coexist with strongly rising midpoint-implied yuan.</w:t>
      </w:r>
    </w:p>
    <w:p>
      <w:pPr>
        <w:ind w:left="283" w:hanging="283"/>
        <w:jc w:val="left"/>
      </w:pPr>
      <w:r>
        <w:t>• Resource categorization is a candidate account, not an identified mediator.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  <w:ind w:firstLine="420"/>
      <w:jc w:val="both"/>
    </w:pPr>
    <w:rPr>
      <w:rFonts w:ascii="Times New Roman" w:hAnsi="Times New Roman" w:cs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jc w:val="left"/>
      <w:outlineLvl w:val="0"/>
    </w:pPr>
    <w:rPr>
      <w:rFonts w:ascii="Times New Roman" w:hAnsi="Times New Roman" w:cs="Times New Roma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ind w:firstLine="0"/>
      <w:jc w:val="left"/>
      <w:outlineLvl w:val="1"/>
    </w:pPr>
    <w:rPr>
      <w:rFonts w:ascii="Times New Roman" w:hAnsi="Times New Roman" w:cs="Times New Roma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4" w:lineRule="auto"/>
      <w:ind w:firstLine="0"/>
      <w:jc w:val="left"/>
      <w:outlineLvl w:val="2"/>
    </w:pPr>
    <w:rPr>
      <w:rFonts w:ascii="Times New Roman" w:hAnsi="Times New Roman" w:cs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SimSu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SimSu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SimSu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SimSu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SimSu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SimSu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SimSu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4" w:lineRule="auto" w:before="0"/>
      <w:ind w:firstLine="0"/>
      <w:contextualSpacing/>
      <w:jc w:val="left"/>
    </w:pPr>
    <w:rPr>
      <w:rFonts w:ascii="Times New Roman" w:hAnsi="Times New Roman" w:cs="Times New Roman" w:eastAsia="SimSu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SimSu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SimSu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SimSu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SimSu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SimSu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SimSu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SimSu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SimSu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SimSu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SimSu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SimSu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SimSu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SimSu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SimSu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cs="Times New Roman" w:eastAsia="SimSu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SimSu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Stated spending responses across transfer forms and amounts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