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Transfer form and the allocation of small and large windfalls</w:t>
      </w:r>
    </w:p>
    <w:p>
      <w:pPr>
        <w:pStyle w:val="Heading1"/>
      </w:pPr>
      <w:r>
        <w:t>Abstract</w:t>
      </w:r>
    </w:p>
    <w:p>
      <w:r>
        <w:rPr>
          <w:b w:val="0"/>
        </w:rPr>
        <w:t>Does the form of a transfer matter equally at small and large amounts? A randomized survey experiment assigns 5,480 adults in China to Cash, Food-voucher or Medical-account transfers of RMB 200, 1,000 or 5,000. Three patterns emerge in the observed cells: Cash spending shares decline with amount, Food shares decline less, and Medical shares remain almost flat, bringing the mean shares much closer at RMB 5,000. Distributional anatomy reveals distinct paths behind these means. Cash's highest-response category contracts while its bottom category barely changes; Food shows more diffuse redistribution; Medical's flat mean combines offsetting category movements. Declining shares coexist with strongly rising midpoint-implied yuan. A descriptive affine benchmark accommodates the cell means without establishing equal incremental responses across forms. A sharp increasing-Food-bindingness prediction has the opposite observed sign, while category-need and resource diagnostics remain precision-limited. Across a 42-test family, Cash midpoint and highest-category trends retain evidence, but cross-form interactions remain uncertain. Resource categorization offers a unified candidate interpretation: small cash windfalls may invite a different allocation from larger or already earmarked resources. The evidence concerns hypothetical stated responses to bundled scenarios and identifies neither realized spending effects nor a psychological mediator.</w:t>
      </w:r>
    </w:p>
    <w:p>
      <w:pPr>
        <w:spacing w:line="252" w:lineRule="auto"/>
        <w:ind w:firstLine="0"/>
        <w:jc w:val="left"/>
      </w:pPr>
      <w:r>
        <w:rPr>
          <w:b w:val="0"/>
          <w:sz w:val="20"/>
        </w:rPr>
        <w:t>Keywords: transfer size; earmarking; mental accounting; stated spending; response distributions</w:t>
      </w:r>
    </w:p>
    <w:p>
      <w:pPr>
        <w:spacing w:line="252" w:lineRule="auto"/>
        <w:ind w:firstLine="0"/>
        <w:jc w:val="left"/>
      </w:pPr>
      <w:r>
        <w:rPr>
          <w:b w:val="0"/>
          <w:sz w:val="20"/>
        </w:rPr>
        <w:t>JEL classification: D12; D14; D91; E21</w:t>
      </w:r>
    </w:p>
    <w:p>
      <w:pPr>
        <w:pStyle w:val="Heading1"/>
      </w:pPr>
      <w:r>
        <w:t>1 Introduction</w:t>
      </w:r>
    </w:p>
    <w:p>
      <w:r>
        <w:rPr>
          <w:b w:val="0"/>
        </w:rPr>
        <w:t>Does the form of a transfer matter equally when transfers are small and large? The question connects two familiar household decisions: how much of an unexpected resource to spend, and which resources are available for which purposes. A small cash payment can be folded into everyday purchases. A food voucher directs attention toward an eligible category, while a medical-account balance can remain available for future care. Raising each transfer from a modest amount to a substantial addition to the household budget need not preserve its perceived role. The economic issue is therefore more specific than whether cash and earmarked resources produce different responses on average. It is whether the contrast between forms remains similar as the amount changes, and which parts of the response distribution account for any observed change.</w:t>
      </w:r>
    </w:p>
    <w:p>
      <w:r>
        <w:rPr>
          <w:b w:val="0"/>
        </w:rPr>
        <w:t>Consumption smoothing supplies a natural starting point. A temporary receipt need not be consumed immediately, and households' liquid resources, expenditure commitments and adjustment costs can make finite-windfall responses depend on size (Friedman, 1957; Jappelli and Pistaferri, 2010; Kaplan and Violante, 2022). A declining cash spending share is compatible with this broad benchmark. It is not a universal prediction: a large receipt may make an otherwise postponed adjustment worthwhile, and households with different balance sheets can respond differently. Nor does the benchmark alone determine what happens when resources arrive as an expiring voucher or a durable medical balance. A simple intuition that larger restricted transfers become harder to absorb might suggest a steeper decline for restricted forms. Labeling and category budgets can instead generate different comparisons. The joint pattern, rather than the cash gradient alone, is consequently the object that needs explanation.</w:t>
      </w:r>
    </w:p>
    <w:p>
      <w:r>
        <w:rPr>
          <w:b w:val="0"/>
        </w:rPr>
        <w:t>We examine this question in a randomized survey experiment crossing three transfer forms with RMB 200, 1,000 and 5,000. Each of 5,480 adults in China answers one hypothetical scenario using six ordered categories for additional total consumption relative to their original plan. The midpoint-coded means reveal three connected puzzles. First, the Cash share declines from 25.30% through 22.67% to 20.16%, whereas Medical remains at 17.73%, 17.83% and 17.84%. Why is the latter curve almost flat? Second, Food declines from 22.70% to 19.98% and 19.49%, less than Cash, despite the intuition of increasingly restrictive eligible uses. Third, mean differences are largest at RMB 200 and much smaller at RMB 5,000: the Cash–Medical gap falls from about 7.6 to 2.3 percentage points, and the Cash–Food gap ends below one point. Figure 1 displays the nine underlying distributions. These are puzzles in the observed cells, not three established population-level interactions.</w:t>
      </w:r>
    </w:p>
    <w:p>
      <w:r>
        <w:rPr>
          <w:b w:val="0"/>
        </w:rPr>
        <w:t>The first distinction needed to understand them is between a spending share and a spending amount. Multiplying the coded share by the transfer amount produces midpoint-implied additional yuan. Cash thus rises from about RMB 51 to RMB 1,008 while its share falls; Food rises from RMB 45 to RMB 975, and Medical from RMB 35 to RMB 892. Figure 2 places the two scales side by side. The share pattern describes how an imagined windfall is divided relative to its size. It does not show spending collapsing as transfers grow, or imply that absolute yuan gaps must narrow. Finite incremental implied-yuan responses are also close in the high interval, particularly for Cash and Food, but their intervals do not establish equivalence. An affine description helps connect the scales without supplying a structural account of household choice.</w:t>
      </w:r>
    </w:p>
    <w:p>
      <w:r>
        <w:rPr>
          <w:b w:val="0"/>
        </w:rPr>
        <w:t>The second distinction is between similar means and similar distributions. Figure 3 shows changes in all six category frequencies between RMB 200 and RMB 5,000. Cash's highest-category frequency falls from 13.43% to 5.34%, while its bottom frequency stays near 27.4%. Food combines a smaller top-category contraction with changes in the middle. Medical's flat mean is not a static distribution; it is the net result of offsetting movements across response categories. Its bottom frequency falls, its 10–25% and 50–75% categories grow, and its highest category contracts. At RMB 5,000, all three forms have approximately 24% in the 10–25% category, yet their bottom and upper categories remain different. Thus the mean shares converge strongly in these cells without the distributions becoming identical. The comparison concerns independent respondent groups, not movements of the same people between categories.</w:t>
      </w:r>
    </w:p>
    <w:p>
      <w:r>
        <w:rPr>
          <w:b w:val="0"/>
        </w:rPr>
        <w:t>This anatomy organizes the explanation in successive steps. We first establish what conventional smoothing can accommodate and what changes when responses are expressed in yuan. We then ask whether accumulation in the bottom category accounts for Cash's decline; the descriptive decomposition shows that it does not. Next comes a sharper economic prediction. If increasing Food bindingness drives a relatively negative Food size gradient, that gradient should be especially negative where expenditure is low relative to the voucher. Under the available six-month expenditure proxy, the observed sign is the opposite. We then examine category need, relative resources and observable respondent types. These diagnostics are not a sequence of exclusions that leaves one psychological mechanism standing. Their value is to distinguish a contradicted sharp prediction from broad accounts that the available proxies and precision cannot settle.</w:t>
      </w:r>
    </w:p>
    <w:p>
      <w:r>
        <w:rPr>
          <w:b w:val="0"/>
        </w:rPr>
        <w:t>A unified candidate interpretation concerns resource categorization. A small unrestricted receipt may be treated as readily allocable to current purchases, whereas a larger receipt may enter a broader decision over consumption, saving, debt and future needs. Food and Medical arrive with purposes already attached, so an increase in amount need not produce the same change in their perceived role. In that account, the distinctive feature of small Cash is the relatively large highest-response group; its contraction makes mean shares more similar at the large amount. The Medical offsets remain compatible with heterogeneous needs and a persistent earmarked balance. This interpretation links the three puzzles, but it does not uniquely predict every category movement. The questionnaire contains no direct measure of perceived spendability, intended allocation, account assignment or planning horizon. The interpretation is a hypothesis generated by the joint pattern and disciplined by the diagnostics.</w:t>
      </w:r>
    </w:p>
    <w:p>
      <w:r>
        <w:rPr>
          <w:b w:val="0"/>
        </w:rPr>
        <w:t>The inferential distinction is equally consequential. Seven codings of one categorical answer, combined with within-form and cross-form trend tests, generate a family of 42 comparisons. Cash midpoint and highest-category trends retain evidence after adjustment; the ordinal trend does not. The focal cross-form highest-category interaction has nominal evidence but does not survive the expanded correction. We therefore distinguish a detectable within-Cash pattern from an uncertain difference between forms. The Medical flatness and convergence of cell means motivate explanation without proving a flat population curve or a form-by-size effect. This separation preserves the substantive question even where the experiment cannot give a decisive answer. The complete family, earlier interaction family and simultaneous intervals are reported together rather than selecting a coding whose result is most favorable.</w:t>
      </w:r>
    </w:p>
    <w:p>
      <w:r>
        <w:rPr>
          <w:b w:val="0"/>
        </w:rPr>
        <w:t>Our contribution lies at the intersection of three literatures. The first studies the size and heterogeneity of consumption responses. Fagereng et al. (2021) use lottery gains and household balance sheets; Fuster et al. (2021) use hypothetical scenarios and find increasing gain responses through their elicited extensive margin; Andreolli and Surico (2026) emphasize different size responses among affluent and liquidity-poor households. Jappelli et al. (2026) further connect gain size to the time profile of intended consumption. These studies make a cash-only decline an insufficient contribution. We instead compare three resource bundles and show why a mean curve can reflect upper-category compression, broader redistribution or offsetting changes. Our verbal bottom category is not an observed zero, so the decomposition cannot be treated as a direct test of another instrument's spending-participation margin.</w:t>
      </w:r>
    </w:p>
    <w:p>
      <w:r>
        <w:rPr>
          <w:b w:val="0"/>
        </w:rPr>
        <w:t>The second literature concerns the uses attached to resources. Mental accounting and mental budgeting offer reasons that labels and categories can affect allocation (Thaler, 1985, 1999; Shefrin and Thaler, 1988; Heath and Soll, 1996). Kooreman (2000) and Abeler and Marklein (2017) examine labeling, while Hastings and Shapiro (2018) and Cunha (2014) distinguish cash and in-kind benefits in settings with actual category expenditure. Kan et al. (2017) study a shopping-voucher programme. Bernard (2023) is particularly close: his working paper already combines payment mode and shock size. We therefore claim neither the first joint design nor that form has previously been ignored. The addition here is a three-amount comparison including both Food and Medical bundles, with the full response distribution carrying the explanation alongside mean shares and implied yuan.</w:t>
      </w:r>
    </w:p>
    <w:p>
      <w:r>
        <w:rPr>
          <w:b w:val="0"/>
        </w:rPr>
        <w:t>Recent studies also clarify the limits of that addition. Boehm et al. (2025) randomize cash-like and rapidly expiring transfers and measure realized consumption; Bonomo et al. (2026), a working paper, compare food-store spending responses across actual programmes with different forms and timing. Their outcomes and identification are stronger for realized spending, but they do not directly answer our distributional question for these three hypothetical bundles. Within this journal, Lee et al. (2024) show how the social meaning of mobile money can affect willingness to spend, and Pauls and Laudi (2025) study the temporal framing of a permanent tax cut. Both locate economic behavior in how resources are represented. Our specific question is how the observed allocation of differently described resources varies across amounts, while recognizing that eligibility, expiry and account structure change together.</w:t>
      </w:r>
    </w:p>
    <w:p>
      <w:r>
        <w:rPr>
          <w:b w:val="0"/>
        </w:rPr>
        <w:t>The third literature concerns elicitation. Shapiro and Slemrod (2003) and Parker and Souleles (2019) study reports about actual rebates, with the latter comparing reports and revealed spending responses. Ueda (2025) finds a different correspondence in linked survey and transaction data. Crossley et al. (2026), a working paper, demonstrate that direct and filtered questions change both response distributions and relationships with size, horizon and liquidity. Our direct percentage-bin question should therefore be read as a particular measure of stated allocation, not a validated estimate of realized expenditure. The paper uses that measure to formulate a more precise behavioral question: why do the observed forms approach similar average shares through different category patterns? Sections 2 and 3 establish the conceptual and empirical setting; Sections 4 and 5 present the puzzles and their anatomy; Sections 6 and 7 organize the diagnostics and interpretation; Section 8 draws the implications for future transfer designs.</w:t>
      </w:r>
    </w:p>
    <w:p>
      <w:pPr>
        <w:pStyle w:val="Heading1"/>
      </w:pPr>
      <w:r>
        <w:t>2 Conceptual background and related evidence</w:t>
      </w:r>
    </w:p>
    <w:p>
      <w:pPr>
        <w:pStyle w:val="Heading2"/>
      </w:pPr>
      <w:r>
        <w:t>2.1 What a standard consumption benchmark predicts</w:t>
      </w:r>
    </w:p>
    <w:p>
      <w:r>
        <w:rPr>
          <w:b w:val="0"/>
        </w:rPr>
        <w:t>The permanent-income perspective distinguishes an innovation to resources from a permanent increase in the consumption flow it can sustain (Friedman, 1957). Subsequent work studies borrowing limits, precautionary saving, illiquid assets and adjustment frictions, which change responses to temporary income (Jappelli and Pistaferri, 2010; Kaplan and Violante, 2022). In a setting where additional resources relax a pressing liquidity constraint, a small receipt can have a large consumption share. A larger receipt can extend beyond that need, reducing the average share. This is a plausible account of a declining Cash curve, not a theorem about all finite gains.</w:t>
      </w:r>
    </w:p>
    <w:p>
      <w:r>
        <w:rPr>
          <w:b w:val="0"/>
        </w:rPr>
        <w:t>The empirical contrast matters. Fagereng et al. (2021) relate responses to lottery gains to prize size and household balance sheets. Fuster et al. (2021) find that larger hypothetical gains prompt more spending adjustments, while Andreolli and Surico (2026) document size responses that differ with household resources. The size and horizon of a shock also interact in Jappelli et al. (2026). A benchmark for our experiment must therefore permit heterogeneous and nonmonotonic responses. The puzzle is whether that broad logic, supplemented by restrictions and timing, can organize the three form-specific distributions.</w:t>
      </w:r>
    </w:p>
    <w:p>
      <w:pPr>
        <w:pStyle w:val="Heading2"/>
      </w:pPr>
      <w:r>
        <w:t>2.2 Labels budgets and transfer form</w:t>
      </w:r>
    </w:p>
    <w:p>
      <w:r>
        <w:rPr>
          <w:b w:val="0"/>
        </w:rPr>
        <w:t>Mental accounting distinguishes resources by their source or designated use, and mental budgeting can connect expenditure to category-specific budgets (Thaler, 1985, 1999; Shefrin and Thaler, 1988; Heath and Soll, 1996). Labeling evidence in Kooreman (2000) and Abeler and Marklein (2017) provides a reason to consider designated purposes even when substitution is feasible. Lee et al. (2024) further show how a payment instrument can acquire a social meaning through remittances. These accounts motivate a question about categorization, but none makes a single universal prediction for the total-consumption share of our Food or Medical scenario.</w:t>
      </w:r>
    </w:p>
    <w:p>
      <w:r>
        <w:rPr>
          <w:b w:val="0"/>
        </w:rPr>
        <w:t>Eligible spending is especially important to distinguish from total additional spending. Hastings and Shapiro (2018) find responses of SNAP-eligible food purchases inconsistent with full fungibility in their setting. Cunha (2014) finds that inframarginality can differ between total food and individual items. A voucher may replace purchases already planned, freeing cash for saving or other consumption. An account balance may finance future eligible expenses without creating current additional purchases. Consequently, a high redemption rate, a high category-spending response and a high response in total consumption are different objects. Our question asks about the last, without observing redemption or the reallocation of freed cash.</w:t>
      </w:r>
    </w:p>
    <w:p>
      <w:pPr>
        <w:pStyle w:val="Heading2"/>
      </w:pPr>
      <w:r>
        <w:t>2.3 Why form-by-size predictions are ambiguous</w:t>
      </w:r>
    </w:p>
    <w:p>
      <w:r>
        <w:rPr>
          <w:b w:val="0"/>
        </w:rPr>
        <w:t>Under full fungibility and otherwise equivalent access and timing, an inframarginal restricted transfer can be equivalent to cash because it substitutes for eligible expenditure already planned. At the other extreme, a restriction that increasingly limits useful absorption can depress the response to a larger transfer relative to cash. That is a sharp conditional prediction requiring assumptions about eligible needs, substitution, expiry and the outcome measured. It cannot be attributed to standard theory in general.</w:t>
      </w:r>
    </w:p>
    <w:p>
      <w:r>
        <w:rPr>
          <w:b w:val="0"/>
        </w:rPr>
        <w:t>Labels or account structure can also change the relevance of size. Bernard (2023) already studies payment modes jointly with shock size, making a claim of a first form-by-size experiment inappropriate. Boehm et al. (2025) show that a rapidly expiring card and a cash-like payment generate different realized responses, while Bonomo et al. (2026) study programme form and timing using food-store transactions. Our Medical balance persists, Food expires, and Cash is unrestricted. These descriptions may invite different horizons and allocation problems. An observed interaction would describe those bundles, without identifying a pure label, expiry or liquidity effect.</w:t>
      </w:r>
    </w:p>
    <w:p>
      <w:pPr>
        <w:pStyle w:val="Heading2"/>
      </w:pPr>
      <w:r>
        <w:t>2.4 Stated responses and their units</w:t>
      </w:r>
    </w:p>
    <w:p>
      <w:r>
        <w:rPr>
          <w:b w:val="0"/>
        </w:rPr>
        <w:t>For transfer T, let S denote a midpoint-coded share and Y = TS its implied yuan value. The finite incremental response between amounts T₁ and T₂ is [E(Y|T₂) − E(Y|T₁)]/(T₂ − T₁). This differs from the endpoint average share and from a local consumption derivative. If Y = a + bT is a useful description over the observed range, then S = a/T + b. A declining share can therefore coexist with almost constant finite increments. The fitted intercept is not spending caused by a zero transfer: zero is outside the experiment.</w:t>
      </w:r>
    </w:p>
    <w:p>
      <w:r>
        <w:rPr>
          <w:b w:val="0"/>
        </w:rPr>
        <w:t>Elicitation affects what these objects mean. Parker and Souleles (2019) find correspondence between reported and revealed responses to actual rebates, whereas Ueda (2025) reports no significant correspondence in another linked-data setting. Crossley et al. (2026) show that question structure changes estimated patterns. Pauls and Laudi (2025) demonstrate that temporal framing affects intended tax-cut allocations. We retain the original bins, distinguish coding from observation, and treat implied yuan and affine parameters as descriptive transformations of this instrument.</w:t>
      </w:r>
    </w:p>
    <w:p>
      <w:pPr>
        <w:pStyle w:val="Heading1"/>
      </w:pPr>
      <w:r>
        <w:t>3 Design sample and estimands</w:t>
      </w:r>
    </w:p>
    <w:p>
      <w:pPr>
        <w:pStyle w:val="Heading2"/>
      </w:pPr>
      <w:r>
        <w:t>3.1 Nine scenarios and the adult sample</w:t>
      </w:r>
    </w:p>
    <w:p>
      <w:r>
        <w:rPr>
          <w:b w:val="0"/>
        </w:rPr>
        <w:t>The integrated questionnaire specifies random selection of one of nine versions, and exactly one scenario column is populated in each delivered record. Cash is a one-time unrestricted payment to a bank account or WeChat/Alipay. Food is an electronic voucher for food and daily necessities, valid for six months and noncashable. Medical is a medical-insurance personal-account credit usable for the respondent's and family's medical expenses, with long-term validity and accumulating balances. Each form is crossed with RMB 200, 1,000 and 5,000. All versions ask how much total consumption would exceed the respondent's original plan. There is no common explicit consumption horizon across the three forms.</w:t>
      </w:r>
    </w:p>
    <w:p>
      <w:pPr>
        <w:keepNext/>
        <w:spacing w:line="252" w:lineRule="auto"/>
        <w:ind w:firstLine="0"/>
        <w:jc w:val="left"/>
      </w:pPr>
      <w:r>
        <w:rPr>
          <w:b/>
          <w:sz w:val="20"/>
        </w:rPr>
        <w:t>Table 1. Transfer descriptions and adult cell counts</w:t>
      </w:r>
    </w:p>
    <w:tbl>
      <w:tblPr>
        <w:tblW w:type="auto" w:w="0"/>
        <w:jc w:val="center"/>
        <w:tblLayout w:type="fixed"/>
        <w:tblLook w:firstColumn="1" w:firstRow="1" w:lastColumn="0" w:lastRow="0" w:noHBand="0" w:noVBand="1" w:val="04A0"/>
      </w:tblPr>
      <w:tblGrid>
        <w:gridCol w:w="965"/>
        <w:gridCol w:w="3802"/>
        <w:gridCol w:w="1584"/>
        <w:gridCol w:w="1584"/>
        <w:gridCol w:w="1584"/>
      </w:tblGrid>
      <w:tr>
        <w:trPr>
          <w:cantSplit/>
          <w:tblHeader/>
        </w:trPr>
        <w:tc>
          <w:tcPr>
            <w:tcW w:type="dxa" w:w="96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Bundle</w:t>
            </w:r>
          </w:p>
        </w:tc>
        <w:tc>
          <w:tcPr>
            <w:tcW w:type="dxa" w:w="380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Eligible use and validity</w:t>
            </w:r>
          </w:p>
        </w:tc>
        <w:tc>
          <w:tcPr>
            <w:tcW w:type="dxa" w:w="15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RMB 200</w:t>
            </w:r>
          </w:p>
        </w:tc>
        <w:tc>
          <w:tcPr>
            <w:tcW w:type="dxa" w:w="15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RMB 1,000</w:t>
            </w:r>
          </w:p>
        </w:tc>
        <w:tc>
          <w:tcPr>
            <w:tcW w:type="dxa" w:w="15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RMB 5,000</w:t>
            </w:r>
          </w:p>
        </w:tc>
      </w:tr>
      <w:tr>
        <w:trPr>
          <w:cantSplit/>
        </w:trPr>
        <w:tc>
          <w:tcPr>
            <w:tcW w:type="dxa" w:w="96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Cash</w:t>
            </w:r>
          </w:p>
        </w:tc>
        <w:tc>
          <w:tcPr>
            <w:tcW w:type="dxa" w:w="380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Unrestricted one-time payment</w:t>
            </w:r>
          </w:p>
        </w:tc>
        <w:tc>
          <w:tcPr>
            <w:tcW w:type="dxa" w:w="15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618</w:t>
            </w:r>
          </w:p>
        </w:tc>
        <w:tc>
          <w:tcPr>
            <w:tcW w:type="dxa" w:w="15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592</w:t>
            </w:r>
          </w:p>
        </w:tc>
        <w:tc>
          <w:tcPr>
            <w:tcW w:type="dxa" w:w="15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580</w:t>
            </w:r>
          </w:p>
        </w:tc>
      </w:tr>
      <w:tr>
        <w:trPr>
          <w:cantSplit/>
        </w:trPr>
        <w:tc>
          <w:tcPr>
            <w:tcW w:type="dxa" w:w="96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Food</w:t>
            </w:r>
          </w:p>
        </w:tc>
        <w:tc>
          <w:tcPr>
            <w:tcW w:type="dxa" w:w="380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Food and daily necessities; six months</w:t>
            </w:r>
          </w:p>
        </w:tc>
        <w:tc>
          <w:tcPr>
            <w:tcW w:type="dxa" w:w="15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613</w:t>
            </w:r>
          </w:p>
        </w:tc>
        <w:tc>
          <w:tcPr>
            <w:tcW w:type="dxa" w:w="15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619</w:t>
            </w:r>
          </w:p>
        </w:tc>
        <w:tc>
          <w:tcPr>
            <w:tcW w:type="dxa" w:w="15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599</w:t>
            </w:r>
          </w:p>
        </w:tc>
      </w:tr>
      <w:tr>
        <w:trPr>
          <w:cantSplit/>
        </w:trPr>
        <w:tc>
          <w:tcPr>
            <w:tcW w:type="dxa" w:w="96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Medical</w:t>
            </w:r>
          </w:p>
        </w:tc>
        <w:tc>
          <w:tcPr>
            <w:tcW w:type="dxa" w:w="380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Family medical uses; persistent balance</w:t>
            </w:r>
          </w:p>
        </w:tc>
        <w:tc>
          <w:tcPr>
            <w:tcW w:type="dxa" w:w="15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614</w:t>
            </w:r>
          </w:p>
        </w:tc>
        <w:tc>
          <w:tcPr>
            <w:tcW w:type="dxa" w:w="15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611</w:t>
            </w:r>
          </w:p>
        </w:tc>
        <w:tc>
          <w:tcPr>
            <w:tcW w:type="dxa" w:w="15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634</w:t>
            </w:r>
          </w:p>
        </w:tc>
      </w:tr>
    </w:tbl>
    <w:p>
      <w:pPr>
        <w:spacing w:after="0" w:before="0" w:line="40" w:lineRule="exact"/>
        <w:ind w:firstLine="0"/>
      </w:pPr>
    </w:p>
    <w:p>
      <w:pPr>
        <w:spacing w:line="252" w:lineRule="auto"/>
        <w:ind w:firstLine="0"/>
        <w:jc w:val="left"/>
      </w:pPr>
      <w:r>
        <w:rPr>
          <w:b w:val="0"/>
          <w:sz w:val="20"/>
        </w:rPr>
        <w:t>Note: N = 5,480 adults. Assignment concerns the complete scenario descriptions. Counts and wording are reproduced from the delivered data and integrated questionnaire; the original Chinese wording and English translation appear in Supplement S9.</w:t>
      </w:r>
    </w:p>
    <w:p>
      <w:r>
        <w:rPr>
          <w:b w:val="0"/>
        </w:rPr>
        <w:t>The delivered sample has 5,497 responses, including 17 recorded ages below 18. We use the 5,480 respondents aged 18–100. Mean age is 33.3 years, 53.0% are women and 49.2% report a bachelor's degree. The eight fields used for balance diagnostics have no missing adult observations. None of their tests rejects after Holm correction, although sparse income cells limit the chi-square diagnostic. These checks neither verify allocation implementation nor establish representativeness. Supplement S1 retains category labels, city-tier information and the 30 observations with a legacy income-band scheme.</w:t>
      </w:r>
    </w:p>
    <w:p>
      <w:r>
        <w:rPr>
          <w:b w:val="0"/>
        </w:rPr>
        <w:t>The available documentation identifies Tencent Questionnaire as the hosting platform. Verified recruitment, fieldwork, allocation-implementation and ethics details are pending author documentation. The analysis sample and instrument can be described from the delivered materials, but neither the recruitment frame nor a nationally representative sampling claim can be established from them. The separate draft-only author note lists the required records, including consent and the circumstances of participation by recorded minors.</w:t>
      </w:r>
    </w:p>
    <w:p>
      <w:pPr>
        <w:pStyle w:val="Heading2"/>
      </w:pPr>
      <w:r>
        <w:t>3.2 Response codings and trend inference</w:t>
      </w:r>
    </w:p>
    <w:p>
      <w:r>
        <w:rPr>
          <w:b w:val="0"/>
        </w:rPr>
        <w:t>The six labels are essentially no additional consumption; approximately below 10%; 10–25%; 25–50%; 50–75%; and above 75%, each with yuan examples. The top example ends at the transfer amount although its verbal threshold is open. We retain all category frequencies. Seven summaries of the same answer are the ordinal score 1–6; midpoint codes 0, 0.05, 0.175, 0.375, 0.625 and 0.875; above-bottom probability; and the four higher category thresholds. Above-bottom is not observed spending participation, because the lowest verbal category is not an exact zero.</w:t>
      </w:r>
    </w:p>
    <w:p>
      <w:r>
        <w:rPr>
          <w:b w:val="0"/>
        </w:rPr>
        <w:t>Trend models use form indicators interacted with a log-fivefold amount step: 200 to 1,000 and 1,000 to 5,000 are each one step. Respondent-level HC3 covariance allows for heteroskedasticity. The 42-test family crosses seven outcomes with three within-form trends, one two-degree-of-freedom cross-form interaction and two Cash–restricted-form contrasts. Holm42 and centered joint-Gaussian min-P42 adjustments accompany nominal p values. Scalar statistics are first converted to normal p values and omnibus statistics to their appropriate chi-square p values; min-P therefore does not compare unlike raw statistical scales. The simulation retains estimated dependence across outcomes, using 10,000 fixed-seed draws. It is asymptotic inference, not an exact randomization test. Bonferroni42 intervals provide conservative simultaneous scalar uncertainty.</w:t>
      </w:r>
    </w:p>
    <w:p>
      <w:r>
        <w:rPr>
          <w:b w:val="0"/>
        </w:rPr>
        <w:t>This study was not preregistered. Revision-stage analyses were specified after earlier results were known, before their additional calculations. Their fixation limits further flexibility but does not confer prospective confirmatory status. The earlier 21-test interaction family and the expanded 42-test family are both disclosed in Supplement S3. Response-style and model sensitivities retain their own definitions rather than being folded into a new, retrospectively optimized primary family.</w:t>
      </w:r>
    </w:p>
    <w:p>
      <w:pPr>
        <w:pStyle w:val="Heading2"/>
      </w:pPr>
      <w:r>
        <w:t>3.3 Descriptive scales and mechanism diagnostics</w:t>
      </w:r>
    </w:p>
    <w:p>
      <w:r>
        <w:rPr>
          <w:b w:val="0"/>
        </w:rPr>
        <w:t>The scale analysis uses cell-stratified respondent-equivalent bootstrap intervals with 4,000 draws for implied-yuan increments, endpoint elasticities and midpoint affine parameters. Three nested affine comparisons have their own Holm family. The interval-censored sensitivity merges the bottom two responses and leaves the outer intervals open. It compares constant and amount-dependent residual scales, with bootstrap status and calibration reported in Supplement S5. Its latent parameters are not structural MPC estimates.</w:t>
      </w:r>
    </w:p>
    <w:p>
      <w:r>
        <w:rPr>
          <w:b w:val="0"/>
        </w:rPr>
        <w:t>Food diagnostics retain the predetermined expenditure proxy, continuous ordered-band moderator, adjusted specification and two band mappings. Precision summaries report pointwise intervals and nominal or family-adjusted 80% minimum detectable effects in matching units. Historical income, liquidity, response-style and broad observable screens are identified separately, including those using the full delivered sample. No new moderator or subgroup is introduced to explain a visually appealing distributional pattern.</w:t>
      </w:r>
    </w:p>
    <w:p>
      <w:pPr>
        <w:pStyle w:val="Heading1"/>
      </w:pPr>
      <w:r>
        <w:t>4 Three puzzles in the randomized cells</w:t>
      </w:r>
    </w:p>
    <w:p>
      <w:pPr>
        <w:pStyle w:val="Heading2"/>
      </w:pPr>
      <w:r>
        <w:t>4.1 Different mean paths toward similar large-amount shares</w:t>
      </w:r>
    </w:p>
    <w:p>
      <w:r>
        <w:rPr>
          <w:b w:val="0"/>
        </w:rPr>
        <w:t>Table 2 makes the three puzzles visible in nine numbers. Cash falls at both amount steps, Food falls mainly at the first, and Medical barely changes. The endpoint decline is about 5.14 percentage points for Cash and 3.21 for Food, compared with a 0.11-point increase for Medical. The initially large Cash–Medical gap narrows substantially, while the Cash–Food gap reaches about 0.67 points at RMB 5,000. These cell comparisons motivate the question of form-specific size responses without themselves establishing a population interaction or equivalence at the large amount.</w:t>
      </w:r>
    </w:p>
    <w:p>
      <w:pPr>
        <w:keepNext/>
        <w:spacing w:line="252" w:lineRule="auto"/>
        <w:ind w:firstLine="0"/>
        <w:jc w:val="left"/>
      </w:pPr>
      <w:r>
        <w:rPr>
          <w:b/>
          <w:sz w:val="20"/>
        </w:rPr>
        <w:t>Table 2. Midpoint-coded shares and implied additional yuan</w:t>
      </w:r>
    </w:p>
    <w:tbl>
      <w:tblPr>
        <w:tblW w:type="auto" w:w="0"/>
        <w:jc w:val="center"/>
        <w:tblLayout w:type="fixed"/>
        <w:tblLook w:firstColumn="1" w:firstRow="1" w:lastColumn="0" w:lastRow="0" w:noHBand="0" w:noVBand="1" w:val="04A0"/>
      </w:tblPr>
      <w:tblGrid>
        <w:gridCol w:w="2088"/>
        <w:gridCol w:w="2477"/>
        <w:gridCol w:w="2477"/>
        <w:gridCol w:w="2477"/>
      </w:tblGrid>
      <w:tr>
        <w:trPr>
          <w:cantSplit/>
          <w:tblHeader/>
        </w:trPr>
        <w:tc>
          <w:tcPr>
            <w:tcW w:type="dxa" w:w="208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Form</w:t>
            </w:r>
          </w:p>
        </w:tc>
        <w:tc>
          <w:tcPr>
            <w:tcW w:type="dxa" w:w="247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RMB 200</w:t>
            </w:r>
          </w:p>
        </w:tc>
        <w:tc>
          <w:tcPr>
            <w:tcW w:type="dxa" w:w="247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RMB 1,000</w:t>
            </w:r>
          </w:p>
        </w:tc>
        <w:tc>
          <w:tcPr>
            <w:tcW w:type="dxa" w:w="247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RMB 5,000</w:t>
            </w:r>
          </w:p>
        </w:tc>
      </w:tr>
      <w:tr>
        <w:trPr>
          <w:cantSplit/>
        </w:trPr>
        <w:tc>
          <w:tcPr>
            <w:tcW w:type="dxa" w:w="208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Cash</w:t>
            </w:r>
          </w:p>
        </w:tc>
        <w:tc>
          <w:tcPr>
            <w:tcW w:type="dxa" w:w="247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25.30% (50.60)</w:t>
            </w:r>
          </w:p>
        </w:tc>
        <w:tc>
          <w:tcPr>
            <w:tcW w:type="dxa" w:w="247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22.67% (226.69)</w:t>
            </w:r>
          </w:p>
        </w:tc>
        <w:tc>
          <w:tcPr>
            <w:tcW w:type="dxa" w:w="247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20.16% (1,008.19)</w:t>
            </w:r>
          </w:p>
        </w:tc>
      </w:tr>
      <w:tr>
        <w:trPr>
          <w:cantSplit/>
        </w:trPr>
        <w:tc>
          <w:tcPr>
            <w:tcW w:type="dxa" w:w="208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Food</w:t>
            </w:r>
          </w:p>
        </w:tc>
        <w:tc>
          <w:tcPr>
            <w:tcW w:type="dxa" w:w="247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22.70% (45.40)</w:t>
            </w:r>
          </w:p>
        </w:tc>
        <w:tc>
          <w:tcPr>
            <w:tcW w:type="dxa" w:w="247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19.98% (199.84)</w:t>
            </w:r>
          </w:p>
        </w:tc>
        <w:tc>
          <w:tcPr>
            <w:tcW w:type="dxa" w:w="247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19.49% (974.75)</w:t>
            </w:r>
          </w:p>
        </w:tc>
      </w:tr>
      <w:tr>
        <w:trPr>
          <w:cantSplit/>
        </w:trPr>
        <w:tc>
          <w:tcPr>
            <w:tcW w:type="dxa" w:w="208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Medical</w:t>
            </w:r>
          </w:p>
        </w:tc>
        <w:tc>
          <w:tcPr>
            <w:tcW w:type="dxa" w:w="247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17.73% (35.46)</w:t>
            </w:r>
          </w:p>
        </w:tc>
        <w:tc>
          <w:tcPr>
            <w:tcW w:type="dxa" w:w="247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17.83% (178.27)</w:t>
            </w:r>
          </w:p>
        </w:tc>
        <w:tc>
          <w:tcPr>
            <w:tcW w:type="dxa" w:w="247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17.84% (892.15)</w:t>
            </w:r>
          </w:p>
        </w:tc>
      </w:tr>
    </w:tbl>
    <w:p>
      <w:pPr>
        <w:spacing w:after="0" w:before="0" w:line="40" w:lineRule="exact"/>
        <w:ind w:firstLine="0"/>
      </w:pPr>
    </w:p>
    <w:p>
      <w:pPr>
        <w:spacing w:line="252" w:lineRule="auto"/>
        <w:ind w:firstLine="0"/>
        <w:jc w:val="left"/>
      </w:pPr>
      <w:r>
        <w:rPr>
          <w:b w:val="0"/>
          <w:sz w:val="20"/>
        </w:rPr>
        <w:t>Note: Parentheses contain transfer amount times mean midpoint code, in RMB. These are implied amounts, not observed expenditure. Finite increments for Cash are 0.220 and 0.195, Food 0.193 and 0.194, and Medical 0.179 and 0.178 over the two successive intervals; Supplement S4 reports all confidence intervals and comparisons.</w:t>
      </w:r>
    </w:p>
    <w:p>
      <w:pPr>
        <w:keepNext/>
        <w:ind w:firstLine="0"/>
        <w:jc w:val="center"/>
      </w:pPr>
      <w:r>
        <w:drawing>
          <wp:inline xmlns:a="http://schemas.openxmlformats.org/drawingml/2006/main" xmlns:pic="http://schemas.openxmlformats.org/drawingml/2006/picture">
            <wp:extent cx="6035040" cy="2184091"/>
            <wp:docPr id="1" name="Picture 1" descr="Adult six-category response distributions in nine randomized cells"/>
            <wp:cNvGraphicFramePr>
              <a:graphicFrameLocks noChangeAspect="1"/>
            </wp:cNvGraphicFramePr>
            <a:graphic>
              <a:graphicData uri="http://schemas.openxmlformats.org/drawingml/2006/picture">
                <pic:pic>
                  <pic:nvPicPr>
                    <pic:cNvPr id="0" name="fig1_response_atlas.png"/>
                    <pic:cNvPicPr/>
                  </pic:nvPicPr>
                  <pic:blipFill>
                    <a:blip r:embed="rId10"/>
                    <a:stretch>
                      <a:fillRect/>
                    </a:stretch>
                  </pic:blipFill>
                  <pic:spPr>
                    <a:xfrm>
                      <a:off x="0" y="0"/>
                      <a:ext cx="6035040" cy="2184091"/>
                    </a:xfrm>
                    <a:prstGeom prst="rect"/>
                  </pic:spPr>
                </pic:pic>
              </a:graphicData>
            </a:graphic>
          </wp:inline>
        </w:drawing>
      </w:r>
    </w:p>
    <w:p>
      <w:pPr>
        <w:spacing w:line="252" w:lineRule="auto"/>
        <w:ind w:firstLine="0"/>
        <w:jc w:val="left"/>
      </w:pPr>
      <w:r>
        <w:rPr>
          <w:b w:val="0"/>
          <w:sz w:val="20"/>
        </w:rPr>
        <w:t>Figure 1. The three-form, three-amount response atlas. Bars show the six original categories among adults; shades become darker as reported shares increase. Bottom denotes essentially no additional consumption, not an observed zero. Each row contains different respondents. Table 1 gives cell sizes and Supplement S2 gives all frequencies.</w:t>
      </w:r>
    </w:p>
    <w:p>
      <w:r>
        <w:rPr>
          <w:b w:val="0"/>
        </w:rPr>
        <w:t>The atlas also cautions against treating the two restricted forms as a single treatment. Food and Medical differ in their low-response mass, upper-category frequency and amount path. Pooling them would conceal both Medical's near-flat mean and the different ways the two restricted forms contribute to the observed narrowing of mean gaps.</w:t>
      </w:r>
    </w:p>
    <w:p>
      <w:pPr>
        <w:pStyle w:val="Heading2"/>
      </w:pPr>
      <w:r>
        <w:t>4.2 Percentage convergence is not a collapse of yuan spending</w:t>
      </w:r>
    </w:p>
    <w:p>
      <w:r>
        <w:rPr>
          <w:b w:val="0"/>
        </w:rPr>
        <w:t>Figure 2 displays the midpoint share and its implied-yuan counterpart with the original pointwise bootstrap intervals. All forms rise strongly in yuan. The endpoint elasticity of implied yuan with respect to amount is 0.930 for Cash, 0.953 for Food and 1.002 for Medical. The estimates summarize a 25-fold amount change, not a local derivative. In particular, the Cash–Medical implied-yuan gap grows from about RMB 15 to RMB 116 even as the share gap narrows.</w:t>
      </w:r>
    </w:p>
    <w:p>
      <w:pPr>
        <w:keepNext/>
        <w:ind w:firstLine="0"/>
        <w:jc w:val="center"/>
      </w:pPr>
      <w:r>
        <w:drawing>
          <wp:inline xmlns:a="http://schemas.openxmlformats.org/drawingml/2006/main" xmlns:pic="http://schemas.openxmlformats.org/drawingml/2006/picture">
            <wp:extent cx="6035040" cy="2369022"/>
            <wp:docPr id="2" name="Picture 2" descr="Midpoint shares and implied yuan across amounts with unchanged bootstrap intervals"/>
            <wp:cNvGraphicFramePr>
              <a:graphicFrameLocks noChangeAspect="1"/>
            </wp:cNvGraphicFramePr>
            <a:graphic>
              <a:graphicData uri="http://schemas.openxmlformats.org/drawingml/2006/picture">
                <pic:pic>
                  <pic:nvPicPr>
                    <pic:cNvPr id="0" name="fig2_share_and_yuan.png"/>
                    <pic:cNvPicPr/>
                  </pic:nvPicPr>
                  <pic:blipFill>
                    <a:blip r:embed="rId11"/>
                    <a:stretch>
                      <a:fillRect/>
                    </a:stretch>
                  </pic:blipFill>
                  <pic:spPr>
                    <a:xfrm>
                      <a:off x="0" y="0"/>
                      <a:ext cx="6035040" cy="2369022"/>
                    </a:xfrm>
                    <a:prstGeom prst="rect"/>
                  </pic:spPr>
                </pic:pic>
              </a:graphicData>
            </a:graphic>
          </wp:inline>
        </w:drawing>
      </w:r>
    </w:p>
    <w:p>
      <w:pPr>
        <w:spacing w:line="252" w:lineRule="auto"/>
        <w:ind w:firstLine="0"/>
        <w:jc w:val="left"/>
      </w:pPr>
      <w:r>
        <w:rPr>
          <w:b w:val="0"/>
          <w:sz w:val="20"/>
        </w:rPr>
        <w:t>Figure 2. The same coded responses on percentage and yuan scales. Whiskers are pointwise 95% percentile intervals from the existing 4,000 cell-stratified bootstrap draws. Dashed lines in the yuan panel are the descriptive form-specific affine fits. The share panel uses a log amount axis; the yuan panel uses a linear amount axis. Neither panel measures realized consumption.</w:t>
      </w:r>
    </w:p>
    <w:p>
      <w:r>
        <w:rPr>
          <w:b w:val="0"/>
        </w:rPr>
        <w:t>Over RMB 1,000–5,000, the Cash–Food finite-increment difference is 0.00165 yuan per transfer yuan, with a 95% interval of −0.03486 to 0.03654. The Cash–Medical difference is 0.01691 [−0.01756, 0.05099]. All six pairwise comparisons across the two intervals fail to reject after their Holm correction. These estimates support examining whether forms differ mainly in small-amount allocation, but they do not establish common incremental slopes. Both similar and meaningfully different population responses remain compatible with the intervals.</w:t>
      </w:r>
    </w:p>
    <w:p>
      <w:pPr>
        <w:pStyle w:val="Heading2"/>
      </w:pPr>
      <w:r>
        <w:t>4.3 Which trends retain evidence after accounting for outcome choice</w:t>
      </w:r>
    </w:p>
    <w:p>
      <w:r>
        <w:rPr>
          <w:b w:val="0"/>
        </w:rPr>
        <w:t>Table 3 separates within-form trends from cross-form comparisons. Cash's midpoint trend retains evidence under Holm42 and min-P42, as does its highest-category trend. The ordinal result does not. A mean decline measured through midpoint distances is therefore better supported than a coding-independent claim that every aspect of the distribution shifts downward.</w:t>
      </w:r>
    </w:p>
    <w:p>
      <w:pPr>
        <w:keepNext/>
        <w:spacing w:line="252" w:lineRule="auto"/>
        <w:ind w:firstLine="0"/>
        <w:jc w:val="left"/>
      </w:pPr>
      <w:r>
        <w:rPr>
          <w:b/>
          <w:sz w:val="20"/>
        </w:rPr>
        <w:t>Table 3. Focal trends within the complete 42-test family</w:t>
      </w:r>
    </w:p>
    <w:tbl>
      <w:tblPr>
        <w:tblW w:type="auto" w:w="0"/>
        <w:jc w:val="center"/>
        <w:tblLayout w:type="fixed"/>
        <w:tblLook w:firstColumn="1" w:firstRow="1" w:lastColumn="0" w:lastRow="0" w:noHBand="0" w:noVBand="1" w:val="04A0"/>
      </w:tblPr>
      <w:tblGrid>
        <w:gridCol w:w="3643"/>
        <w:gridCol w:w="1958"/>
        <w:gridCol w:w="1958"/>
        <w:gridCol w:w="1958"/>
      </w:tblGrid>
      <w:tr>
        <w:trPr>
          <w:cantSplit/>
          <w:tblHeader/>
        </w:trPr>
        <w:tc>
          <w:tcPr>
            <w:tcW w:type="dxa" w:w="3643"/>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Outcome and test</w:t>
            </w:r>
          </w:p>
        </w:tc>
        <w:tc>
          <w:tcPr>
            <w:tcW w:type="dxa" w:w="195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Nominal p</w:t>
            </w:r>
          </w:p>
        </w:tc>
        <w:tc>
          <w:tcPr>
            <w:tcW w:type="dxa" w:w="195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Holm42 p</w:t>
            </w:r>
          </w:p>
        </w:tc>
        <w:tc>
          <w:tcPr>
            <w:tcW w:type="dxa" w:w="195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Min-P42 p</w:t>
            </w:r>
          </w:p>
        </w:tc>
      </w:tr>
      <w:tr>
        <w:trPr>
          <w:cantSplit/>
        </w:trPr>
        <w:tc>
          <w:tcPr>
            <w:tcW w:type="dxa" w:w="3643"/>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Cash midpoint trend</w:t>
            </w:r>
          </w:p>
        </w:tc>
        <w:tc>
          <w:tcPr>
            <w:tcW w:type="dxa" w:w="195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0.000956</w:t>
            </w:r>
          </w:p>
        </w:tc>
        <w:tc>
          <w:tcPr>
            <w:tcW w:type="dxa" w:w="195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0.0392</w:t>
            </w:r>
          </w:p>
        </w:tc>
        <w:tc>
          <w:tcPr>
            <w:tcW w:type="dxa" w:w="195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0.0199</w:t>
            </w:r>
          </w:p>
        </w:tc>
      </w:tr>
      <w:tr>
        <w:trPr>
          <w:cantSplit/>
        </w:trPr>
        <w:tc>
          <w:tcPr>
            <w:tcW w:type="dxa" w:w="3643"/>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Cash highest-category trend</w:t>
            </w:r>
          </w:p>
        </w:tc>
        <w:tc>
          <w:tcPr>
            <w:tcW w:type="dxa" w:w="195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0.00000122</w:t>
            </w:r>
          </w:p>
        </w:tc>
        <w:tc>
          <w:tcPr>
            <w:tcW w:type="dxa" w:w="195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0.0000514</w:t>
            </w:r>
          </w:p>
        </w:tc>
        <w:tc>
          <w:tcPr>
            <w:tcW w:type="dxa" w:w="195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0.000100</w:t>
            </w:r>
          </w:p>
        </w:tc>
      </w:tr>
      <w:tr>
        <w:trPr>
          <w:cantSplit/>
        </w:trPr>
        <w:tc>
          <w:tcPr>
            <w:tcW w:type="dxa" w:w="3643"/>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Cash ordinal trend</w:t>
            </w:r>
          </w:p>
        </w:tc>
        <w:tc>
          <w:tcPr>
            <w:tcW w:type="dxa" w:w="195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0.0114</w:t>
            </w:r>
          </w:p>
        </w:tc>
        <w:tc>
          <w:tcPr>
            <w:tcW w:type="dxa" w:w="195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0.3995</w:t>
            </w:r>
          </w:p>
        </w:tc>
        <w:tc>
          <w:tcPr>
            <w:tcW w:type="dxa" w:w="195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0.1818</w:t>
            </w:r>
          </w:p>
        </w:tc>
      </w:tr>
      <w:tr>
        <w:trPr>
          <w:cantSplit/>
        </w:trPr>
        <w:tc>
          <w:tcPr>
            <w:tcW w:type="dxa" w:w="3643"/>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Highest-category cross-form omnibus</w:t>
            </w:r>
          </w:p>
        </w:tc>
        <w:tc>
          <w:tcPr>
            <w:tcW w:type="dxa" w:w="195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0.00903</w:t>
            </w:r>
          </w:p>
        </w:tc>
        <w:tc>
          <w:tcPr>
            <w:tcW w:type="dxa" w:w="195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0.3339</w:t>
            </w:r>
          </w:p>
        </w:tc>
        <w:tc>
          <w:tcPr>
            <w:tcW w:type="dxa" w:w="195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0.1486</w:t>
            </w:r>
          </w:p>
        </w:tc>
      </w:tr>
      <w:tr>
        <w:trPr>
          <w:cantSplit/>
        </w:trPr>
        <w:tc>
          <w:tcPr>
            <w:tcW w:type="dxa" w:w="3643"/>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Highest-category Cash–Food trend difference</w:t>
            </w:r>
          </w:p>
        </w:tc>
        <w:tc>
          <w:tcPr>
            <w:tcW w:type="dxa" w:w="195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0.0124</w:t>
            </w:r>
          </w:p>
        </w:tc>
        <w:tc>
          <w:tcPr>
            <w:tcW w:type="dxa" w:w="195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0.4225</w:t>
            </w:r>
          </w:p>
        </w:tc>
        <w:tc>
          <w:tcPr>
            <w:tcW w:type="dxa" w:w="195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0.1923</w:t>
            </w:r>
          </w:p>
        </w:tc>
      </w:tr>
      <w:tr>
        <w:trPr>
          <w:cantSplit/>
        </w:trPr>
        <w:tc>
          <w:tcPr>
            <w:tcW w:type="dxa" w:w="3643"/>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Highest-category Cash–Medical trend difference</w:t>
            </w:r>
          </w:p>
        </w:tc>
        <w:tc>
          <w:tcPr>
            <w:tcW w:type="dxa" w:w="195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0.00377</w:t>
            </w:r>
          </w:p>
        </w:tc>
        <w:tc>
          <w:tcPr>
            <w:tcW w:type="dxa" w:w="195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0.1471</w:t>
            </w:r>
          </w:p>
        </w:tc>
        <w:tc>
          <w:tcPr>
            <w:tcW w:type="dxa" w:w="195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0.0686</w:t>
            </w:r>
          </w:p>
        </w:tc>
      </w:tr>
    </w:tbl>
    <w:p>
      <w:pPr>
        <w:spacing w:after="0" w:before="0" w:line="40" w:lineRule="exact"/>
        <w:ind w:firstLine="0"/>
      </w:pPr>
    </w:p>
    <w:p>
      <w:pPr>
        <w:spacing w:line="252" w:lineRule="auto"/>
        <w:ind w:firstLine="0"/>
        <w:jc w:val="left"/>
      </w:pPr>
      <w:r>
        <w:rPr>
          <w:b w:val="0"/>
          <w:sz w:val="20"/>
        </w:rPr>
        <w:t>Note: All six rows belong to one family of 42, not a separate six-test correction. The omnibus has two degrees of freedom; scalar rows have one. Min-P uses p values on comparable null scales and 10,000 simulated centered errors; 0.000100 is at the simulation resolution. Complete results and conservative simultaneous intervals appear in Supplement S3.</w:t>
      </w:r>
    </w:p>
    <w:p>
      <w:r>
        <w:rPr>
          <w:b w:val="0"/>
        </w:rPr>
        <w:t>The cross-form highest-category omnibus and both focal contrasts do not retain evidence in the expanded family, and their simultaneous scalar intervals include zero. Consequently, a steeper Cash tail decline is a suggestive cross-form feature even though the within-Cash decline is detectable. Medical's near-zero mean change should likewise remain an observed cell fact rather than a statistically established flat response. The distributional account that follows describes what produces these means in the sample; it does not upgrade their inferential status.</w:t>
      </w:r>
    </w:p>
    <w:p>
      <w:pPr>
        <w:pStyle w:val="Heading1"/>
      </w:pPr>
      <w:r>
        <w:t>5 Anatomy of the three puzzles</w:t>
      </w:r>
    </w:p>
    <w:p>
      <w:pPr>
        <w:pStyle w:val="Heading2"/>
      </w:pPr>
      <w:r>
        <w:t>5.1 Cash and the contraction of the highest-response category</w:t>
      </w:r>
    </w:p>
    <w:p>
      <w:r>
        <w:rPr>
          <w:b w:val="0"/>
        </w:rPr>
        <w:t>Cash's endpoint change is concentrated away from the bottom. The essentially-no-additional-consumption category is 27.35% at RMB 200 and 27.41% at RMB 5,000. In contrast, the above-75% category falls from 13.43% to 5.34%, a decrease of about eight percentage points. The 10–25% category rises from 20.39% to 24.48%. The below-10% and 50–75% categories also grow, while 25–50% changes little. Figure 3 displays these changes on a common scale. The resulting distribution is more nuanced than a uniform shift of each respondent toward a smaller answer.</w:t>
      </w:r>
    </w:p>
    <w:p>
      <w:pPr>
        <w:keepNext/>
        <w:ind w:firstLine="0"/>
        <w:jc w:val="center"/>
      </w:pPr>
      <w:r>
        <w:drawing>
          <wp:inline xmlns:a="http://schemas.openxmlformats.org/drawingml/2006/main" xmlns:pic="http://schemas.openxmlformats.org/drawingml/2006/picture">
            <wp:extent cx="6035040" cy="2318147"/>
            <wp:docPr id="3" name="Picture 3" descr="Endpoint changes in each of six category frequencies for Cash Food and Medical"/>
            <wp:cNvGraphicFramePr>
              <a:graphicFrameLocks noChangeAspect="1"/>
            </wp:cNvGraphicFramePr>
            <a:graphic>
              <a:graphicData uri="http://schemas.openxmlformats.org/drawingml/2006/picture">
                <pic:pic>
                  <pic:nvPicPr>
                    <pic:cNvPr id="0" name="fig3_category_changes.png"/>
                    <pic:cNvPicPr/>
                  </pic:nvPicPr>
                  <pic:blipFill>
                    <a:blip r:embed="rId12"/>
                    <a:stretch>
                      <a:fillRect/>
                    </a:stretch>
                  </pic:blipFill>
                  <pic:spPr>
                    <a:xfrm>
                      <a:off x="0" y="0"/>
                      <a:ext cx="6035040" cy="2318147"/>
                    </a:xfrm>
                    <a:prstGeom prst="rect"/>
                  </pic:spPr>
                </pic:pic>
              </a:graphicData>
            </a:graphic>
          </wp:inline>
        </w:drawing>
      </w:r>
    </w:p>
    <w:p>
      <w:pPr>
        <w:spacing w:line="252" w:lineRule="auto"/>
        <w:ind w:firstLine="0"/>
        <w:jc w:val="left"/>
      </w:pPr>
      <w:r>
        <w:rPr>
          <w:b w:val="0"/>
          <w:sz w:val="20"/>
        </w:rPr>
        <w:t>Figure 3. Change in response-category shares from RMB 200 to RMB 5,000. Each bar is the larger-amount cell frequency minus the smaller-amount frequency, in percentage points. Panels use the same scale and ordered shades. These are descriptive differences between independent adult cells, with no added tests or significance stars. The six changes within each form sum to zero, subject to rounding.</w:t>
      </w:r>
    </w:p>
    <w:p>
      <w:r>
        <w:rPr>
          <w:b w:val="0"/>
        </w:rPr>
        <w:t>The bottom-code identity helps locate Cash's mean decline. Because the midpoint assigned to the bottom is zero, the mean equals above-bottom probability times the mean code conditional on an above-bottom answer. The existing symmetric product decomposition assigns −0.02 points of the −5.14-point Cash change to the probability component and −5.11 points to the conditional-code component, with rounding. That establishes an arithmetic fact about the coding. It does not identify a causal intensive margin among fixed spenders: different people receive different scenarios, and above-bottom membership can itself depend on assignment.</w:t>
      </w:r>
    </w:p>
    <w:p>
      <w:pPr>
        <w:pStyle w:val="Heading2"/>
      </w:pPr>
      <w:r>
        <w:t>5.2 Food and a more diffuse redistribution</w:t>
      </w:r>
    </w:p>
    <w:p>
      <w:r>
        <w:rPr>
          <w:b w:val="0"/>
        </w:rPr>
        <w:t>Food's bottom frequency falls slightly, from 31.16% to 30.05%, while its highest category falls from 9.79% to 7.51%. Its 10–25% category rises from 19.90% to 23.87%, and its 25–50% category falls from 15.50% to 11.52%. Along with growth below 10%, this produces a smaller mean decline than Cash. The shape involves a broader reallocation across middle and upper categories rather than a top contraction of comparable size.</w:t>
      </w:r>
    </w:p>
    <w:p>
      <w:r>
        <w:rPr>
          <w:b w:val="0"/>
        </w:rPr>
        <w:t>This distinction matters for the bindingness intuition. A lower mean for Food at the smallest amount is compatible with a restriction or purpose reducing reported additional total consumption. Yet the less negative Food gradient requires a separate explanation; the level comparison does not predict its sign. At RMB 5,000 the Food highest-category frequency, 7.51%, is above Cash's 5.34%. The earlier amount-specific contrast is imprecise, so the crossing cannot establish superior spending effects of vouchers. It does show why a simple description of uniformly lower restricted-form responses misses part of the observed pattern.</w:t>
      </w:r>
    </w:p>
    <w:p>
      <w:pPr>
        <w:pStyle w:val="Heading2"/>
      </w:pPr>
      <w:r>
        <w:t>5.3 Medical and offsetting changes behind a flat mean</w:t>
      </w:r>
    </w:p>
    <w:p>
      <w:r>
        <w:rPr>
          <w:b w:val="0"/>
        </w:rPr>
        <w:t>Medical begins with the largest bottom frequency and the lowest midpoint mean. Between the endpoints, the bottom category falls from 38.60% to 35.49%, the 10–25% category rises from 18.57% to 23.50%, and the 50–75% category rises from 5.54% to 7.26%. At the same time, the highest category falls from 6.03% to 3.94%, and the below-10% category contracts. These opposing contributions leave the coded mean almost unchanged at 17.73% and 17.84%.</w:t>
      </w:r>
    </w:p>
    <w:p>
      <w:r>
        <w:rPr>
          <w:b w:val="0"/>
        </w:rPr>
        <w:t>Medical's flat mean is not a static distribution; it is the net result of offsetting movements across response categories. In the bottom-code decomposition, a +0.88-point probability component and a −0.76-point conditional-code component nearly cancel. It would therefore be misleading to conclude that amount makes no difference to the observed response distribution merely because the mean is flat. Conversely, these descriptive offsets do not establish a population distributional change or identify which respondents would change their answers. They supply a more informative target for a theory or a future experiment than mean invariance alone.</w:t>
      </w:r>
    </w:p>
    <w:p>
      <w:pPr>
        <w:pStyle w:val="Heading2"/>
      </w:pPr>
      <w:r>
        <w:t>5.4 Convergence without distributional identity</w:t>
      </w:r>
    </w:p>
    <w:p>
      <w:r>
        <w:rPr>
          <w:b w:val="0"/>
        </w:rPr>
        <w:t>At RMB 5,000, the 10–25% category accounts for 24.48% of Cash, 23.87% of Food and 23.50% of Medical responses. This common concentration helps the mean shares approach one another. Yet bottom frequencies remain 27.41%, 30.05% and 35.49%, and highest-category frequencies remain 5.34%, 7.51% and 3.94%. The mean shares converge strongly, but the distributions do not become identical. This statement describes the cell profiles; it is not a new formal equality or inequality test.</w:t>
      </w:r>
    </w:p>
    <w:p>
      <w:r>
        <w:rPr>
          <w:b w:val="0"/>
        </w:rPr>
        <w:t>Together, the three paths sharpen the economic question. An account of Cash alone can explain an upper-category contraction while missing Medical's offsets. An account based solely on stricter eligible use can explain lower levels while missing Food's gentler decline. A theory of identical large-transfer behavior would go beyond the surviving distributional differences and the uncertainty in incremental yuan. The explanation must instead accommodate different routes toward closer mean shares, with the apparent interaction still requiring replication.</w:t>
      </w:r>
    </w:p>
    <w:p>
      <w:pPr>
        <w:pStyle w:val="Heading1"/>
      </w:pPr>
      <w:r>
        <w:t>6 What can explain the puzzles?</w:t>
      </w:r>
    </w:p>
    <w:p>
      <w:pPr>
        <w:pStyle w:val="Heading2"/>
      </w:pPr>
      <w:r>
        <w:t>6.1 Consumption smoothing as the starting benchmark</w:t>
      </w:r>
    </w:p>
    <w:p>
      <w:r>
        <w:rPr>
          <w:b w:val="0"/>
        </w:rPr>
        <w:t>The intuition is that a household may devote a high share of a small windfall to a pressing purchase and a lower share of a larger windfall once that need is covered. Cash's upper-category contraction is compatible with this account, and the Cash midpoint and highest-category trends provide its clearest empirical support within our instrument. There is no model-specific test here that distinguishes smoothing from another source of nonlinear allocation.</w:t>
      </w:r>
    </w:p>
    <w:p>
      <w:r>
        <w:rPr>
          <w:b w:val="0"/>
        </w:rPr>
        <w:t>The benchmark is less informative about the comparison across forms. Medical's offsets and Food's smaller decline are not direct predictions of a common cash consumption function. Allowing category needs, substitution and different horizons can accommodate them, but doing so changes the account being tested. We therefore retain standard consumption theory as a plausible starting point rather than presenting the three puzzles as a general rejection of rational choice.</w:t>
      </w:r>
    </w:p>
    <w:p>
      <w:pPr>
        <w:pStyle w:val="Heading2"/>
      </w:pPr>
      <w:r>
        <w:t>6.2 Scale and the descriptive affine benchmark</w:t>
      </w:r>
    </w:p>
    <w:p>
      <w:r>
        <w:rPr>
          <w:b w:val="0"/>
        </w:rPr>
        <w:t>The scale intuition is exact: an affine yuan response implies a share a/T + b. The full midpoint fit has slopes of 0.198 for Cash, 0.194 for Food and 0.178 for Medical, with fitted intercepts of RMB 18.7, 6.4 and −0.2. Its descriptive root mean squared cell error is RMB 4.17. Allowing form-specific intercepts but a common slope also accommodates the means reasonably, with a lack-of-fit p value of 0.178. But nonrejection of that model is not evidence of equivalence: the full-model slope-equality p value is 0.381, and the nested intercept comparison has Holm3 p = 0.0610. Neither a common slope nor an intercept-only explanation has been established.</w:t>
      </w:r>
    </w:p>
    <w:p>
      <w:r>
        <w:rPr>
          <w:b w:val="0"/>
        </w:rPr>
        <w:t>The interval sensitivity shows how much a stronger latent interpretation would demand. With constant residual scale, the largest absolute merged-category calibration error is about 20.8 percentage points; with amount-specific scales it is about 8.8 points. Estimated latent slopes change markedly across those assumptions. The analysis merges the bottom two labels and uses open outer intervals; it does not impose exact zero or a hard 100% cap. These are censored-normal descriptions, not identified structural MPCs. Scale clarifies why declining shares need not mean weaker incremental yuan, but it does not by itself explain why particular respondents choose particular categories.</w:t>
      </w:r>
    </w:p>
    <w:p>
      <w:pPr>
        <w:pStyle w:val="Heading2"/>
      </w:pPr>
      <w:r>
        <w:t>6.3 Does bottom-category accumulation account for the pattern?</w:t>
      </w:r>
    </w:p>
    <w:p>
      <w:r>
        <w:rPr>
          <w:b w:val="0"/>
        </w:rPr>
        <w:t>A floor-based explanation would attribute the declining mean primarily to more responses accumulating at the lowest category. Cash's virtually unchanged bottom frequency is inconsistent with that description of its observed mean decline. The symmetric decomposition confirms that almost all of the coded change lies in the conditional-above-bottom component. Food and Medical, meanwhile, have slightly smaller bottom frequencies at the large amount, so bottom accumulation does not organize their paths either.</w:t>
      </w:r>
    </w:p>
    <w:p>
      <w:r>
        <w:rPr>
          <w:b w:val="0"/>
        </w:rPr>
        <w:t>The conclusion is limited to this proposed arithmetic explanation. The bottom response is verbal and approximate; its practical yuan meaning need not be constant as the neighboring percentage threshold scales up. That is why this evidence cannot establish a spending-participation margin, or prove that an observed floor has no measurement consequences. It directs attention to the middle and upper categories without resolving the underlying choice process.</w:t>
      </w:r>
    </w:p>
    <w:p>
      <w:pPr>
        <w:pStyle w:val="Heading2"/>
      </w:pPr>
      <w:r>
        <w:t>6.4 A sharp prediction from increasing Food bindingness</w:t>
      </w:r>
    </w:p>
    <w:p>
      <w:r>
        <w:rPr>
          <w:b w:val="0"/>
        </w:rPr>
        <w:t>The sharp prediction is a more negative Food–Cash size gradient where the larger voucher is harder to absorb in eligible expenditure. The available proxy sets G = 1 when six times the lower bound of the monthly food-expenditure band exceeds RMB 5,000; G = 0 fails that condition. The six-month comparison uses the voucher's validity, not a measured common consumption horizon. Food expenditure also omits eligible daily necessities, so G is a classification proxy rather than observed bindingness.</w:t>
      </w:r>
    </w:p>
    <w:p>
      <w:r>
        <w:rPr>
          <w:b w:val="0"/>
        </w:rPr>
        <w:t>Figure 4 shows why the sign matters. In G = 0, the highest-category Food–Cash gradient is +8.00 percentage points per fivefold step [3.83, 12.18], rather than negative. In G = 1 it is +1.33 [−1.35, 4.01]. The G = 1 minus G = 0 difference is −6.67 [−11.63, −1.71], with historical Holm7 p = 0.0504. Conditional on the proxy and the stated sharp account, the positive G = 0 gradient contradicts the sharp prediction. Calling it evidence for increasing bindingness would reverse the relevant sign.</w:t>
      </w:r>
    </w:p>
    <w:p>
      <w:pPr>
        <w:keepNext/>
        <w:ind w:firstLine="0"/>
        <w:jc w:val="center"/>
      </w:pPr>
      <w:r>
        <w:drawing>
          <wp:inline xmlns:a="http://schemas.openxmlformats.org/drawingml/2006/main" xmlns:pic="http://schemas.openxmlformats.org/drawingml/2006/picture">
            <wp:extent cx="6035040" cy="2643997"/>
            <wp:docPr id="4" name="Picture 4" descr="Food Cash highest-category frequencies by the pre-existing expenditure proxy"/>
            <wp:cNvGraphicFramePr>
              <a:graphicFrameLocks noChangeAspect="1"/>
            </wp:cNvGraphicFramePr>
            <a:graphic>
              <a:graphicData uri="http://schemas.openxmlformats.org/drawingml/2006/picture">
                <pic:pic>
                  <pic:nvPicPr>
                    <pic:cNvPr id="0" name="fig4_food_raw_cells.png"/>
                    <pic:cNvPicPr/>
                  </pic:nvPicPr>
                  <pic:blipFill>
                    <a:blip r:embed="rId13"/>
                    <a:stretch>
                      <a:fillRect/>
                    </a:stretch>
                  </pic:blipFill>
                  <pic:spPr>
                    <a:xfrm>
                      <a:off x="0" y="0"/>
                      <a:ext cx="6035040" cy="2643997"/>
                    </a:xfrm>
                    <a:prstGeom prst="rect"/>
                  </pic:spPr>
                </pic:pic>
              </a:graphicData>
            </a:graphic>
          </wp:inline>
        </w:drawing>
      </w:r>
    </w:p>
    <w:p>
      <w:pPr>
        <w:spacing w:line="252" w:lineRule="auto"/>
        <w:ind w:firstLine="0"/>
        <w:jc w:val="left"/>
      </w:pPr>
      <w:r>
        <w:rPr>
          <w:b w:val="0"/>
          <w:sz w:val="20"/>
        </w:rPr>
        <w:t>Figure 4. The Food sharp-prediction diagnostic. Outcome: frequency of above-75% responses. G = 1 means the six-month food-band lower bound exceeds RMB 5,000; G = 0 fails that proxy. Panel Ns are 815 and 2,806 adult Cash/Food respondents. The sharp prediction is a negative Food–Cash size gradient in G = 0; the observed gradient is positive. Whiskers reproduce the pointwise normal-binomial cell intervals used in the earlier figure, without new inference. Proxy error and substitution limit interpretation.</w:t>
      </w:r>
    </w:p>
    <w:p>
      <w:r>
        <w:rPr>
          <w:b w:val="0"/>
        </w:rPr>
        <w:t>The full ratio-only diagnostic asks a different question: can amount relative to food expenditure organize the response? It imposes two restrictions, on the common and form-dependent amount/expenditure coefficients together. Under the two fixed food-band mappings, the highest-category tests have Holm6 p values of 0.0426 and 0.0437; the other four restrictions reject more strongly. An earlier one-restriction nonrejection cannot support this full model. These results challenge specified simple accounts, not all models of binding constraints, substitution or expenditure-normalized behavior.</w:t>
      </w:r>
    </w:p>
    <w:p>
      <w:pPr>
        <w:pStyle w:val="Heading2"/>
      </w:pPr>
      <w:r>
        <w:t>6.5 Category need as a more flexible account</w:t>
      </w:r>
    </w:p>
    <w:p>
      <w:r>
        <w:rPr>
          <w:b w:val="0"/>
        </w:rPr>
        <w:t>Medical's offsetting frequencies naturally raise the possibility that households differ in eligible needs: some may see additional useful spending while others anticipate substitution for planned expenses. Food's redistribution could similarly reflect differing routine expenditure. To examine a related gradient without treating the historical binary proxy as truth, the fixed continuous analysis standardizes the ordered food-expenditure band among 3,621 adult Cash/Food respondents.</w:t>
      </w:r>
    </w:p>
    <w:p>
      <w:r>
        <w:rPr>
          <w:b w:val="0"/>
        </w:rPr>
        <w:t>The highest-category Food–Cash size-gradient moderation is +0.29 points per standard deviation, with a 95% interval of −2.33 to 2.91. Adjustment for mapped log income and ordered household size gives +0.44 [−2.29, 3.17]. All six focal continuous tests have Holm6 p = 1. The nominal 80% minimum detectable effect for the unadjusted highest-category coefficient is 3.75 points per standard deviation, rising to 4.65 with the six-test adjustment. Across the observed 10th–90th band span, the coefficient interval permits gradient changes from −6.00 to +7.49 points, large relative to the Cash slope of −4.05 points per step.</w:t>
      </w:r>
    </w:p>
    <w:p>
      <w:r>
        <w:rPr>
          <w:b w:val="0"/>
        </w:rPr>
        <w:t>Category need thus does not provide a sufficient organizing account supported by these measured proxies, but it remains a plausible contributor. The Food confidence interval is broad, and the historical medical-need moderator is also imprecise. No direct measure identifies the needs responsible for Medical's offsets. These diagnostics neither rule out category needs nor quantify a causal fraction of the pattern explained; their main contribution is to show what the current measurements cannot distinguish.</w:t>
      </w:r>
    </w:p>
    <w:p>
      <w:pPr>
        <w:pStyle w:val="Heading2"/>
      </w:pPr>
      <w:r>
        <w:t>6.6 Relative resources income and liquidity</w:t>
      </w:r>
    </w:p>
    <w:p>
      <w:r>
        <w:rPr>
          <w:b w:val="0"/>
        </w:rPr>
        <w:t>The relative-resource intuition is that RMB 5,000 may be large for one household and modest for another. If amount relative to income organizes the puzzles, it should offer a parsimonious improvement over nominal size, rather than merely adding flexible predictors. The historical adult restrictions reject a pure nominal-only specification within their seven-test family; the pure relative-income restriction and income three-way interaction do not retain corrected evidence. That combination does not establish a ratio law.</w:t>
      </w:r>
    </w:p>
    <w:p>
      <w:r>
        <w:rPr>
          <w:b w:val="0"/>
        </w:rPr>
        <w:t>The fixed-fold prediction comparison is more directly informative about usefulness: relative rather than nominal scaling improves highest-category prediction by about 0.12%–0.17% under the two income mappings. These small gains do not demonstrate substantive superiority, and they differ from the gain of a more flexible unrestricted model. Relative resources therefore do not parsimoniously organize the three puzzles on the available evidence. Income mapping and proxy quality leave broader resource-dependent behavior unresolved.</w:t>
      </w:r>
    </w:p>
    <w:p>
      <w:r>
        <w:rPr>
          <w:b w:val="0"/>
        </w:rPr>
        <w:t>Income rank and emergency fundraising capacity are descriptive correlates, not positive controls validating the instrument. The historical income association has the opposite sign to the generic validation prediction, while emergency capacity is marginal after correction. Cash size is the studied treatment and cannot supply an independent positive control. The corresponding moderator intervals permit meaningful heterogeneity. These results inform interpretation without converting an unexpected association or a nonrejection into a test of survey validity.</w:t>
      </w:r>
    </w:p>
    <w:p>
      <w:pPr>
        <w:pStyle w:val="Heading2"/>
      </w:pPr>
      <w:r>
        <w:t>6.7 Observable types response style and precision</w:t>
      </w:r>
    </w:p>
    <w:p>
      <w:r>
        <w:rPr>
          <w:b w:val="0"/>
        </w:rPr>
        <w:t>An alternative is that the observed patterns are concentrated among particular respondent types or answer styles. The historical broad observable screen did not identify a stable moderator under its original corrections and cross-fit diagnostics. Its repeated representations, dependent held-out summaries and occasional sparse-cell failures prevent a claim that the behavior is universal. The screen also used an earlier pooled restricted-form contrast; it is not a direct explanation of the separate Food and Medical paths.</w:t>
      </w:r>
    </w:p>
    <w:p>
      <w:r>
        <w:rPr>
          <w:b w:val="0"/>
        </w:rPr>
        <w:t>Q1 and Q2 select variation across 15 attitude items numbered before the scenario. They are response-style screens, not validated comprehension checks, and deployed sequence still requires confirmation. Both passed and failed groups are retained in the supplement. Their historical highest-category joint interaction p values are 0.927 and 0.994, but the strict screen retains only 1,208 adults and has wide intervals. Passing and failing are not established equivalent. Age-by-education calibration is feasible but unstable: uncapped weights have effective N about 315 and maximum weight 51.2; capping at 10 raises effective N to 1,191 while leaving a 16.5-point maximum target discrepancy. It cannot turn the sample into a nationally representative one.</w:t>
      </w:r>
    </w:p>
    <w:p>
      <w:r>
        <w:rPr>
          <w:b w:val="0"/>
        </w:rPr>
        <w:t>Table 4 summarizes the resulting evidence hierarchy. The diagnostics restrict how the puzzles can be narrated: a particular Food prediction has the wrong sign, a simple scale description is useful but nonstructural, and several broader explanations remain weakly distinguished. They do not select a single mechanism by elimination.</w:t>
      </w:r>
    </w:p>
    <w:p>
      <w:pPr>
        <w:keepNext/>
        <w:spacing w:line="252" w:lineRule="auto"/>
        <w:ind w:firstLine="0"/>
        <w:jc w:val="left"/>
      </w:pPr>
      <w:r>
        <w:rPr>
          <w:b/>
          <w:sz w:val="20"/>
        </w:rPr>
        <w:t>Table 4. Predictions diagnostics and remaining uncertainty</w:t>
      </w:r>
    </w:p>
    <w:tbl>
      <w:tblPr>
        <w:tblW w:type="auto" w:w="0"/>
        <w:jc w:val="center"/>
        <w:tblLayout w:type="fixed"/>
        <w:tblLook w:firstColumn="1" w:firstRow="1" w:lastColumn="0" w:lastRow="0" w:noHBand="0" w:noVBand="1" w:val="04A0"/>
      </w:tblPr>
      <w:tblGrid>
        <w:gridCol w:w="1930"/>
        <w:gridCol w:w="3499"/>
        <w:gridCol w:w="4090"/>
      </w:tblGrid>
      <w:tr>
        <w:trPr>
          <w:cantSplit/>
          <w:tblHeader/>
        </w:trPr>
        <w:tc>
          <w:tcPr>
            <w:tcW w:type="dxa" w:w="193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Account</w:t>
            </w:r>
          </w:p>
        </w:tc>
        <w:tc>
          <w:tcPr>
            <w:tcW w:type="dxa" w:w="34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Empirical clue or diagnostic</w:t>
            </w:r>
          </w:p>
        </w:tc>
        <w:tc>
          <w:tcPr>
            <w:tcW w:type="dxa" w:w="40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What follows</w:t>
            </w:r>
          </w:p>
        </w:tc>
      </w:tr>
      <w:tr>
        <w:trPr>
          <w:cantSplit/>
        </w:trPr>
        <w:tc>
          <w:tcPr>
            <w:tcW w:type="dxa" w:w="193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Standard smoothing</w:t>
            </w:r>
          </w:p>
        </w:tc>
        <w:tc>
          <w:tcPr>
            <w:tcW w:type="dxa" w:w="34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Cash midpoint and top-category trends survive correction</w:t>
            </w:r>
          </w:p>
        </w:tc>
        <w:tc>
          <w:tcPr>
            <w:tcW w:type="dxa" w:w="40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Compatible benchmark; does not uniquely predict the joint pattern</w:t>
            </w:r>
          </w:p>
        </w:tc>
      </w:tr>
      <w:tr>
        <w:trPr>
          <w:cantSplit/>
        </w:trPr>
        <w:tc>
          <w:tcPr>
            <w:tcW w:type="dxa" w:w="193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Scale and affine response</w:t>
            </w:r>
          </w:p>
        </w:tc>
        <w:tc>
          <w:tcPr>
            <w:tcW w:type="dxa" w:w="34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Close incremental point estimates; uncertain slope contrasts</w:t>
            </w:r>
          </w:p>
        </w:tc>
        <w:tc>
          <w:tcPr>
            <w:tcW w:type="dxa" w:w="40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Descriptive bridge; no equivalence or structural MPC</w:t>
            </w:r>
          </w:p>
        </w:tc>
      </w:tr>
      <w:tr>
        <w:trPr>
          <w:cantSplit/>
        </w:trPr>
        <w:tc>
          <w:tcPr>
            <w:tcW w:type="dxa" w:w="193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Bottom accumulation</w:t>
            </w:r>
          </w:p>
        </w:tc>
        <w:tc>
          <w:tcPr>
            <w:tcW w:type="dxa" w:w="34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Cash bottom 27.35% to 27.41%</w:t>
            </w:r>
          </w:p>
        </w:tc>
        <w:tc>
          <w:tcPr>
            <w:tcW w:type="dxa" w:w="40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Does not account arithmetically for Cash's decline</w:t>
            </w:r>
          </w:p>
        </w:tc>
      </w:tr>
      <w:tr>
        <w:trPr>
          <w:cantSplit/>
        </w:trPr>
        <w:tc>
          <w:tcPr>
            <w:tcW w:type="dxa" w:w="193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Sharp Food bindingness</w:t>
            </w:r>
          </w:p>
        </w:tc>
        <w:tc>
          <w:tcPr>
            <w:tcW w:type="dxa" w:w="34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G = 0 Food–Cash gradient +8.00 points</w:t>
            </w:r>
          </w:p>
        </w:tc>
        <w:tc>
          <w:tcPr>
            <w:tcW w:type="dxa" w:w="40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Opposite to the sharp negative prediction under the proxy</w:t>
            </w:r>
          </w:p>
        </w:tc>
      </w:tr>
      <w:tr>
        <w:trPr>
          <w:cantSplit/>
        </w:trPr>
        <w:tc>
          <w:tcPr>
            <w:tcW w:type="dxa" w:w="193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Category need</w:t>
            </w:r>
          </w:p>
        </w:tc>
        <w:tc>
          <w:tcPr>
            <w:tcW w:type="dxa" w:w="34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Food moderation interval −2.33 to +2.91 points per SD</w:t>
            </w:r>
          </w:p>
        </w:tc>
        <w:tc>
          <w:tcPr>
            <w:tcW w:type="dxa" w:w="40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Meaningful moderation remains compatible</w:t>
            </w:r>
          </w:p>
        </w:tc>
      </w:tr>
      <w:tr>
        <w:trPr>
          <w:cantSplit/>
        </w:trPr>
        <w:tc>
          <w:tcPr>
            <w:tcW w:type="dxa" w:w="193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Relative resources</w:t>
            </w:r>
          </w:p>
        </w:tc>
        <w:tc>
          <w:tcPr>
            <w:tcW w:type="dxa" w:w="34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Held-out relative-scale gain 0.12%–0.17%</w:t>
            </w:r>
          </w:p>
        </w:tc>
        <w:tc>
          <w:tcPr>
            <w:tcW w:type="dxa" w:w="40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No compelling parsimonious organization of the three puzzles</w:t>
            </w:r>
          </w:p>
        </w:tc>
      </w:tr>
      <w:tr>
        <w:trPr>
          <w:cantSplit/>
        </w:trPr>
        <w:tc>
          <w:tcPr>
            <w:tcW w:type="dxa" w:w="193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Observable types</w:t>
            </w:r>
          </w:p>
        </w:tc>
        <w:tc>
          <w:tcPr>
            <w:tcW w:type="dxa" w:w="34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Broad screens and Q1/Q2 do not give stable separation</w:t>
            </w:r>
          </w:p>
        </w:tc>
        <w:tc>
          <w:tcPr>
            <w:tcW w:type="dxa" w:w="40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Precision and selection prevent homogeneity claims</w:t>
            </w:r>
          </w:p>
        </w:tc>
      </w:tr>
    </w:tbl>
    <w:p>
      <w:pPr>
        <w:spacing w:after="0" w:before="0" w:line="40" w:lineRule="exact"/>
        <w:ind w:firstLine="0"/>
      </w:pPr>
    </w:p>
    <w:p>
      <w:pPr>
        <w:spacing w:line="252" w:lineRule="auto"/>
        <w:ind w:firstLine="0"/>
        <w:jc w:val="left"/>
      </w:pPr>
      <w:r>
        <w:rPr>
          <w:b w:val="0"/>
          <w:sz w:val="20"/>
        </w:rPr>
        <w:t>Note: Rows have different estimands and correction families. They cannot be combined into a joint mechanism-exclusion test. Supplement S7 preserves scalar MDEs, compatible ranges and joint tests with no unique scalar MDE.</w:t>
      </w:r>
    </w:p>
    <w:p>
      <w:pPr>
        <w:pStyle w:val="Heading1"/>
      </w:pPr>
      <w:r>
        <w:t>7 A unified behavioral interpretation</w:t>
      </w:r>
    </w:p>
    <w:p>
      <w:pPr>
        <w:pStyle w:val="Heading2"/>
      </w:pPr>
      <w:r>
        <w:t>7.1 Resource categorization across small and large transfers</w:t>
      </w:r>
    </w:p>
    <w:p>
      <w:r>
        <w:rPr>
          <w:b w:val="0"/>
        </w:rPr>
        <w:t>The joint pattern suggests a hypothesis about the allocation problem a transfer evokes. Small Cash may be perceived as readily spendable on current purchases, generating a relatively large group choosing the highest share. A larger cash receipt may instead invite allocation across present consumption, saving, debt and future needs. In this candidate account, size changes how an unrestricted resource is categorized, reducing the relative appeal of spending almost all of it. This is consistent with Cash's upper-category contraction and stable bottom frequency, although those facts also admit nonpsychological explanations.</w:t>
      </w:r>
    </w:p>
    <w:p>
      <w:r>
        <w:rPr>
          <w:b w:val="0"/>
        </w:rPr>
        <w:t>Food and Medical enter with purposes already attached. The additional categorization induced by increasing amount could then be weaker, making their mean paths less steep than Cash's. Food's intermediate path and Medical's persistent balance are compatible with this interpretation. Medical's mean flatness need not require every respondent to have an invariant allocation: differing needs and substitution possibilities could produce offsetting category frequencies. That extension connects the account to the distributional evidence, but it is not a unique prediction or a measured process. It would be possible to fit many heterogeneous stories to nine cells without identifying any of them.</w:t>
      </w:r>
    </w:p>
    <w:p>
      <w:r>
        <w:rPr>
          <w:b w:val="0"/>
        </w:rPr>
        <w:t>The potential contribution is the link between small-transfer differences and large-transfer allocation. Mean convergence may reflect a contraction of the distinctively high small-Cash response rather than all forms becoming behaviorally identical. The remaining large-amount differences at the bottom and top are relevant to this hypothesis, as are the uncertain incremental slopes. Perceived spendability should therefore denote an unmeasured candidate construct, not a relabeling of the midpoint score or an established mediator.</w:t>
      </w:r>
    </w:p>
    <w:p>
      <w:pPr>
        <w:pStyle w:val="Heading2"/>
      </w:pPr>
      <w:r>
        <w:t>7.2 Predictions for a discriminating follow-up</w:t>
      </w:r>
    </w:p>
    <w:p>
      <w:r>
        <w:rPr>
          <w:b w:val="0"/>
        </w:rPr>
        <w:t>A follow-up could distinguish this account by fixing the consumption horizon and independently varying eligible-use restrictions, labels, expiry and liquidity. Direct measures would ask how recipients assign the resource to current purchases, savings, debt and future needs, alongside perceived spendability and intended use. With real transfers and transaction outcomes, one could test whether changing categorization precedes and mediates a change in allocation. Such a design would separate a psychological account from a voucher that is simply difficult to redeem or a medical balance intended for later care.</w:t>
      </w:r>
    </w:p>
    <w:p>
      <w:r>
        <w:rPr>
          <w:b w:val="0"/>
        </w:rPr>
        <w:t>The specific prospective prediction is that the small-Cash high-response group should be sensitive to a manipulation that assigns an otherwise unrestricted receipt to a broader future budget, while an already earmarked resource may respond differently to the same manipulation. Medical's offsets further predict that an informative design should record both current eligible needs and anticipated future use, rather than treating its flat mean as absence of heterogeneity. These are proposals for new data, not additional tests performed on the present sample. They would require their own prospective outcomes, comparison family and power analysis.</w:t>
      </w:r>
    </w:p>
    <w:p>
      <w:pPr>
        <w:pStyle w:val="Heading1"/>
      </w:pPr>
      <w:r>
        <w:t>8 Discussion</w:t>
      </w:r>
    </w:p>
    <w:p>
      <w:r>
        <w:rPr>
          <w:b w:val="0"/>
        </w:rPr>
        <w:t>The experiment makes three contributions within the scope of a stated-response design. First, it brings the form of a resource into a question usually organized around the size of a cash windfall. The observed contrast is not simply a falling Cash share: Food falls less, Medical is almost flat, and the initially large mean gaps shrink. These features motivate a unified behavioral question even though the corrected interaction evidence remains uncertain.</w:t>
      </w:r>
    </w:p>
    <w:p>
      <w:r>
        <w:rPr>
          <w:b w:val="0"/>
        </w:rPr>
        <w:t>Second, the distributional comparison changes what needs explaining. Cash's top contraction, Food's broader redistribution and Medical's offsets are different paths to closer means. A flat mean is therefore a poor substitute for inspecting categories, just as converging means are a poor substitute for distributional identity. The decomposition does not identify individual transitions or spending participation. It identifies the arithmetic features that a subsequent explanation should confront.</w:t>
      </w:r>
    </w:p>
    <w:p>
      <w:r>
        <w:rPr>
          <w:b w:val="0"/>
        </w:rPr>
        <w:t>Third, the share–yuan distinction matters for transfer design. A smaller share of a larger receipt can accompany much greater additional implied yuan, and similar high-interval point estimates need not establish equal responses. Results from this survey cannot rank the welfare or aggregate stimulus effects of cash, food vouchers and medical balances. They can motivate measuring total additional expenditure, category expenditure, substitution and timing together, rather than using a single share as a complete policy statistic.</w:t>
      </w:r>
    </w:p>
    <w:p>
      <w:r>
        <w:rPr>
          <w:b w:val="0"/>
        </w:rPr>
        <w:t>The limitations also indicate where new evidence would be most valuable. The answers are hypothetical and unincentivized, use approximate bins and lack a common explicit spending horizon. Form changes several attributes at once. The sample's recruitment and fieldwork records require verification, and calibration does not establish representativeness. Revision-stage families disclose analytic choice but do not turn earlier exploration into preregistration. Confidence intervals allow consequential cross-form differences and moderator effects that this sample cannot settle. These limits support replication with direct allocations and realized outcomes, rather than stronger causal language for the same evidence.</w:t>
      </w:r>
    </w:p>
    <w:p>
      <w:r>
        <w:rPr>
          <w:b w:val="0"/>
        </w:rPr>
        <w:t>Resource categorization is a coherent way to connect the three puzzles, not the conclusion of a completed mechanism test. The most secure result is narrower: within this instrument, Cash's midpoint share and highest-response frequency decline after accounting for the expanded family, while the other observed distributions reveal why means alone leave important economic questions hidden. The next empirical step is to test that joint interpretation under a common horizon and independently varied resource attributes. Throughout, a finite-windfall share, a finite incremental implied-yuan response and a local marginal propensity to consume remain distinct objects.</w:t>
      </w:r>
    </w:p>
    <w:p>
      <w:pPr>
        <w:pStyle w:val="Heading1"/>
      </w:pPr>
      <w:r>
        <w:t>Author declarations</w:t>
      </w:r>
    </w:p>
    <w:p>
      <w:r>
        <w:rPr>
          <w:b w:val="0"/>
        </w:rPr>
        <w:t>Author identities, affiliations, recruitment and ethics statements, funding, competing interests and CRediT contributions are pending verified author information. Data availability: aggregate source tables and reproducible materials accompany this draft; access to respondent-level records is subject to confirmation of consent and sharing permissions. These draft declarations require completion before submission.</w:t>
      </w:r>
    </w:p>
    <w:p>
      <w:pPr>
        <w:pStyle w:val="Heading1"/>
      </w:pPr>
      <w:r>
        <w:t>Declaration of generative AI and AI-assisted technologies in the manuscript preparation process</w:t>
      </w:r>
    </w:p>
    <w:p>
      <w:r>
        <w:rPr>
          <w:b w:val="0"/>
        </w:rPr>
        <w:t>OpenAI ChatGPT/Codex supported literature checking, drafting, revision and preparation of analysis scripts. Statistical outputs were computed with Python libraries; this revision reuses those results and redraws aggregate figures. Human author review, editing and confirmation of responsibility remain pending before submission.</w:t>
      </w:r>
    </w:p>
    <w:p>
      <w:pPr>
        <w:pStyle w:val="Heading1"/>
      </w:pPr>
      <w:r>
        <w:t>References</w:t>
      </w:r>
    </w:p>
    <w:p>
      <w:pPr>
        <w:spacing w:line="252" w:lineRule="auto"/>
        <w:ind w:left="283" w:hanging="283"/>
        <w:jc w:val="left"/>
      </w:pPr>
      <w:r>
        <w:rPr>
          <w:b w:val="0"/>
          <w:sz w:val="20"/>
        </w:rPr>
        <w:t>Abeler, J., Marklein, F., 2017. Fungibility, Labels, and Consumption. Journal of the European Economic Association 15, 99-127. https://doi.org/10.1093/jeea/jvw007</w:t>
      </w:r>
    </w:p>
    <w:p>
      <w:pPr>
        <w:spacing w:line="252" w:lineRule="auto"/>
        <w:ind w:left="283" w:hanging="283"/>
        <w:jc w:val="left"/>
      </w:pPr>
      <w:r>
        <w:rPr>
          <w:b w:val="0"/>
          <w:sz w:val="20"/>
        </w:rPr>
        <w:t>Andreolli, M., Surico, P., 2026. ‘Less Is More’: Consumer Spending and the Size of Economic Stimulus Payments. American Economic Journal: Macroeconomics 18, 34-68. https://doi.org/10.1257/mac.20220169</w:t>
      </w:r>
    </w:p>
    <w:p>
      <w:pPr>
        <w:spacing w:line="252" w:lineRule="auto"/>
        <w:ind w:left="283" w:hanging="283"/>
        <w:jc w:val="left"/>
      </w:pPr>
      <w:r>
        <w:rPr>
          <w:b w:val="0"/>
          <w:sz w:val="20"/>
        </w:rPr>
        <w:t>Bernard, R., 2023. Mental Accounting and the Marginal Propensity to Consume. Deutsche Bundesbank Discussion Paper, 13/2023. https://www.bundesbank.de/en/publications/research/discussion-papers/mental-accounting-and-the-marginal-propensity-to-consume-909438</w:t>
      </w:r>
    </w:p>
    <w:p>
      <w:pPr>
        <w:spacing w:line="252" w:lineRule="auto"/>
        <w:ind w:left="283" w:hanging="283"/>
        <w:jc w:val="left"/>
      </w:pPr>
      <w:r>
        <w:rPr>
          <w:b w:val="0"/>
          <w:sz w:val="20"/>
        </w:rPr>
        <w:t>Boehm, J., Fize, E., Jaravel, X., 2025. Five Facts about MPCs: Evidence from a Randomized Experiment. American Economic Review 115, 1-42. https://doi.org/10.1257/aer.20240138</w:t>
      </w:r>
    </w:p>
    <w:p>
      <w:pPr>
        <w:spacing w:line="252" w:lineRule="auto"/>
        <w:ind w:left="283" w:hanging="283"/>
        <w:jc w:val="left"/>
      </w:pPr>
      <w:r>
        <w:rPr>
          <w:b w:val="0"/>
          <w:sz w:val="20"/>
        </w:rPr>
        <w:t>Bonomo, T., Ruffini, K., Schanzenbach, D.W., 2026. Is a Dollar a Dollar? How Transfer Design Shapes Household Spending. NBER Working Paper, 35698. https://doi.org/10.3386/w35698</w:t>
      </w:r>
    </w:p>
    <w:p>
      <w:pPr>
        <w:spacing w:line="252" w:lineRule="auto"/>
        <w:ind w:left="283" w:hanging="283"/>
        <w:jc w:val="left"/>
      </w:pPr>
      <w:r>
        <w:rPr>
          <w:b w:val="0"/>
          <w:sz w:val="20"/>
        </w:rPr>
        <w:t>Crossley, T.F., Fisher, P., Levell, P., Low, H., 2026. Eliciting the marginal propensity to consume in surveys. Federal Reserve Bank of Chicago Working Paper, 2026-04. https://www.chicagofed.org/publications/working-papers/2026/2026-04</w:t>
      </w:r>
    </w:p>
    <w:p>
      <w:pPr>
        <w:spacing w:line="252" w:lineRule="auto"/>
        <w:ind w:left="283" w:hanging="283"/>
        <w:jc w:val="left"/>
      </w:pPr>
      <w:r>
        <w:rPr>
          <w:b w:val="0"/>
          <w:sz w:val="20"/>
        </w:rPr>
        <w:t>Cunha, J.M., 2014. Testing Paternalism: Cash versus In-Kind Transfers. American Economic Journal: Applied Economics 6, 195-230. https://doi.org/10.1257/app.6.2.195</w:t>
      </w:r>
    </w:p>
    <w:p>
      <w:pPr>
        <w:spacing w:line="252" w:lineRule="auto"/>
        <w:ind w:left="283" w:hanging="283"/>
        <w:jc w:val="left"/>
      </w:pPr>
      <w:r>
        <w:rPr>
          <w:b w:val="0"/>
          <w:sz w:val="20"/>
        </w:rPr>
        <w:t>Fagereng, A., Holm, M.B., Natvik, G.J., 2021. MPC Heterogeneity and Household Balance Sheets. American Economic Journal: Macroeconomics 13, 1-54. https://doi.org/10.1257/mac.20190211</w:t>
      </w:r>
    </w:p>
    <w:p>
      <w:pPr>
        <w:spacing w:line="252" w:lineRule="auto"/>
        <w:ind w:left="283" w:hanging="283"/>
        <w:jc w:val="left"/>
      </w:pPr>
      <w:r>
        <w:rPr>
          <w:b w:val="0"/>
          <w:sz w:val="20"/>
        </w:rPr>
        <w:t>Friedman, M., 1957. A Theory of the Consumption Function. Princeton University Press. https://www.nber.org/books-and-chapters/theory-consumption-function/permanent-income-hypothesis</w:t>
      </w:r>
    </w:p>
    <w:p>
      <w:pPr>
        <w:spacing w:line="252" w:lineRule="auto"/>
        <w:ind w:left="283" w:hanging="283"/>
        <w:jc w:val="left"/>
      </w:pPr>
      <w:r>
        <w:rPr>
          <w:b w:val="0"/>
          <w:sz w:val="20"/>
        </w:rPr>
        <w:t>Fuster, A., Kaplan, G., Zafar, B., 2021. What Would You Do with $500? Spending Responses to Gains, Losses, News, and Loans. The Review of Economic Studies 88, 1760-1795. https://doi.org/10.1093/restud/rdaa076</w:t>
      </w:r>
    </w:p>
    <w:p>
      <w:pPr>
        <w:spacing w:line="252" w:lineRule="auto"/>
        <w:ind w:left="283" w:hanging="283"/>
        <w:jc w:val="left"/>
      </w:pPr>
      <w:r>
        <w:rPr>
          <w:b w:val="0"/>
          <w:sz w:val="20"/>
        </w:rPr>
        <w:t>Hastings, J., Shapiro, J.M., 2018. How Are SNAP Benefits Spent? Evidence from a Retail Panel. American Economic Review 108, 3493-3540. https://doi.org/10.1257/aer.20170866</w:t>
      </w:r>
    </w:p>
    <w:p>
      <w:pPr>
        <w:spacing w:line="252" w:lineRule="auto"/>
        <w:ind w:left="283" w:hanging="283"/>
        <w:jc w:val="left"/>
      </w:pPr>
      <w:r>
        <w:rPr>
          <w:b w:val="0"/>
          <w:sz w:val="20"/>
        </w:rPr>
        <w:t>Heath, C., Soll, J.B., 1996. Mental Budgeting and Consumer Decisions. Journal of Consumer Research 23, 40-52. https://doi.org/10.1086/209465</w:t>
      </w:r>
    </w:p>
    <w:p>
      <w:pPr>
        <w:spacing w:line="252" w:lineRule="auto"/>
        <w:ind w:left="283" w:hanging="283"/>
        <w:jc w:val="left"/>
      </w:pPr>
      <w:r>
        <w:rPr>
          <w:b w:val="0"/>
          <w:sz w:val="20"/>
        </w:rPr>
        <w:t>Jappelli, T., Pistaferri, L., 2010. The Consumption Response to Income Changes. Annual Review of Economics 2, 479-506. https://doi.org/10.1146/annurev.economics.050708.142933</w:t>
      </w:r>
    </w:p>
    <w:p>
      <w:pPr>
        <w:spacing w:line="252" w:lineRule="auto"/>
        <w:ind w:left="283" w:hanging="283"/>
        <w:jc w:val="left"/>
      </w:pPr>
      <w:r>
        <w:rPr>
          <w:b w:val="0"/>
          <w:sz w:val="20"/>
        </w:rPr>
        <w:t>Jappelli, T., Savoia, E., Sciacchetano, A., 2026. Intertemporal MPC and shock size. European Economic Review 186, 105303. https://doi.org/10.1016/j.euroecorev.2026.105303</w:t>
      </w:r>
    </w:p>
    <w:p>
      <w:pPr>
        <w:spacing w:line="252" w:lineRule="auto"/>
        <w:ind w:left="283" w:hanging="283"/>
        <w:jc w:val="left"/>
      </w:pPr>
      <w:r>
        <w:rPr>
          <w:b w:val="0"/>
          <w:sz w:val="20"/>
        </w:rPr>
        <w:t>Kan, K., Peng, S., Wang, P., 2017. Understanding Consumption Behavior: Evidence from Consumers' Reaction to Shopping Vouchers. American Economic Journal: Economic Policy 9, 137-153. https://doi.org/10.1257/pol.20130426</w:t>
      </w:r>
    </w:p>
    <w:p>
      <w:pPr>
        <w:spacing w:line="252" w:lineRule="auto"/>
        <w:ind w:left="283" w:hanging="283"/>
        <w:jc w:val="left"/>
      </w:pPr>
      <w:r>
        <w:rPr>
          <w:b w:val="0"/>
          <w:sz w:val="20"/>
        </w:rPr>
        <w:t>Kaplan, G., Violante, G.L., 2022. The Marginal Propensity to Consume in Heterogeneous Agent Models. Annual Review of Economics 14, 747-775. https://doi.org/10.1146/annurev-economics-080217-053444</w:t>
      </w:r>
    </w:p>
    <w:p>
      <w:pPr>
        <w:spacing w:line="252" w:lineRule="auto"/>
        <w:ind w:left="283" w:hanging="283"/>
        <w:jc w:val="left"/>
      </w:pPr>
      <w:r>
        <w:rPr>
          <w:b w:val="0"/>
          <w:sz w:val="20"/>
        </w:rPr>
        <w:t>Kooreman, P., 2000. The Labeling Effect of a Child Benefit System. American Economic Review 90, 571-583. https://doi.org/10.1257/aer.90.3.571</w:t>
      </w:r>
    </w:p>
    <w:p>
      <w:pPr>
        <w:spacing w:line="252" w:lineRule="auto"/>
        <w:ind w:left="283" w:hanging="283"/>
        <w:jc w:val="left"/>
      </w:pPr>
      <w:r>
        <w:rPr>
          <w:b w:val="0"/>
          <w:sz w:val="20"/>
        </w:rPr>
        <w:t>Lee, J.N., Morduch, J., Ravindran, S., Shonchoy, A.S., 2024. The social meaning of mobile money: Earmarking reduces the willingness to spend in migrant households. Journal of Economic Behavior &amp; Organization 221, 675-688. https://doi.org/10.1016/j.jebo.2024.04.023</w:t>
      </w:r>
    </w:p>
    <w:p>
      <w:pPr>
        <w:spacing w:line="252" w:lineRule="auto"/>
        <w:ind w:left="283" w:hanging="283"/>
        <w:jc w:val="left"/>
      </w:pPr>
      <w:r>
        <w:rPr>
          <w:b w:val="0"/>
          <w:sz w:val="20"/>
        </w:rPr>
        <w:t>Parker, J.A., Souleles, N.S., 2019. Reported Effects versus Revealed-Preference Estimates: Evidence from the Propensity to Spend Tax Rebates. American Economic Review: Insights 1, 273-290. https://doi.org/10.1257/aeri.20180333</w:t>
      </w:r>
    </w:p>
    <w:p>
      <w:pPr>
        <w:spacing w:line="252" w:lineRule="auto"/>
        <w:ind w:left="283" w:hanging="283"/>
        <w:jc w:val="left"/>
      </w:pPr>
      <w:r>
        <w:rPr>
          <w:b w:val="0"/>
          <w:sz w:val="20"/>
        </w:rPr>
        <w:t>Pauls, T., Laudi, M., 2025. Temporal framing of tax stimuli and household consumption. Journal of Economic Behavior &amp; Organization 235, 107079. https://doi.org/10.1016/j.jebo.2025.107079</w:t>
      </w:r>
    </w:p>
    <w:p>
      <w:pPr>
        <w:spacing w:line="252" w:lineRule="auto"/>
        <w:ind w:left="283" w:hanging="283"/>
        <w:jc w:val="left"/>
      </w:pPr>
      <w:r>
        <w:rPr>
          <w:b w:val="0"/>
          <w:sz w:val="20"/>
        </w:rPr>
        <w:t>Shapiro, M.D., Slemrod, J., 2003. Consumer Response to Tax Rebates. American Economic Review 93, 381-396. https://doi.org/10.1257/000282803321455368</w:t>
      </w:r>
    </w:p>
    <w:p>
      <w:pPr>
        <w:spacing w:line="252" w:lineRule="auto"/>
        <w:ind w:left="283" w:hanging="283"/>
        <w:jc w:val="left"/>
      </w:pPr>
      <w:r>
        <w:rPr>
          <w:b w:val="0"/>
          <w:sz w:val="20"/>
        </w:rPr>
        <w:t>Shefrin, H.M., Thaler, R.H., 1988. The behavioral life-cycle hypothesis. Economic Inquiry 26, 609-643. https://doi.org/10.1111/j.1465-7295.1988.tb01520.x</w:t>
      </w:r>
    </w:p>
    <w:p>
      <w:pPr>
        <w:spacing w:line="252" w:lineRule="auto"/>
        <w:ind w:left="283" w:hanging="283"/>
        <w:jc w:val="left"/>
      </w:pPr>
      <w:r>
        <w:rPr>
          <w:b w:val="0"/>
          <w:sz w:val="20"/>
        </w:rPr>
        <w:t>Thaler, R., 1985. Mental Accounting and Consumer Choice. Marketing Science 4, 199-214. https://doi.org/10.1287/mksc.4.3.199</w:t>
      </w:r>
    </w:p>
    <w:p>
      <w:pPr>
        <w:spacing w:line="252" w:lineRule="auto"/>
        <w:ind w:left="283" w:hanging="283"/>
        <w:jc w:val="left"/>
      </w:pPr>
      <w:r>
        <w:rPr>
          <w:b w:val="0"/>
          <w:sz w:val="20"/>
        </w:rPr>
        <w:t>Thaler, R.H., 1999. Mental accounting matters. Journal of Behavioral Decision Making 12, 183-206. https://doi.org/10.1002/(sici)1099-0771(199909)12:3%3C183::aid-bdm318%3E3.0.co;2-f</w:t>
      </w:r>
    </w:p>
    <w:p>
      <w:pPr>
        <w:spacing w:line="252" w:lineRule="auto"/>
        <w:ind w:left="283" w:hanging="283"/>
        <w:jc w:val="left"/>
      </w:pPr>
      <w:r>
        <w:rPr>
          <w:b w:val="0"/>
          <w:sz w:val="20"/>
        </w:rPr>
        <w:t>Ueda, K., 2025. The reality of consumption: Comparing self-reported and observed marginal propensity to consume. Economics Letters 247, 112179. https://doi.org/10.1016/j.econlet.2025.112179</w:t>
      </w:r>
    </w:p>
    <w:sectPr w:rsidR="00FC693F" w:rsidRPr="0006063C" w:rsidSect="00034616">
      <w:footerReference w:type="default" r:id="rId9"/>
      <w:pgSz w:w="11906" w:h="16838"/>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20"/>
      <w:ind w:firstLine="420"/>
      <w:jc w:val="both"/>
    </w:pPr>
    <w:rPr>
      <w:rFonts w:ascii="Times New Roman" w:hAnsi="Times New Roman" w:cs="Times New Roman" w:eastAsia="SimSu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s="Times New Roman" w:eastAsia="SimSu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s="Times New Roman" w:eastAsia="SimSu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64" w:lineRule="auto"/>
      <w:ind w:firstLine="0"/>
      <w:jc w:val="left"/>
      <w:outlineLvl w:val="0"/>
    </w:pPr>
    <w:rPr>
      <w:rFonts w:ascii="Times New Roman" w:hAnsi="Times New Roman" w:cs="Times New Roman" w:eastAsia="SimSu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ind w:firstLine="0"/>
      <w:jc w:val="left"/>
      <w:outlineLvl w:val="1"/>
    </w:pPr>
    <w:rPr>
      <w:rFonts w:ascii="Times New Roman" w:hAnsi="Times New Roman" w:cs="Times New Roman" w:eastAsia="SimSu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264" w:lineRule="auto"/>
      <w:ind w:firstLine="0"/>
      <w:jc w:val="left"/>
      <w:outlineLvl w:val="2"/>
    </w:pPr>
    <w:rPr>
      <w:rFonts w:ascii="Times New Roman" w:hAnsi="Times New Roman" w:cs="Times New Roman" w:eastAsia="SimSu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eastAsia="SimSu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eastAsia="SimSu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eastAsia="SimSu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eastAsia="SimSu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eastAsia="SimSu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eastAsia="SimSu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s="Times New Roman" w:eastAsia="SimSu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64" w:lineRule="auto" w:before="0"/>
      <w:ind w:firstLine="0"/>
      <w:contextualSpacing/>
      <w:jc w:val="left"/>
    </w:pPr>
    <w:rPr>
      <w:rFonts w:ascii="Times New Roman" w:hAnsi="Times New Roman" w:cs="Times New Roman" w:eastAsia="SimSu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SimSu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s="Times New Roman" w:eastAsia="SimSun"/>
      <w:color w:val="000000"/>
    </w:rPr>
  </w:style>
  <w:style w:type="paragraph" w:styleId="BodyText">
    <w:name w:val="Body Text"/>
    <w:basedOn w:val="Normal"/>
    <w:link w:val="BodyTextChar"/>
    <w:uiPriority w:val="99"/>
    <w:unhideWhenUsed/>
    <w:rsid w:val="00AA1D8D"/>
    <w:pPr>
      <w:spacing w:after="120"/>
    </w:pPr>
    <w:rPr>
      <w:rFonts w:ascii="Times New Roman" w:hAnsi="Times New Roman" w:cs="Times New Roman" w:eastAsia="SimSu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s="Times New Roman" w:eastAsia="SimSu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s="Times New Roman" w:eastAsia="SimSu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s="Times New Roman" w:eastAsia="SimSun"/>
      <w:color w:val="000000"/>
    </w:rPr>
  </w:style>
  <w:style w:type="paragraph" w:styleId="List2">
    <w:name w:val="List 2"/>
    <w:basedOn w:val="Normal"/>
    <w:uiPriority w:val="99"/>
    <w:unhideWhenUsed/>
    <w:rsid w:val="00326F90"/>
    <w:pPr>
      <w:ind w:left="720" w:hanging="360"/>
      <w:contextualSpacing/>
    </w:pPr>
    <w:rPr>
      <w:rFonts w:ascii="Times New Roman" w:hAnsi="Times New Roman" w:cs="Times New Roman" w:eastAsia="SimSun"/>
      <w:color w:val="000000"/>
    </w:rPr>
  </w:style>
  <w:style w:type="paragraph" w:styleId="List3">
    <w:name w:val="List 3"/>
    <w:basedOn w:val="Normal"/>
    <w:uiPriority w:val="99"/>
    <w:unhideWhenUsed/>
    <w:rsid w:val="00326F90"/>
    <w:pPr>
      <w:ind w:left="1080" w:hanging="360"/>
      <w:contextualSpacing/>
    </w:pPr>
    <w:rPr>
      <w:rFonts w:ascii="Times New Roman" w:hAnsi="Times New Roman" w:cs="Times New Roman" w:eastAsia="SimSu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SimSu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s="Times New Roman" w:eastAsia="SimSu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s="Times New Roman" w:eastAsia="SimSu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eastAsia="SimSu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s="Times New Roman" w:eastAsia="SimSu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s="Times New Roman" w:eastAsia="SimSu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s="Times New Roman" w:eastAsia="SimSu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s="Times New Roman" w:eastAsia="SimSu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s="Times New Roman" w:eastAsia="SimSu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SimSu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cs="Times New Roman" w:eastAsia="SimSu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SimSu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cs="Times New Roman" w:eastAsia="SimSun"/>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eastAsia="SimSu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Transfer form and the allocation of small and large windfalls</dc:title>
  <dc:subject>Stated spending responses across transfer forms and amounts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