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ind w:left="283" w:hanging="283"/>
        <w:jc w:val="left"/>
      </w:pPr>
      <w:r>
        <w:t>• Cash falls, Food falls less, and Medical stays flat in observed mean shares.</w:t>
      </w:r>
    </w:p>
    <w:p>
      <w:pPr>
        <w:ind w:left="283" w:hanging="283"/>
        <w:jc w:val="left"/>
      </w:pPr>
      <w:r>
        <w:t>• Mean form gaps narrow with amount through different distributional paths.</w:t>
      </w:r>
    </w:p>
    <w:p>
      <w:pPr>
        <w:ind w:left="283" w:hanging="283"/>
        <w:jc w:val="left"/>
      </w:pPr>
      <w:r>
        <w:t>• Cash loses high responses; Medical combines offsetting category changes.</w:t>
      </w:r>
    </w:p>
    <w:p>
      <w:pPr>
        <w:ind w:left="283" w:hanging="283"/>
        <w:jc w:val="left"/>
      </w:pPr>
      <w:r>
        <w:t>• Implied yuan rises strongly while the puzzle concerns allocation shares.</w:t>
      </w:r>
    </w:p>
    <w:p>
      <w:pPr>
        <w:ind w:left="283" w:hanging="283"/>
        <w:jc w:val="left"/>
      </w:pPr>
      <w:r>
        <w:t>• Resource categorization connects the pattern as an unmeasured hypothesis.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  <w:ind w:firstLine="420"/>
      <w:jc w:val="both"/>
    </w:pPr>
    <w:rPr>
      <w:rFonts w:ascii="Times New Roman" w:hAnsi="Times New Roman" w:cs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jc w:val="left"/>
      <w:outlineLvl w:val="0"/>
    </w:pPr>
    <w:rPr>
      <w:rFonts w:ascii="Times New Roman" w:hAnsi="Times New Roman" w:cs="Times New Roma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ind w:firstLine="0"/>
      <w:jc w:val="left"/>
      <w:outlineLvl w:val="1"/>
    </w:pPr>
    <w:rPr>
      <w:rFonts w:ascii="Times New Roman" w:hAnsi="Times New Roman" w:cs="Times New Roma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4" w:lineRule="auto"/>
      <w:ind w:firstLine="0"/>
      <w:jc w:val="left"/>
      <w:outlineLvl w:val="2"/>
    </w:pPr>
    <w:rPr>
      <w:rFonts w:ascii="Times New Roman" w:hAnsi="Times New Roman" w:cs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SimSu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SimSu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SimSu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SimSu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SimSu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SimSu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SimSu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4" w:lineRule="auto" w:before="0"/>
      <w:ind w:firstLine="0"/>
      <w:contextualSpacing/>
      <w:jc w:val="left"/>
    </w:pPr>
    <w:rPr>
      <w:rFonts w:ascii="Times New Roman" w:hAnsi="Times New Roman" w:cs="Times New Roman" w:eastAsia="SimSu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SimSu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SimSu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SimSu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SimSu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SimSu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SimSu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SimSu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SimSu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SimSu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SimSu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SimSu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SimSu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SimSu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SimSu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SimSu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cs="Times New Roman" w:eastAsia="SimSu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SimSu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Stated spending responses across transfer forms and amounts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