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14="http://schemas.microsoft.com/office/word/2010/wordml" xmlns:a="http://schemas.openxmlformats.org/drawingml/2006/main" xmlns:c="http://schemas.openxmlformats.org/drawingml/2006/chart" xmlns:pic="http://schemas.openxmlformats.org/drawingml/2006/picture">
  <w:body>
    <w:p>
      <w:pPr>
        <w:pStyle w:val="Title"/>
      </w:pPr>
      <w:r>
        <w:rPr>
          <w:b/>
        </w:rPr>
        <w:t>Kaffa</w:t>
      </w:r>
    </w:p>
    <w:p>
      <w:pPr>
        <w:jc w:val="center"/>
      </w:pPr>
      <w:r>
        <w:rPr>
          <w:color w:val="8A5A44"/>
          <w:sz w:val="26"/>
          <w:szCs w:val="26"/>
        </w:rPr>
        <w:t>Small-batch, single-origin coffee roasted to order and delivered to your door every two weeks — straight from the birthplace of arabica to your favorite mug.</w:t>
      </w:r>
    </w:p>
    <w:p>
      <w:pPr>
        <w:pStyle w:val="Heading1"/>
      </w:pPr>
      <w:r>
        <w:t>Why Kaffa</w:t>
      </w:r>
    </w:p>
    <w:p>
      <w:r>
        <w:t>At Kaffa, we believe exceptional coffee begins long before it reaches your cup. Every subscription box is sourced directly from single-origin farms in Ethiopia's Kaffa rainforest — the legendary birthplace of arabica — alongside trusted partner cooperatives in Colombia, Guatemala, and Kenya. We pay growers an average of 65% above the Fair Trade baseline, roast in micro-batches within 48 hours of shipping, and stamp every bag with a roast date you can actually trust. The result is coffee so fresh it still carries the perfume of the farm.</w:t>
      </w:r>
    </w:p>
    <w:p>
      <w:r>
        <w:t>But freshness alone isn't why members stay. Kaffa learns your palate from your very first cup: our flavor quiz and brew-profile engine tune each delivery to your preferred roast level, grind size, and brewing method — pour-over, French press, espresso, or cold brew. Skip, pause, or swap anytime with a single tap, and enjoy free carbon-neutral shipping on every box. No lock-in contracts, no stale supermarket beans — just a smarter morning ritual that evolves with your taste.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2340"/>
        <w:gridCol w:w="2340"/>
        <w:gridCol w:w="2340"/>
      </w:tblGrid>
      <w:tr>
        <w:tc>
          <w:p>
            <w:r>
              <w:t>Plan</w:t>
            </w:r>
          </w:p>
        </w:tc>
        <w:tc>
          <w:p>
            <w:r>
              <w:t>Price / Month</w:t>
            </w:r>
          </w:p>
        </w:tc>
        <w:tc>
          <w:p>
            <w:r>
              <w:t>Cups Included</w:t>
            </w:r>
          </w:p>
        </w:tc>
        <w:tc>
          <w:p>
            <w:r>
              <w:t>Best For</w:t>
            </w:r>
          </w:p>
        </w:tc>
      </w:tr>
      <w:tr>
        <w:tc>
          <w:p>
            <w:r>
              <w:t>Discovery</w:t>
            </w:r>
          </w:p>
        </w:tc>
        <w:tc>
          <w:p>
            <w:r>
              <w:t>$12</w:t>
            </w:r>
          </w:p>
        </w:tc>
        <w:tc>
          <w:p>
            <w:r>
              <w:t>4 cups</w:t>
            </w:r>
          </w:p>
        </w:tc>
        <w:tc>
          <w:p>
            <w:r>
              <w:t>First-timers &amp; thoughtful gifts</w:t>
            </w:r>
          </w:p>
        </w:tc>
      </w:tr>
      <w:tr>
        <w:tc>
          <w:p>
            <w:r>
              <w:t>Ritual</w:t>
            </w:r>
          </w:p>
        </w:tc>
        <w:tc>
          <w:p>
            <w:r>
              <w:t>$19</w:t>
            </w:r>
          </w:p>
        </w:tc>
        <w:tc>
          <w:p>
            <w:r>
              <w:t>10 cups</w:t>
            </w:r>
          </w:p>
        </w:tc>
        <w:tc>
          <w:p>
            <w:r>
              <w:t>Everyday home brewers</w:t>
            </w:r>
          </w:p>
        </w:tc>
      </w:tr>
      <w:tr>
        <w:tc>
          <w:p>
            <w:r>
              <w:t>Connoisseur</w:t>
            </w:r>
          </w:p>
        </w:tc>
        <w:tc>
          <w:p>
            <w:r>
              <w:t>$29</w:t>
            </w:r>
          </w:p>
        </w:tc>
        <w:tc>
          <w:p>
            <w:r>
              <w:t>18 cups</w:t>
            </w:r>
          </w:p>
        </w:tc>
        <w:tc>
          <w:p>
            <w:r>
              <w:t>Tasting enthusiasts &amp; hosts</w:t>
            </w:r>
          </w:p>
        </w:tc>
      </w:tr>
      <w:tr>
        <w:tc>
          <w:p>
            <w:r>
              <w:t>Roastery Reserve</w:t>
            </w:r>
          </w:p>
        </w:tc>
        <w:tc>
          <w:p>
            <w:r>
              <w:t>$49</w:t>
            </w:r>
          </w:p>
        </w:tc>
        <w:tc>
          <w:p>
            <w:r>
              <w:t>30 cups</w:t>
            </w:r>
          </w:p>
        </w:tc>
        <w:tc>
          <w:p>
            <w:r>
              <w:t>Small offices &amp; true devotees</w:t>
            </w:r>
          </w:p>
        </w:tc>
      </w:tr>
    </w:tbl>
    <w:p>
      <w:pPr>
        <w:jc w:val="center"/>
      </w:pPr>
      <w:r>
        <w:rPr>
          <w:color w:val="8A5A44"/>
          <w:sz w:val="22"/>
          <w:szCs w:val="22"/>
        </w:rPr>
        <w:t>Subscriber Growth — January to June</w:t>
      </w:r>
    </w:p>
    <w:p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    <w:r>
        <w:drawing>
          <wp:inline distT="0" distB="0" distL="0" distR="0">
            <wp:extent cx="5486400" cy="3200400"/>
            <wp:docPr id="1" name="Subscriber Growth (Jan–Jun)"/>
            <a:graphic>
              <a:graphicData uri="http://schemas.openxmlformats.org/drawingml/2006/chart">
                <c:chart r:id="rId2"/>
              </a:graphicData>
            </a:graphic>
          </wp:inline>
        </w:drawing>
      </w:r>
    </w:p>
    <w:p>
      <w:pPr>
        <w:jc w:val="center"/>
      </w:pPr>
      <w:r>
        <w:rPr>
          <w:b/>
          <w:color w:val="6F4E37"/>
          <w:sz w:val="24"/>
          <w:szCs w:val="24"/>
        </w:rPr>
        <w:t>Ready to upgrade your mornings? Join 6,000+ subscribers today — your first bag ships free at kaffa.coffee</w:t>
      </w:r>
    </w:p>
    <w:sectPr>
      <w:footerReference w:type="default" r:id="rId3"/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Page </w:t>
    </w:r>
    <w:r>
      <w:fldChar w:fldCharType="begin"/>
    </w:r>
    <w:r>
      <w:instrText xml:space="preserve"> PAGE \* DECIMAL </w:instrText>
    </w:r>
    <w:r>
      <w:fldChar w:fldCharType="end"/>
    </w:r>
    <w:r>
      <w:t xml:space="preserve"> of </w:t>
    </w:r>
    <w:r>
      <w:fldChar w:fldCharType="begin"/>
    </w:r>
    <w:r>
      <w:instrText xml:space="preserve"> NUMPAGES \* DECIMAL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Pr>
      <w:b/>
      <w:color w:val="0F172A"/>
      <w:sz w:val="48"/>
    </w:rPr>
  </w:style>
  <w:style w:type="paragraph" w:styleId="Heading2">
    <w:name w:val="heading 2"/>
    <w:basedOn w:val="Normal"/>
    <w:next w:val="Normal"/>
    <w:uiPriority w:val="9"/>
    <w:qFormat/>
    <w:rPr>
      <w:b/>
      <w:color w:val="1E293B"/>
      <w:sz w:val="32"/>
    </w:rPr>
  </w:style>
  <w:style w:type="paragraph" w:styleId="Heading3">
    <w:name w:val="heading 3"/>
    <w:basedOn w:val="Normal"/>
    <w:next w:val="Normal"/>
    <w:uiPriority w:val="9"/>
    <w:qFormat/>
    <w:rPr>
      <w:b/>
      <w:color w:val="334155"/>
      <w:sz w:val="26"/>
    </w:rPr>
  </w:style>
  <w:style w:type="paragraph" w:styleId="Title">
    <w:name w:val="Title"/>
    <w:basedOn w:val="Normal"/>
    <w:next w:val="Normal"/>
    <w:qFormat/>
    <w:rPr>
      <w:b/>
      <w:color w:val="0F172A"/>
      <w:sz w:val="56"/>
    </w:rPr>
  </w:style>
  <w:style w:type="paragraph" w:styleId="Subtitle">
    <w:name w:val="Subtitle"/>
    <w:basedOn w:val="Normal"/>
    <w:next w:val="Normal"/>
    <w:qFormat/>
    <w:rPr>
      <w:i/>
      <w:color w:val="6366F1"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Relationship Id="rId2" Type="http://schemas.openxmlformats.org/officeDocument/2006/relationships/chart" Target="charts/chart1.xml"/><Relationship Id="rId3" Type="http://schemas.openxmlformats.org/officeDocument/2006/relationships/footer" Target="footer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chart>
    <c:title>
      <c:tx>
        <c:rich>
          <a:bodyPr/>
          <a:lstStyle/>
          <a:p>
            <a:r>
              <a:rPr b="1" sz="1400"/>
              <a:t>Subscriber Growth (Jan–Jun)</a:t>
            </a:r>
          </a:p>
        </c:rich>
      </c:tx>
    </c:title>
    <c:view3D>
      <c:rotX val="30"/>
      <c:rotY val="20"/>
      <c:rAngAx val="1"/>
      <c:perspective val="30"/>
    </c:view3D>
    <c:plotArea>
      <c:layout/>
      <c:bar3DChart>
        <c:barDir val="col"/>
        <c:grouping val="standard"/>
        <c:ser>
          <c:idx val="0"/>
          <c:order val="0"/>
          <c:tx>
            <c:v>Active Subscribers</c:v>
          </c:tx>
          <c:spPr>
            <a:solidFill>
              <a:srgbClr val="6F4E37"/>
            </a:solidFill>
          </c:spPr>
          <c:cat>
            <c:strLit>
              <c:ptCount val="6"/>
              <c:pt idx="0">
                <c:v>Jan</c:v>
              </c:pt>
              <c:pt idx="1">
                <c:v>Feb</c:v>
              </c:pt>
              <c:pt idx="2">
                <c:v>Mar</c:v>
              </c:pt>
              <c:pt idx="3">
                <c:v>Apr</c:v>
              </c:pt>
              <c:pt idx="4">
                <c:v>May</c:v>
              </c:pt>
              <c:pt idx="5">
                <c:v>Jun</c:v>
              </c:pt>
            </c:strLit>
          </c:cat>
          <c:val>
            <c:numLit>
              <c:ptCount val="6"/>
              <c:pt idx="0">
                <c:v>1250</c:v>
              </c:pt>
              <c:pt idx="1">
                <c:v>1900</c:v>
              </c:pt>
              <c:pt idx="2">
                <c:v>2750</c:v>
              </c:pt>
              <c:pt idx="3">
                <c:v>3800</c:v>
              </c:pt>
              <c:pt idx="4">
                <c:v>5050</c:v>
              </c:pt>
              <c:pt idx="5">
                <c:v>6000</c:v>
              </c:pt>
            </c:numLit>
          </c:val>
        </c:ser>
        <c:ser>
          <c:idx val="1"/>
          <c:order val="1"/>
          <c:tx>
            <c:v>Monthly New Signups</c:v>
          </c:tx>
          <c:spPr>
            <a:solidFill>
              <a:srgbClr val="D2A24C"/>
            </a:solidFill>
          </c:spPr>
          <c:cat>
            <c:strLit>
              <c:ptCount val="6"/>
              <c:pt idx="0">
                <c:v>Jan</c:v>
              </c:pt>
              <c:pt idx="1">
                <c:v>Feb</c:v>
              </c:pt>
              <c:pt idx="2">
                <c:v>Mar</c:v>
              </c:pt>
              <c:pt idx="3">
                <c:v>Apr</c:v>
              </c:pt>
              <c:pt idx="4">
                <c:v>May</c:v>
              </c:pt>
              <c:pt idx="5">
                <c:v>Jun</c:v>
              </c:pt>
            </c:strLit>
          </c:cat>
          <c:val>
            <c:numLit>
              <c:ptCount val="6"/>
              <c:pt idx="0">
                <c:v>1250</c:v>
              </c:pt>
              <c:pt idx="1">
                <c:v>650</c:v>
              </c:pt>
              <c:pt idx="2">
                <c:v>850</c:v>
              </c:pt>
              <c:pt idx="3">
                <c:v>1050</c:v>
              </c:pt>
              <c:pt idx="4">
                <c:v>1250</c:v>
              </c:pt>
              <c:pt idx="5">
                <c:v>950</c:v>
              </c:pt>
            </c:numLit>
          </c:val>
        </c:ser>
        <c:axId val="1001"/>
        <c:axId val="1002"/>
      </c:bar3DChart>
      <c:catAx>
        <c:axId val="1001"/>
        <c:scaling>
          <c:orientation val="minMax"/>
        </c:scaling>
        <c:delete val="0"/>
        <c:axPos val="b"/>
        <c:majorTickMark val="out"/>
        <c:minorTickMark val="none"/>
        <c:tickLblPos val="nextTo"/>
        <c:crossAx val="1002"/>
        <c:auto val="1"/>
        <c:lblAlgn val="ctr"/>
        <c:lblOffset val="100"/>
        <c:noMultiLvlLbl val="0"/>
      </c:catAx>
      <c:valAx>
        <c:axId val="100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001"/>
        <c:crosses val="autoZero"/>
        <c:crossBetween val="between"/>
      </c:valAx>
    </c:plotArea>
    <c:legend>
      <c:legendPos val="r"/>
      <c:overlay val="0"/>
    </c:legend>
  </c:chart>
</c:chartSpace>
</file>