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xmlns:w10="urn:schemas-microsoft-com:office:word" xmlns:w14="http://schemas.microsoft.com/office/word/2010/wordml" xmlns:a="http://schemas.openxmlformats.org/drawingml/2006/main" xmlns:c="http://schemas.openxmlformats.org/drawingml/2006/chart" xmlns:pic="http://schemas.openxmlformats.org/drawingml/2006/picture">
  <w:body>
    <w:p>
      <w:pPr>
        <w:pStyle w:val="Title"/>
      </w:pPr>
      <w:r>
        <w:t>The Ethics of Autonomous Agents</w:t>
      </w:r>
    </w:p>
    <w:p>
      <w:pPr>
        <w:jc w:val="center"/>
      </w:pPr>
      <w:r>
        <w:rPr>
          <w:i/>
          <w:color w:val="595959"/>
          <w:sz w:val="26"/>
          <w:szCs w:val="26"/>
        </w:rPr>
        <w:t>A Philosophical Analysis of Machine Agency, the Responsibility Gap, and the Governance of Artificial Decision-Making Systems</w:t>
      </w:r>
    </w:p>
    <w:p>
      <w:pPr>
        <w:pStyle w:val="Heading1"/>
      </w:pPr>
      <w:r>
        <w:t>Abstract</w:t>
      </w:r>
    </w:p>
    <w:p>
      <w:pPr>
        <w:jc w:val="both"/>
      </w:pPr>
      <w:r>
        <w:t>Autonomous agents — artificial systems capable of perceiving their environment, deliberating over alternative courses of action, and executing decisions with progressively diminished human involvement — are migrating from controlled industrial settings into domains of profound moral consequence, including clinical triage, credit allocation, criminal sentencing support, and armed force. This paper offers a systematic ethical examination of that migration. It first reconstructs the conceptual background of machine agency, distinguishing autonomy from automation and situating contemporary debate within the longer tradition of machine ethics. It then analyses three interlocking problems: the conditions under which an artifact may count as a moral agent; the responsibility gap that opens when learning systems behave in ways their creators neither foresaw nor could have foreseen; and the adequacy of deontological and consequentialist frameworks as grammars for governing deciding machines. The paper contends that neither framework suffices in isolation and advances five principles — beneficence, non-maleficence, respect for autonomy, justice, and explicability — as a composite scaffold for design, audit, and regulation. It concludes that meaningful human control, rather than speculative machine moral status, should organize the ethics of autonomous systems.</w:t>
      </w:r>
    </w:p>
    <w:p>
      <w:r>
        <w:rPr>
          <w:i/>
          <w:color w:val="444444"/>
          <w:sz w:val="22"/>
          <w:szCs w:val="22"/>
        </w:rPr>
        <w:t>Keywords: autonomous agents; machine ethics; responsibility gap; deontology; consequentialism; meaningful human control</w:t>
      </w:r>
    </w:p>
    <w:p>
      <w:r>
        <w:br w:type="page"/>
      </w:r>
    </w:p>
    <w:p>
      <w:pPr>
        <w:pStyle w:val="Heading1"/>
      </w:pPr>
      <w:r>
        <w:t>1. Introduction</w:t>
      </w:r>
    </w:p>
    <w:p>
      <w:pPr>
        <w:jc w:val="both"/>
      </w:pPr>
      <w:r>
        <w:t>An autonomous agent may be defined as an artificial system possessing the functional capacity to perceive its environment, to deliberate among alternative courses of action, and to execute decisions without contemporaneous human authorization. The category embraces a heterogeneous population of technologies: high-frequency trading algorithms that reorganize capital markets in microseconds; recommendation engines that curate the informational environments of billions of users; clinical decision-support systems that shape diagnosis and triage; and, most contentiously, emerging military platforms capable of autonomous target selection. What unites these disparate systems is a structural displacement of decisional authority. The proximate cause of action increasingly resides within a computational process whose internal representations remain opaque, at least in practice, even to the engineers who constructed it. This displacement is ethically consequential because ordinary moral evaluation presumes that significant decisions are traceable to agents who can understand, justify, and answer for them.</w:t>
      </w:r>
    </w:p>
    <w:p>
      <w:pPr>
        <w:jc w:val="both"/>
      </w:pPr>
      <w:r>
        <w:t>Three features of autonomous agents account for the urgency of the questions they raise. First, scale: a single model deployed across millions of endpoints converts localized design defects into systemic harms, as illustrated by wrongful benefit denials produced by automated eligibility systems. Second, speed: machine decision cycles compress the temporal window available for human reflection, removing deliberation from the loop precisely where stakes are highest — a dynamic visible in the 2010 equity-market flash crash and in collisions involving partially automated vehicles. Third, opacity: deep learning systems resist both introspective explanation by their operators and external audit by regulators, weakening the evidentiary basis on which attributions of negligence or intent customarily rest. Together these features strain concepts — responsibility, consent, accountability — that were calibrated for human actors operating at human tempos.</w:t>
      </w:r>
    </w:p>
    <w:p>
      <w:pPr>
        <w:jc w:val="both"/>
      </w:pPr>
      <w:r>
        <w:t>The argument proceeds in four stages. Section 2 reconstructs the intellectual background, tracing the lineage of machine ethics from Wiener's early warnings to the present regulatory turn and clarifying the technical taxonomy of autonomy on which the subsequent analysis depends. Section 3 develops the core analysis in three parts: it interrogates the conditions under which an artifact may be deemed a moral agent; it tests the adequacy of the deontological and consequentialist traditions against the distinctive architecture of autonomous systems, synthesizing the comparison in tabular form; and it distills five operative principles for ethical design and deployment. Section 4 concludes by defending meaningful human control as the organizing ideal of responsible autonomy.</w:t>
      </w:r>
    </w:p>
    <w:p>
      <w:pPr>
        <w:pStyle w:val="Heading1"/>
      </w:pPr>
      <w:r>
        <w:t>2. Background</w:t>
      </w:r>
    </w:p>
    <w:p>
      <w:pPr>
        <w:jc w:val="both"/>
      </w:pPr>
      <w:r>
        <w:t>Concern with the morality of automatic machinery predates modern artificial intelligence. In 1942 Asimov fictionalized the governance of robots through his Three Laws, dramatizing the problem of encoding norms into artifacts; two decades later Norbert Wiener warned, with striking prescience, that cybernetic machines would introduce genuinely novel pressures into human moral life by executing policies whose consequences their users could neither foresee nor evaluate. The academic field of machine ethics consolidated in the mid-2000s, when Anderson and Anderson advocated the construction of artificial moral agents as a legitimate engineering objective, while Wallach and Allen argued more cautiously for designs that are at least sensitive to moral constraints. Empirical inquiry followed, most influentially Bonnefon, Shariff, and Rahwan's studies of public attitudes toward algorithmic crash decisions, which revealed a sharp divergence between what respondents endorse in principle and what they will accept in practice.</w:t>
      </w:r>
    </w:p>
    <w:p>
      <w:pPr>
        <w:jc w:val="both"/>
      </w:pPr>
      <w:r>
        <w:t>Conceptual clarity requires distinguishing autonomy from mere automation. An automated system executes a fixed and fully specified mapping from inputs to outputs — a thermostat, a payroll routine — whereas an autonomous system selects among options by means of internal evaluative mechanisms, frequently statistical models induced from large corpora rather than explicitly programmed rules. Three technical characteristics follow. Learned behavior is emergent: performance in deployment reflects generalization from training data rather than enumeration of cases, and therefore admits residual error that cannot be exhaustively certified in advance. Behavior is opaque: multilayer networks encode millions of interacting parameters, so post hoc interpretability techniques approximate, without recovering, the grounds of particular decisions. And behavior is interactive: when multiple agents populate a shared environment — market makers, delivery drones, traffic controllers — their coupled dynamics produce collective outcomes, such as cascading sell-offs, that no individual designer intended. These characteristics jointly motivate the puzzles examined below.</w:t>
      </w:r>
    </w:p>
    <w:p>
      <w:pPr>
        <w:jc w:val="both"/>
      </w:pPr>
      <w:r>
        <w:t>Governance initiatives have proliferated in response. The European Union's Artificial Intelligence Act adopts a risk-tiered structure imposing escalating obligations — from transparency duties to conformity assessment and mandatory human oversight — on providers of high-risk systems. Complementary instruments include the OECD AI Principles, UNESCO's Recommendation on the Ethics of Artificial Intelligence, the IEEE's Ethically Aligned Design programme, and the NIST AI Risk Management Framework. Despite jurisdictional variation, these instruments converge on a recognizably human-centric settlement: human beings, not artifacts, remain the bearers of ultimate responsibility, and regulation targets the processes of development and oversight rather than conferring normative status upon machines. This convergence frames, without settling, the deeper theoretical questions to which the analysis now turns.</w:t>
      </w:r>
    </w:p>
    <w:p>
      <w:pPr>
        <w:pStyle w:val="Heading1"/>
      </w:pPr>
      <w:r>
        <w:t>3. Analysis</w:t>
      </w:r>
    </w:p>
    <w:p>
      <w:pPr>
        <w:jc w:val="both"/>
      </w:pPr>
      <w:r>
        <w:t>The analysis unfolds in three movements. The first subsection asks whether autonomous agents can themselves be moral agents, and what follows if they cannot. The second evaluates the two dominant traditions of Western normative theory — deontology and consequentialism — as candidate grammars for machine morality, a comparison formalized in Table 1. The third translates these findings into five principles suitable for engineering practice and institutional audit.</w:t>
      </w:r>
    </w:p>
    <w:p>
      <w:pPr>
        <w:pStyle w:val="Heading2"/>
      </w:pPr>
      <w:r>
        <w:t>3.1 Moral Agency and the Responsibility Gap</w:t>
      </w:r>
    </w:p>
    <w:p>
      <w:pPr>
        <w:jc w:val="both"/>
      </w:pPr>
      <w:r>
        <w:t>Attribution of moral agency requires, on most accounts, capacities for intentionality, for understanding the reasons that discriminate among options, and for being guided by those reasons under reflective scrutiny. Autonomous agents satisfy functional analogues of these criteria: they model world-states, rank alternatives against objective functions, and adapt behavior in response to feedback. Yet they lack phenomenal experience and the biographically grounded commitments that underwrite human answerability. The philosophically prudent course is to regard current systems as quasi-agents — functionally agential, normatively inert. Nor are they plausible candidates for moral patienthood, since no credible evidence suggests that they possess interests or a welfare of their own; the morally considerable parties in every episode of machine action remain the human beings affected by it.</w:t>
      </w:r>
    </w:p>
    <w:p>
      <w:pPr>
        <w:jc w:val="both"/>
      </w:pPr>
      <w:r>
        <w:t>Precisely because the artifacts are normatively inert, the responsibility gap arises. Matthias observed that where systems learn in ways unpredictable even to their designers, the traditional control condition on responsibility — according to which agents answer only for what lay within their power to foresee and steer — is jeopardized: no natural person intended the harmful output, and none could have predicted it. Three responses dominate the literature. Eliminativists contend that the gap dissolves once the socio-technical network is examined closely, since choices about training data, objective functions, testing regimes, and deployment contexts jointly determine the space of possible failures. Distributionists accept plural causation yet insist that accountability can be apportioned among developers, operators, and institutions in proportion to their contributory control. Institutionalists relocate responsibility upward, holding organizations strictly answerable for deploying systems whose failure modes they declined to investigate. The positions prove complementary more than rivalrous.</w:t>
      </w:r>
    </w:p>
    <w:p>
      <w:pPr>
        <w:jc w:val="both"/>
      </w:pPr>
      <w:r>
        <w:t>The practical corollary is the doctrine of meaningful human control, developed most rigorously by Santoni de Sio and van den Hoven for autonomous weapons and generalized readily beyond them. Control is meaningful when two conditions obtain: tracking, such that system behavior remains connected through design to the moral reasons that justify operation; and tracing, such that responsibility for outcomes can be traced backward to identifiable humans whose contributions made a difference. Nominal compliance, however, invites pathology. Human-in-the-loop review degenerates into rubber-stamping wherever automation bias induces reviewers to defer to machine recommendations, a phenomenon documented in professional settings from radiology to flight-deck monitoring. Genuine oversight therefore demands institutional design — task rotation, audit sampling, protected dissent channels, and the authority to suspend operation — rather than mere presence at an interface.</w:t>
      </w:r>
    </w:p>
    <w:p>
      <w:pPr>
        <w:pStyle w:val="Heading2"/>
      </w:pPr>
      <w:r>
        <w:t>3.2 Deontological and Consequentialist Frameworks</w:t>
      </w:r>
    </w:p>
    <w:p>
      <w:pPr>
        <w:jc w:val="both"/>
      </w:pPr>
      <w:r>
        <w:t>Deontological ethics locates moral worth in conformity to duty rather than in the production of good outcomes. Kant's humanity formulation — act so that persons are treated always as ends and never merely as means — translates into hard constraints that no computation of aggregate benefit may purchase: informed consent, prohibitions on deception, and inviolable rights operate as side-constraints on design. Applied to autonomous agents, deontology favors architectures in which certain state transitions are simply unreachable whatever the expected utility at stake: a triage system may not deprioritize a class of patients because doing so optimizes throughput, and a weapons platform may not widen its target set to improve mission metrics. The tradition offers an epistemic advantage for engineering, since compliance with explicit rules is verifiable by audit, and a political advantage, since the language of rights matches the vocabulary of constitutional democracy. Its liability is rigidity: duties collide in circumstances their formulators did not anticipate, and the tradition supplies no algorithm for arbitration beyond situated judgment.</w:t>
      </w:r>
    </w:p>
    <w:p>
      <w:pPr>
        <w:jc w:val="both"/>
      </w:pPr>
      <w:r>
        <w:t>Consequentialism identifies rightness with the promotion of impartial good, and its affinity with machine architecture appears, at first sight, complete: an autonomous agent is essentially an apparatus for maximizing an objective function under uncertainty, so that specifying utility would seem to exhaust machine ethics. The approach explains much actual practice — crash-optimization modules weighing injury probabilities, schedulers balancing queue times, auctions allocating attention. Three objections nonetheless recur. The measurement objection notes that relevant goods resist commensuration and that proxies degrade in Goodhart-like fashion, as when engagement metrics drift toward outrage. The distribution objection observes that aggregative calculus is indifferent to who bears costs, licensing sacrifice of minorities whenever totals approve. The gaming objection records that systems pursue the measure rather than the end, a failure mode engineers know as reward hacking. Table 1 synthesizes the comparison.</w:t>
      </w:r>
    </w:p>
    <w:p>
      <w:pPr>
        <w:jc w:val="center"/>
      </w:pPr>
      <w:r>
        <w:rPr>
          <w:b/>
          <w:i/>
          <w:color w:val="334155"/>
          <w:sz w:val="21"/>
          <w:szCs w:val="21"/>
        </w:rPr>
        <w:t>Table 1. Deontological versus consequentialist treatments of central issues in the ethics of autonomous agents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p>
            <w:r>
              <w:t>Deontological Perspective</w:t>
            </w:r>
          </w:p>
        </w:tc>
        <w:tc>
          <w:p>
            <w:r>
              <w:t>Consequentialist Perspective</w:t>
            </w:r>
          </w:p>
        </w:tc>
      </w:tr>
      <w:tr>
        <w:tc>
          <w:p>
            <w:r>
              <w:t>Locus of moral value: rightness consists in conformity to duty, universalizable maxims, and respect for persons, independent of outcomes.</w:t>
            </w:r>
          </w:p>
        </w:tc>
        <w:tc>
          <w:p>
            <w:r>
              <w:t>Locus of moral value: rightness consists wholly in the balance of beneficial over harmful consequences produced for all those affected.</w:t>
            </w:r>
          </w:p>
        </w:tc>
      </w:tr>
      <w:tr>
        <w:tc>
          <w:p>
            <w:r>
              <w:t>Status of rules: duties and rights are side-constraints that may not be transgressed even to avert greater aggregate harm.</w:t>
            </w:r>
          </w:p>
        </w:tc>
        <w:tc>
          <w:p>
            <w:r>
              <w:t>Status of rules: rules are defeasible heuristics, abandoned whenever violating them yields superior overall outcomes.</w:t>
            </w:r>
          </w:p>
        </w:tc>
      </w:tr>
      <w:tr>
        <w:tc>
          <w:p>
            <w:r>
              <w:t>Human autonomy: consent and dignity are inviolable; persons may never be treated merely as means to external ends.</w:t>
            </w:r>
          </w:p>
        </w:tc>
        <w:tc>
          <w:p>
            <w:r>
              <w:t>Human autonomy: respected instrumentally, insofar as protecting it generally promotes aggregate welfare.</w:t>
            </w:r>
          </w:p>
        </w:tc>
      </w:tr>
      <w:tr>
        <w:tc>
          <w:p>
            <w:r>
              <w:t>Responsibility: attaches to designers, deployers, and operators according to breach of duty and the control available to them.</w:t>
            </w:r>
          </w:p>
        </w:tc>
        <w:tc>
          <w:p>
            <w:r>
              <w:t>Responsibility: assessed by total harm caused, potentially diffused across the causal chain in proportion to contribution.</w:t>
            </w:r>
          </w:p>
        </w:tc>
      </w:tr>
      <w:tr>
        <w:tc>
          <w:p>
            <w:r>
              <w:t>Design implication: hard-coded red lines and provably unreachable states, immune to contextual payoff.</w:t>
            </w:r>
          </w:p>
        </w:tc>
        <w:tc>
          <w:p>
            <w:r>
              <w:t>Design implication: outcome optimization through utility functions, continuously recalibrated against measured consequences.</w:t>
            </w:r>
          </w:p>
        </w:tc>
      </w:tr>
      <w:tr>
        <w:tc>
          <w:p>
            <w:r>
              <w:t>Characteristic weakness: rigidity under novelty and unresolved conflicts among competing duties.</w:t>
            </w:r>
          </w:p>
        </w:tc>
        <w:tc>
          <w:p>
            <w:r>
              <w:t>Characteristic weakness: dependence on commensurable metrics, vulnerability to proxy gaming, insensitivity to distribution.</w:t>
            </w:r>
          </w:p>
        </w:tc>
      </w:tr>
    </w:tbl>
    <w:p>
      <w:pPr>
        <w:jc w:val="both"/>
      </w:pPr>
      <w:r>
        <w:t>Neither tradition emerges unscathed from contact with deployment, and the defensible conclusion is complementarity rather than conquest. Rights and duties supply the fixed grammar of the impermissible, while consequence assessment disciplines the wide discretionary space that remains within those bounds; virtue-ethical and relational perspectives add that character formation applies to institutions and professions, not only to code paths. Bioethics reached a comparable equilibrium through principlism, holding prima facie principles in productive tension and resolving collisions case by case. The following subsection imports that strategy into the governance of machine agency.</w:t>
      </w:r>
    </w:p>
    <w:p>
      <w:pPr>
        <w:pStyle w:val="Heading2"/>
      </w:pPr>
      <w:r>
        <w:t>3.3 Five Key Principles for Responsible Autonomy</w:t>
      </w:r>
    </w:p>
    <w:p>
      <w:pPr>
        <w:jc w:val="both"/>
      </w:pPr>
      <w:r>
        <w:t>Five principles, distilled from the foregoing analysis and convergent with the AI4People framework elaborated by Floridi and colleagues, constitute the normative core of responsible autonomy. Each is stated together with its principal operational demand.</w:t>
      </w:r>
    </w:p>
    <w:p>
      <w:pPr>
        <w:numPr>
          <w:ilvl w:val="0"/>
          <w:numId w:val="1"/>
        </w:numPr>
        <w:jc w:val="both"/>
      </w:pPr>
      <w:r>
        <w:t>Beneficence — autonomous systems should demonstrably advance human and ecological flourishing, with the intended benefit articulated, evidenced, and independently reviewed before deployment rather than asserted retrospectively.</w:t>
      </w:r>
    </w:p>
    <w:p>
      <w:pPr>
        <w:numPr>
          <w:ilvl w:val="0"/>
          <w:numId w:val="1"/>
        </w:numPr>
        <w:jc w:val="both"/>
      </w:pPr>
      <w:r>
        <w:t>Non-maleficence — foreseeable harms must be systematically anticipated, quantified, and minimized; deployment is legitimate only where residual risk falls below thresholds that disinterested assessment can defend.</w:t>
      </w:r>
    </w:p>
    <w:p>
      <w:pPr>
        <w:numPr>
          <w:ilvl w:val="0"/>
          <w:numId w:val="1"/>
        </w:numPr>
        <w:jc w:val="both"/>
      </w:pPr>
      <w:r>
        <w:t>Respect for autonomy — human self-determination is preserved through informed consent, contestable decisions, and genuine override capability, ensuring that those affected by machine judgments retain effective agency over their own affairs.</w:t>
      </w:r>
    </w:p>
    <w:p>
      <w:pPr>
        <w:numPr>
          <w:ilvl w:val="0"/>
          <w:numId w:val="1"/>
        </w:numPr>
        <w:jc w:val="both"/>
      </w:pPr>
      <w:r>
        <w:t>Justice — the burdens and benefits of automation must be distributed equitably, which requires proactive bias auditing across protected groups and affirmative attention to populations rendered statistically invisible by training data.</w:t>
      </w:r>
    </w:p>
    <w:p>
      <w:pPr>
        <w:numPr>
          <w:ilvl w:val="0"/>
          <w:numId w:val="1"/>
        </w:numPr>
        <w:jc w:val="both"/>
      </w:pPr>
      <w:r>
        <w:t>Explicability — system behavior must remain interpretable and auditable, so that any consequential decision can be explained in terms intelligible to affected parties and traced to institutions capable of answering for it.</w:t>
      </w:r>
    </w:p>
    <w:p>
      <w:pPr>
        <w:jc w:val="both"/>
      </w:pPr>
      <w:r>
        <w:t>The principles are not axioms but orienting commitments whose relative weight shifts with context: explicability governs in adjudication and public administration, justice in the provision of essential services, non-maleficence in safety-critical transport. Their value lies less in dissolving every dilemma than in structuring the questions that regulators, boards, and engineers are obliged to pose — and in rendering silence on any of them conspicuous.</w:t>
      </w:r>
    </w:p>
    <w:p>
      <w:pPr>
        <w:pStyle w:val="Heading1"/>
      </w:pPr>
      <w:r>
        <w:t>4. Conclusion</w:t>
      </w:r>
    </w:p>
    <w:p>
      <w:pPr>
        <w:jc w:val="both"/>
      </w:pPr>
      <w:r>
        <w:t>This paper has argued that autonomous agents unsettle established moral concepts less by acquiring agency than by diffusing it. The preceding analysis showed that artifacts remain normatively inert; that the apparent responsibility gap resolves, without vanishing, into distributed obligations across the socio-technical network; and that deontological and consequentialist framings, properly hybridized beneath the five stated principles, furnish a serviceable if incomplete grammar for governance. On this account the ethics of autonomous agents is continuous with, not exceptional to, the older ethics of institutions: what changes is the velocity and opacity of the actions for which someone must answer. Among the instruments now emerging, verifiable accountability mechanisms — mandatory audit trails, independent conformity assessment, and traceable records of every consequential decision — deserve particular praise, for they convert accountability from a rhetorical pledge into a checkable fact.</w:t>
      </w:r>
    </w:p>
    <w:sectPr>
      <w:footerReference w:type="default" r:id="rId2"/>
      <w:pgSz w:w="12240" w:h="15840"/>
      <w:pgMar w:top="1440" w:right="1440" w:bottom="1440" w:left="1440"/>
    </w:sectPr>
  </w:body>
</w:document>
</file>

<file path=word/footer1.xml><?xml version="1.0" encoding="utf-8"?>
<w:ftr xmlns:w="http://schemas.openxmlformats.org/wordprocessingml/2006/main">
  <w:p>
    <w:pPr>
      <w:jc w:val="left"/>
    </w:pPr>
    <w:r>
      <w:t xml:space="preserve">Ethics Paper </w:t>
    </w:r>
    <w:r>
      <w:fldChar w:fldCharType="begin"/>
    </w:r>
    <w:r>
      <w:instrText xml:space="preserve"> PAGE \* roman </w:instrText>
    </w:r>
    <w:r>
      <w:fldChar w:fldCharType="end"/>
    </w:r>
    <w:r>
      <w:t xml:space="preserve"> of </w:t>
    </w:r>
    <w:r>
      <w:fldChar w:fldCharType="begin"/>
    </w:r>
    <w:r>
      <w:instrText xml:space="preserve"> NUMPAGES \* roman </w:instrText>
    </w:r>
    <w:r>
      <w:fldChar w:fldCharType="end"/>
    </w:r>
  </w:p>
</w:ftr>
</file>

<file path=word/footer2.xml><?xml version="1.0" encoding="utf-8"?>
<w:ftr xmlns:w="http://schemas.openxmlformats.org/wordprocessingml/2006/main">
  <w:p>
    <w:pPr>
      <w:jc w:val="left"/>
    </w:pPr>
    <w:r>
      <w:t>Ethics Paper</w:t>
    </w:r>
  </w:p>
</w:ftr>
</file>

<file path=word/styles.xml><?xml version="1.0" encoding="utf-8"?>
<w:styles xmlns:w="http://schemas.openxmlformats.org/wordprocessingml/2006/main">
  <w:docDefaults>
    <w:rPrDefault>
      <w:rPr>
        <w:rFonts w:ascii="Calibri" w:hAnsi="Calibri" w:eastAsia="Calibri" w:cs="Calibri"/>
        <w:sz w:val="22"/>
      </w:rPr>
    </w:rPrDefault>
  </w:docDefaults>
  <w:style w:type="paragraph" w:default="1" w:styleId="Normal">
    <w:name w:val="Normal"/>
    <w:qFormat/>
  </w:style>
  <w:style w:type="paragraph" w:styleId="Heading1">
    <w:name w:val="heading 1"/>
    <w:basedOn w:val="Normal"/>
    <w:next w:val="Normal"/>
    <w:uiPriority w:val="9"/>
    <w:qFormat/>
    <w:rPr>
      <w:b/>
      <w:color w:val="0F172A"/>
      <w:sz w:val="48"/>
    </w:rPr>
  </w:style>
  <w:style w:type="paragraph" w:styleId="Heading2">
    <w:name w:val="heading 2"/>
    <w:basedOn w:val="Normal"/>
    <w:next w:val="Normal"/>
    <w:uiPriority w:val="9"/>
    <w:qFormat/>
    <w:rPr>
      <w:b/>
      <w:color w:val="1E293B"/>
      <w:sz w:val="32"/>
    </w:rPr>
  </w:style>
  <w:style w:type="paragraph" w:styleId="Heading3">
    <w:name w:val="heading 3"/>
    <w:basedOn w:val="Normal"/>
    <w:next w:val="Normal"/>
    <w:uiPriority w:val="9"/>
    <w:qFormat/>
    <w:rPr>
      <w:b/>
      <w:color w:val="334155"/>
      <w:sz w:val="26"/>
    </w:rPr>
  </w:style>
  <w:style w:type="paragraph" w:styleId="Title">
    <w:name w:val="Title"/>
    <w:basedOn w:val="Normal"/>
    <w:next w:val="Normal"/>
    <w:qFormat/>
    <w:rPr>
      <w:b/>
      <w:color w:val="0F172A"/>
      <w:sz w:val="56"/>
    </w:rPr>
  </w:style>
  <w:style w:type="paragraph" w:styleId="Subtitle">
    <w:name w:val="Subtitle"/>
    <w:basedOn w:val="Normal"/>
    <w:next w:val="Normal"/>
    <w:qFormat/>
    <w:rPr>
      <w:i/>
      <w:color w:val="6366F1"/>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Relationship Id="rId3" Type="http://schemas.openxmlformats.org/officeDocument/2006/relationships/footer" Target="footer2.xml"/></Relationships>
</file>