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w14="http://schemas.microsoft.com/office/word/2010/wordml" xmlns:a="http://schemas.openxmlformats.org/drawingml/2006/main" xmlns:c="http://schemas.openxmlformats.org/drawingml/2006/chart" xmlns:pic="http://schemas.openxmlformats.org/drawingml/2006/picture">
  <w:body>
    <w:p>
      <w:pPr>
        <w:pStyle w:val="Heading1"/>
      </w:pPr>
      <w:r>
        <w:t>FY2026 Budget</w:t>
      </w:r>
    </w:p>
    <w:p>
      <w:r>
        <w:t>The FY2026 budget defines our quarterly spending allocations across the organization's four primary operating categories. The figures below reflect planned commitments approved by the finance committee and are reviewed at each quarter close to account for headcount changes, campaign timing, and operational needs.</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firstRow="1" w:noVBand="1"/>
      </w:tblPr>
      <w:tblGrid>
        <w:gridCol w:w="2760"/>
        <w:gridCol w:w="2200"/>
        <w:gridCol w:w="2200"/>
        <w:gridCol w:w="2200"/>
      </w:tblGrid>
      <w:tr>
        <w:trPr>
          <w:cantSplit/>
          <w:trHeight w:val="420" w:hRule="atLeast"/>
          <w:tblHeader/>
        </w:trPr>
        <w:tc>
          <w:tcPr>
            <w:tcW w:w="2760" w:type="dxa"/>
            <w:shd w:val="clear" w:color="auto" w:fill="0F172A"/>
            <w:tcMar>
              <w:top w:w="100" w:type="dxa"/>
              <w:left w:w="140" w:type="dxa"/>
              <w:bottom w:w="100" w:type="dxa"/>
              <w:right w:w="140" w:type="dxa"/>
            </w:tcMar>
            <w:vAlign w:val="center"/>
          </w:tcPr>
          <w:p>
            <w:pPr>
              <w:jc w:val="left"/>
            </w:pPr>
            <w:r>
              <w:rPr>
                <w:b/>
                <w:color w:val="FFFFFF"/>
                <w:sz w:val="22"/>
                <w:szCs w:val="22"/>
              </w:rPr>
              <w:t>Category</w:t>
            </w:r>
          </w:p>
        </w:tc>
        <w:tc>
          <w:tcPr>
            <w:tcW w:w="2200" w:type="dxa"/>
            <w:shd w:val="clear" w:color="auto" w:fill="0F172A"/>
            <w:tcMar>
              <w:top w:w="100" w:type="dxa"/>
              <w:left w:w="140" w:type="dxa"/>
              <w:bottom w:w="100" w:type="dxa"/>
              <w:right w:w="140" w:type="dxa"/>
            </w:tcMar>
            <w:vAlign w:val="center"/>
          </w:tcPr>
          <w:p>
            <w:pPr>
              <w:jc w:val="center"/>
            </w:pPr>
            <w:r>
              <w:rPr>
                <w:b/>
                <w:color w:val="FFFFFF"/>
                <w:sz w:val="22"/>
                <w:szCs w:val="22"/>
              </w:rPr>
              <w:t>Q1</w:t>
            </w:r>
          </w:p>
        </w:tc>
        <w:tc>
          <w:tcPr>
            <w:tcW w:w="2200" w:type="dxa"/>
            <w:shd w:val="clear" w:color="auto" w:fill="0F172A"/>
            <w:tcMar>
              <w:top w:w="100" w:type="dxa"/>
              <w:left w:w="140" w:type="dxa"/>
              <w:bottom w:w="100" w:type="dxa"/>
              <w:right w:w="140" w:type="dxa"/>
            </w:tcMar>
            <w:vAlign w:val="center"/>
          </w:tcPr>
          <w:p>
            <w:pPr>
              <w:jc w:val="center"/>
            </w:pPr>
            <w:r>
              <w:rPr>
                <w:b/>
                <w:color w:val="FFFFFF"/>
                <w:sz w:val="22"/>
                <w:szCs w:val="22"/>
              </w:rPr>
              <w:t>Q2</w:t>
            </w:r>
          </w:p>
        </w:tc>
        <w:tc>
          <w:tcPr>
            <w:tcW w:w="2200" w:type="dxa"/>
            <w:shd w:val="clear" w:color="auto" w:fill="0F172A"/>
            <w:tcMar>
              <w:top w:w="100" w:type="dxa"/>
              <w:left w:w="140" w:type="dxa"/>
              <w:bottom w:w="100" w:type="dxa"/>
              <w:right w:w="140" w:type="dxa"/>
            </w:tcMar>
            <w:vAlign w:val="center"/>
          </w:tcPr>
          <w:p>
            <w:pPr>
              <w:jc w:val="center"/>
            </w:pPr>
            <w:r>
              <w:rPr>
                <w:b/>
                <w:color w:val="FFFFFF"/>
                <w:sz w:val="22"/>
                <w:szCs w:val="22"/>
              </w:rPr>
              <w:t>Q3</w:t>
            </w:r>
          </w:p>
        </w:tc>
      </w:tr>
      <w:tr>
        <w:trPr>
          <w:cantSplit/>
          <w:trHeight w:val="380" w:hRule="atLeast"/>
        </w:trPr>
        <w:tc>
          <w:tcPr>
            <w:tcW w:w="2760" w:type="dxa"/>
            <w:shd w:val="clear" w:color="auto" w:fill="F7F9FC"/>
            <w:tcMar>
              <w:top w:w="90" w:type="dxa"/>
              <w:left w:w="140" w:type="dxa"/>
              <w:bottom w:w="90" w:type="dxa"/>
              <w:right w:w="140" w:type="dxa"/>
            </w:tcMar>
            <w:vAlign w:val="center"/>
          </w:tcPr>
          <w:p>
            <w:pPr>
              <w:jc w:val="left"/>
            </w:pPr>
            <w:r>
              <w:rPr>
                <w:b/>
                <w:color w:val="0F172A"/>
                <w:sz w:val="22"/>
                <w:szCs w:val="22"/>
              </w:rPr>
              <w:t>Engineering</w:t>
            </w:r>
          </w:p>
        </w:tc>
        <w:tc>
          <w:tcPr>
            <w:tcW w:w="2200" w:type="dxa"/>
            <w:shd w:val="clear" w:color="auto" w:fill="F7F9FC"/>
            <w:tcMar>
              <w:top w:w="90" w:type="dxa"/>
              <w:left w:w="140" w:type="dxa"/>
              <w:bottom w:w="90" w:type="dxa"/>
              <w:right w:w="140" w:type="dxa"/>
            </w:tcMar>
            <w:vAlign w:val="center"/>
          </w:tcPr>
          <w:p>
            <w:pPr>
              <w:jc w:val="right"/>
            </w:pPr>
            <w:r>
              <w:rPr>
                <w:color w:val="0F172A"/>
                <w:sz w:val="22"/>
                <w:szCs w:val="22"/>
              </w:rPr>
              <w:t>$120,000</w:t>
            </w:r>
          </w:p>
        </w:tc>
        <w:tc>
          <w:tcPr>
            <w:tcW w:w="2200" w:type="dxa"/>
            <w:shd w:val="clear" w:color="auto" w:fill="F7F9FC"/>
            <w:tcMar>
              <w:top w:w="90" w:type="dxa"/>
              <w:left w:w="140" w:type="dxa"/>
              <w:bottom w:w="90" w:type="dxa"/>
              <w:right w:w="140" w:type="dxa"/>
            </w:tcMar>
            <w:vAlign w:val="center"/>
          </w:tcPr>
          <w:p>
            <w:pPr>
              <w:jc w:val="right"/>
            </w:pPr>
            <w:r>
              <w:rPr>
                <w:color w:val="0F172A"/>
                <w:sz w:val="22"/>
                <w:szCs w:val="22"/>
              </w:rPr>
              <w:t>$132,500</w:t>
            </w:r>
          </w:p>
        </w:tc>
        <w:tc>
          <w:tcPr>
            <w:tcW w:w="2200" w:type="dxa"/>
            <w:shd w:val="clear" w:color="auto" w:fill="F7F9FC"/>
            <w:tcMar>
              <w:top w:w="90" w:type="dxa"/>
              <w:left w:w="140" w:type="dxa"/>
              <w:bottom w:w="90" w:type="dxa"/>
              <w:right w:w="140" w:type="dxa"/>
            </w:tcMar>
            <w:vAlign w:val="center"/>
          </w:tcPr>
          <w:p>
            <w:pPr>
              <w:jc w:val="right"/>
            </w:pPr>
            <w:r>
              <w:rPr>
                <w:b/>
                <w:color w:val="713F12"/>
                <w:sz w:val="22"/>
                <w:szCs w:val="22"/>
              </w:rPr>
              <w:t>$142,000</w:t>
            </w:r>
          </w:p>
        </w:tc>
      </w:tr>
      <w:tr>
        <w:trPr>
          <w:cantSplit/>
          <w:trHeight w:val="380" w:hRule="atLeast"/>
        </w:trPr>
        <w:tc>
          <w:tcPr>
            <w:tcW w:w="2760" w:type="dxa"/>
            <w:shd w:val="clear" w:color="auto" w:fill="FFFFFF"/>
            <w:tcMar>
              <w:top w:w="90" w:type="dxa"/>
              <w:left w:w="140" w:type="dxa"/>
              <w:bottom w:w="90" w:type="dxa"/>
              <w:right w:w="140" w:type="dxa"/>
            </w:tcMar>
            <w:vAlign w:val="center"/>
          </w:tcPr>
          <w:p>
            <w:pPr>
              <w:jc w:val="left"/>
            </w:pPr>
            <w:r>
              <w:rPr>
                <w:b/>
                <w:color w:val="0F172A"/>
                <w:sz w:val="22"/>
                <w:szCs w:val="22"/>
              </w:rPr>
              <w:t>Marketing</w:t>
            </w:r>
          </w:p>
        </w:tc>
        <w:tc>
          <w:tcPr>
            <w:tcW w:w="2200" w:type="dxa"/>
            <w:shd w:val="clear" w:color="auto" w:fill="FFFFFF"/>
            <w:tcMar>
              <w:top w:w="90" w:type="dxa"/>
              <w:left w:w="140" w:type="dxa"/>
              <w:bottom w:w="90" w:type="dxa"/>
              <w:right w:w="140" w:type="dxa"/>
            </w:tcMar>
            <w:vAlign w:val="center"/>
          </w:tcPr>
          <w:p>
            <w:pPr>
              <w:jc w:val="right"/>
            </w:pPr>
            <w:r>
              <w:rPr>
                <w:color w:val="0F172A"/>
                <w:sz w:val="22"/>
                <w:szCs w:val="22"/>
              </w:rPr>
              <w:t>$58,000</w:t>
            </w:r>
          </w:p>
        </w:tc>
        <w:tc>
          <w:tcPr>
            <w:tcW w:w="2200" w:type="dxa"/>
            <w:shd w:val="clear" w:color="auto" w:fill="FFFFFF"/>
            <w:tcMar>
              <w:top w:w="90" w:type="dxa"/>
              <w:left w:w="140" w:type="dxa"/>
              <w:bottom w:w="90" w:type="dxa"/>
              <w:right w:w="140" w:type="dxa"/>
            </w:tcMar>
            <w:vAlign w:val="center"/>
          </w:tcPr>
          <w:p>
            <w:pPr>
              <w:jc w:val="right"/>
            </w:pPr>
            <w:r>
              <w:rPr>
                <w:color w:val="0F172A"/>
                <w:sz w:val="22"/>
                <w:szCs w:val="22"/>
              </w:rPr>
              <w:t>$62,000</w:t>
            </w:r>
          </w:p>
        </w:tc>
        <w:tc>
          <w:tcPr>
            <w:tcW w:w="2200" w:type="dxa"/>
            <w:shd w:val="clear" w:color="auto" w:fill="FFFFFF"/>
            <w:tcMar>
              <w:top w:w="90" w:type="dxa"/>
              <w:left w:w="140" w:type="dxa"/>
              <w:bottom w:w="90" w:type="dxa"/>
              <w:right w:w="140" w:type="dxa"/>
            </w:tcMar>
            <w:vAlign w:val="center"/>
          </w:tcPr>
          <w:p>
            <w:pPr>
              <w:jc w:val="right"/>
            </w:pPr>
            <w:r>
              <w:rPr>
                <w:color w:val="0F172A"/>
                <w:sz w:val="22"/>
                <w:szCs w:val="22"/>
              </w:rPr>
              <w:t>$95,000</w:t>
            </w:r>
          </w:p>
        </w:tc>
      </w:tr>
      <w:tr>
        <w:trPr>
          <w:cantSplit/>
          <w:trHeight w:val="380" w:hRule="atLeast"/>
        </w:trPr>
        <w:tc>
          <w:tcPr>
            <w:tcW w:w="2760" w:type="dxa"/>
            <w:shd w:val="clear" w:color="auto" w:fill="F7F9FC"/>
            <w:tcMar>
              <w:top w:w="90" w:type="dxa"/>
              <w:left w:w="140" w:type="dxa"/>
              <w:bottom w:w="90" w:type="dxa"/>
              <w:right w:w="140" w:type="dxa"/>
            </w:tcMar>
            <w:vAlign w:val="center"/>
          </w:tcPr>
          <w:p>
            <w:pPr>
              <w:jc w:val="left"/>
            </w:pPr>
            <w:r>
              <w:rPr>
                <w:b/>
                <w:color w:val="0F172A"/>
                <w:sz w:val="22"/>
                <w:szCs w:val="22"/>
              </w:rPr>
              <w:t>Ops</w:t>
            </w:r>
          </w:p>
        </w:tc>
        <w:tc>
          <w:tcPr>
            <w:tcW w:w="2200" w:type="dxa"/>
            <w:shd w:val="clear" w:color="auto" w:fill="F7F9FC"/>
            <w:tcMar>
              <w:top w:w="90" w:type="dxa"/>
              <w:left w:w="140" w:type="dxa"/>
              <w:bottom w:w="90" w:type="dxa"/>
              <w:right w:w="140" w:type="dxa"/>
            </w:tcMar>
            <w:vAlign w:val="center"/>
          </w:tcPr>
          <w:p>
            <w:pPr>
              <w:jc w:val="right"/>
            </w:pPr>
            <w:r>
              <w:rPr>
                <w:color w:val="0F172A"/>
                <w:sz w:val="22"/>
                <w:szCs w:val="22"/>
              </w:rPr>
              <w:t>$41,200</w:t>
            </w:r>
          </w:p>
        </w:tc>
        <w:tc>
          <w:tcPr>
            <w:tcW w:w="2200" w:type="dxa"/>
            <w:shd w:val="clear" w:color="auto" w:fill="F7F9FC"/>
            <w:tcMar>
              <w:top w:w="90" w:type="dxa"/>
              <w:left w:w="140" w:type="dxa"/>
              <w:bottom w:w="90" w:type="dxa"/>
              <w:right w:w="140" w:type="dxa"/>
            </w:tcMar>
            <w:vAlign w:val="center"/>
          </w:tcPr>
          <w:p>
            <w:pPr>
              <w:jc w:val="right"/>
            </w:pPr>
            <w:r>
              <w:rPr>
                <w:color w:val="0F172A"/>
                <w:sz w:val="22"/>
                <w:szCs w:val="22"/>
              </w:rPr>
              <w:t>$43,800</w:t>
            </w:r>
          </w:p>
        </w:tc>
        <w:tc>
          <w:tcPr>
            <w:tcW w:w="2200" w:type="dxa"/>
            <w:shd w:val="clear" w:color="auto" w:fill="F7F9FC"/>
            <w:tcMar>
              <w:top w:w="90" w:type="dxa"/>
              <w:left w:w="140" w:type="dxa"/>
              <w:bottom w:w="90" w:type="dxa"/>
              <w:right w:w="140" w:type="dxa"/>
            </w:tcMar>
            <w:vAlign w:val="center"/>
          </w:tcPr>
          <w:p>
            <w:pPr>
              <w:jc w:val="right"/>
            </w:pPr>
            <w:r>
              <w:rPr>
                <w:color w:val="0F172A"/>
                <w:sz w:val="22"/>
                <w:szCs w:val="22"/>
              </w:rPr>
              <w:t>$46,000</w:t>
            </w:r>
          </w:p>
        </w:tc>
      </w:tr>
      <w:tr>
        <w:trPr>
          <w:cantSplit/>
          <w:trHeight w:val="380" w:hRule="atLeast"/>
        </w:trPr>
        <w:tc>
          <w:tcPr>
            <w:tcW w:w="2760" w:type="dxa"/>
            <w:shd w:val="clear" w:color="auto" w:fill="FFFFFF"/>
            <w:tcMar>
              <w:top w:w="90" w:type="dxa"/>
              <w:left w:w="140" w:type="dxa"/>
              <w:bottom w:w="90" w:type="dxa"/>
              <w:right w:w="140" w:type="dxa"/>
            </w:tcMar>
            <w:vAlign w:val="center"/>
          </w:tcPr>
          <w:p>
            <w:pPr>
              <w:jc w:val="left"/>
            </w:pPr>
            <w:r>
              <w:rPr>
                <w:b/>
                <w:color w:val="0F172A"/>
                <w:sz w:val="22"/>
                <w:szCs w:val="22"/>
              </w:rPr>
              <w:t>Travel</w:t>
            </w:r>
          </w:p>
        </w:tc>
        <w:tc>
          <w:tcPr>
            <w:tcW w:w="2200" w:type="dxa"/>
            <w:shd w:val="clear" w:color="auto" w:fill="FFFFFF"/>
            <w:tcMar>
              <w:top w:w="90" w:type="dxa"/>
              <w:left w:w="140" w:type="dxa"/>
              <w:bottom w:w="90" w:type="dxa"/>
              <w:right w:w="140" w:type="dxa"/>
            </w:tcMar>
            <w:vAlign w:val="center"/>
          </w:tcPr>
          <w:p>
            <w:pPr>
              <w:jc w:val="right"/>
            </w:pPr>
            <w:r>
              <w:rPr>
                <w:color w:val="0F172A"/>
                <w:sz w:val="22"/>
                <w:szCs w:val="22"/>
              </w:rPr>
              <w:t>$18,500</w:t>
            </w:r>
          </w:p>
        </w:tc>
        <w:tc>
          <w:tcPr>
            <w:tcW w:w="2200" w:type="dxa"/>
            <w:shd w:val="clear" w:color="auto" w:fill="FFFFFF"/>
            <w:tcMar>
              <w:top w:w="90" w:type="dxa"/>
              <w:left w:w="140" w:type="dxa"/>
              <w:bottom w:w="90" w:type="dxa"/>
              <w:right w:w="140" w:type="dxa"/>
            </w:tcMar>
            <w:vAlign w:val="center"/>
          </w:tcPr>
          <w:p>
            <w:pPr>
              <w:jc w:val="right"/>
            </w:pPr>
            <w:r>
              <w:rPr>
                <w:color w:val="0F172A"/>
                <w:sz w:val="22"/>
                <w:szCs w:val="22"/>
              </w:rPr>
              <w:t>$21,000</w:t>
            </w:r>
          </w:p>
        </w:tc>
        <w:tc>
          <w:tcPr>
            <w:tcW w:w="2200" w:type="dxa"/>
            <w:shd w:val="clear" w:color="auto" w:fill="FFFFFF"/>
            <w:tcMar>
              <w:top w:w="90" w:type="dxa"/>
              <w:left w:w="140" w:type="dxa"/>
              <w:bottom w:w="90" w:type="dxa"/>
              <w:right w:w="140" w:type="dxa"/>
            </w:tcMar>
            <w:vAlign w:val="center"/>
          </w:tcPr>
          <w:p>
            <w:pPr>
              <w:jc w:val="right"/>
            </w:pPr>
            <w:r>
              <w:rPr>
                <w:color w:val="0F172A"/>
                <w:sz w:val="22"/>
                <w:szCs w:val="22"/>
              </w:rPr>
              <w:t>$24,750</w:t>
            </w:r>
          </w:p>
        </w:tc>
      </w:tr>
    </w:tbl>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eastAsia="Calibri" w:cs="Calibri"/>
        <w:sz w:val="22"/>
      </w:rPr>
    </w:rPrDefault>
  </w:docDefaults>
  <w:style w:type="paragraph" w:default="1" w:styleId="Normal">
    <w:name w:val="Normal"/>
    <w:qFormat/>
  </w:style>
  <w:style w:type="paragraph" w:styleId="Heading1">
    <w:name w:val="heading 1"/>
    <w:basedOn w:val="Normal"/>
    <w:next w:val="Normal"/>
    <w:uiPriority w:val="9"/>
    <w:qFormat/>
    <w:rPr>
      <w:b/>
      <w:color w:val="0F172A"/>
      <w:sz w:val="48"/>
    </w:rPr>
  </w:style>
  <w:style w:type="paragraph" w:styleId="Heading2">
    <w:name w:val="heading 2"/>
    <w:basedOn w:val="Normal"/>
    <w:next w:val="Normal"/>
    <w:uiPriority w:val="9"/>
    <w:qFormat/>
    <w:rPr>
      <w:b/>
      <w:color w:val="1E293B"/>
      <w:sz w:val="32"/>
    </w:rPr>
  </w:style>
  <w:style w:type="paragraph" w:styleId="Heading3">
    <w:name w:val="heading 3"/>
    <w:basedOn w:val="Normal"/>
    <w:next w:val="Normal"/>
    <w:uiPriority w:val="9"/>
    <w:qFormat/>
    <w:rPr>
      <w:b/>
      <w:color w:val="334155"/>
      <w:sz w:val="26"/>
    </w:rPr>
  </w:style>
  <w:style w:type="paragraph" w:styleId="Title">
    <w:name w:val="Title"/>
    <w:basedOn w:val="Normal"/>
    <w:next w:val="Normal"/>
    <w:qFormat/>
    <w:rPr>
      <w:b/>
      <w:color w:val="0F172A"/>
      <w:sz w:val="56"/>
    </w:rPr>
  </w:style>
  <w:style w:type="paragraph" w:styleId="Subtitle">
    <w:name w:val="Subtitle"/>
    <w:basedOn w:val="Normal"/>
    <w:next w:val="Normal"/>
    <w:qFormat/>
    <w:rPr>
      <w:i/>
      <w:color w:val="6366F1"/>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