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a="http://schemas.openxmlformats.org/drawingml/2006/main" xmlns:c="http://schemas.openxmlformats.org/drawingml/2006/chart" xmlns:pic="http://schemas.openxmlformats.org/drawingml/2006/picture">
  <w:body>
    <w:p>
      <w:pPr>
        <w:pStyle w:val="Title"/>
      </w:pPr>
      <w:r>
        <w:t>Quantum Sensing Frontiers</w:t>
      </w:r>
    </w:p>
    <w:p>
      <w:pPr>
        <w:pStyle w:val="Heading1"/>
      </w:pPr>
      <w:r>
        <w:t>Key Advances in Quantum-Enhanced Metrology</w:t>
      </w:r>
    </w:p>
    <w:p>
      <w:r>
        <w:t>Quantum sensing exploits superposition and entanglement to measure physical quantities with precision beyond classical limits. Recent advances in nitrogen-vacancy (NV) centers, trapped-ion interferometers, and optomechanical resonators have pushed field sensitivity toward the standard quantum limit, while squeezed-light injection — now operational at gravitational-wave observatories such as LIGO — has demonstrated metrological gain beyond it under real-world conditions.</w:t>
      </w:r>
    </w:p>
    <w:p>
      <w:r>
        <w:t>The next frontier lies in hybrid, chip-scale architectures that couple room-temperature atomic ensembles with integrated photonic waveguides, promising portable magnetometers, gravimeters, and atomic clocks. Decoherence management at scale, cryogenic compatibility, and traceable calibration standards remain the principal engineering hurdles; overcoming them will carry quantum sensors from laboratory demonstration into navigation, medical imaging, and subsurface exploration.</w:t>
      </w:r>
    </w:p>
    <w:p>
      <w:pPr>
        <w:jc w:val="left"/>
      </w:pPr>
      <w:r>
        <w:rPr>
          <w:color w:val="64748B"/>
          <w:sz w:val="20"/>
          <w:szCs w:val="20"/>
        </w:rPr>
        <w:t>Simplified quantum sensing pipeline:</w:t>
      </w:r>
    </w:p>
    <w:tbl>
      <w:tblPr>
        <w:tblW w:w="920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00"/>
        <w:gridCol w:w="380"/>
        <w:gridCol w:w="2100"/>
        <w:gridCol w:w="380"/>
        <w:gridCol w:w="2100"/>
        <w:gridCol w:w="380"/>
        <w:gridCol w:w="1760"/>
      </w:tblGrid>
      <w:tr>
        <w:trPr>
          <w:cantSplit/>
        </w:trPr>
        <w:tc>
          <w:tcPr>
            <w:shd w:val="clear" w:color="auto" w:fill="3730A3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1. Photon-Pair Source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4748B"/>
                <w:sz w:val="20"/>
              </w:rPr>
              <w:t>→</w:t>
            </w:r>
          </w:p>
        </w:tc>
        <w:tc>
          <w:tcPr>
            <w:shd w:val="clear" w:color="auto" w:fill="4338CA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2. Squeezing Stage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4748B"/>
                <w:sz w:val="20"/>
              </w:rPr>
              <w:t>→</w:t>
            </w:r>
          </w:p>
        </w:tc>
        <w:tc>
          <w:tcPr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3. Interferometer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color w:val="64748B"/>
                <w:sz w:val="20"/>
              </w:rPr>
              <w:t>→</w:t>
            </w:r>
          </w:p>
        </w:tc>
        <w:tc>
          <w:tcPr>
            <w:shd w:val="clear" w:color="auto" w:fill="6366F1"/>
          </w:tcPr>
          <w:p>
            <w:pPr>
              <w:jc w:val="center"/>
            </w:pPr>
            <w:r>
              <w:rPr>
                <w:b/>
                <w:color w:val="FFFFFF"/>
                <w:sz w:val="18"/>
                <w:szCs w:val="18"/>
              </w:rPr>
              <w:t>4. Readout and Control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color w:val="0F172A"/>
      <w:sz w:val="48"/>
    </w:rPr>
  </w:style>
  <w:style w:type="paragraph" w:styleId="Heading2">
    <w:name w:val="heading 2"/>
    <w:basedOn w:val="Normal"/>
    <w:next w:val="Normal"/>
    <w:uiPriority w:val="9"/>
    <w:qFormat/>
    <w:rPr>
      <w:b/>
      <w:color w:val="1E293B"/>
      <w:sz w:val="32"/>
    </w:rPr>
  </w:style>
  <w:style w:type="paragraph" w:styleId="Heading3">
    <w:name w:val="heading 3"/>
    <w:basedOn w:val="Normal"/>
    <w:next w:val="Normal"/>
    <w:uiPriority w:val="9"/>
    <w:qFormat/>
    <w:rPr>
      <w:b/>
      <w:color w:val="334155"/>
      <w:sz w:val="26"/>
    </w:rPr>
  </w:style>
  <w:style w:type="paragraph" w:styleId="Title">
    <w:name w:val="Title"/>
    <w:basedOn w:val="Normal"/>
    <w:next w:val="Normal"/>
    <w:qFormat/>
    <w:rPr>
      <w:b/>
      <w:color w:val="0F172A"/>
      <w:sz w:val="56"/>
    </w:rPr>
  </w:style>
  <w:style w:type="paragraph" w:styleId="Subtitle">
    <w:name w:val="Subtitle"/>
    <w:basedOn w:val="Normal"/>
    <w:next w:val="Normal"/>
    <w:qFormat/>
    <w:rPr>
      <w:i/>
      <w:color w:val="6366F1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