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5F7C"/>
          <w:sz w:val="36"/>
        </w:rPr>
        <w:t>DOGLY</w:t>
      </w:r>
    </w:p>
    <w:p>
      <w:pPr>
        <w:jc w:val="center"/>
      </w:pPr>
      <w:r>
        <w:rPr>
          <w:b/>
          <w:color w:val="153B5B"/>
          <w:sz w:val="58"/>
        </w:rPr>
        <w:t>SCIENTIFIC KNOWLEDGE BASE V1</w:t>
      </w:r>
    </w:p>
    <w:p>
      <w:pPr>
        <w:jc w:val="center"/>
      </w:pPr>
      <w:r>
        <w:rPr>
          <w:color w:val="5A7486"/>
          <w:sz w:val="26"/>
        </w:rPr>
        <w:t>Evidence Architecture • Canine Behavior • Vocalization • Safety • Digestive Intelligence</w:t>
      </w:r>
    </w:p>
    <w:p/>
    <w:p>
      <w:pPr>
        <w:jc w:val="center"/>
      </w:pPr>
      <w:r>
        <w:rPr>
          <w:i/>
          <w:sz w:val="20"/>
        </w:rPr>
        <w:t>Enterprise research synthesis — 6 settembre 2026</w:t>
      </w:r>
    </w:p>
    <w:p/>
    <w:tbl>
      <w:tblPr>
        <w:tblStyle w:val="TableGrid"/>
        <w:tblW w:type="auto" w:w="0"/>
        <w:jc w:val="center"/>
        <w:tblLook w:firstColumn="1" w:firstRow="1" w:lastColumn="0" w:lastRow="0" w:noHBand="0" w:noVBand="1" w:val="04A0"/>
      </w:tblPr>
      <w:tblGrid>
        <w:gridCol w:w="10166"/>
      </w:tblGrid>
      <w:tr>
        <w:tc>
          <w:tcPr>
            <w:tcW w:type="dxa" w:w="10166"/>
            <w:shd w:fill="EAF2F7"/>
          </w:tcPr>
          <w:p>
            <w:pPr>
              <w:spacing w:after="0"/>
            </w:pPr>
            <w:r/>
            <w:r>
              <w:rPr>
                <w:rFonts w:ascii="Aptos" w:hAnsi="Aptos"/>
                <w:b/>
                <w:color w:val="153B5B"/>
                <w:sz w:val="20"/>
              </w:rPr>
              <w:t>Scopo: trasformare la Product Spec V2 in una base di conoscenza scientifica operativa per Dogly.</w:t>
              <w:br/>
              <w:t>Questo documento NON tratta la comunicazione canina come una lingua umana e NON autorizza diagnosi veterinarie.</w:t>
              <w:br/>
              <w:t>Le interpretazioni sono probabilistiche, contestuali, spiegabili e possono astenersi.</w:t>
            </w:r>
          </w:p>
        </w:tc>
      </w:tr>
    </w:tbl>
    <w:p/>
    <w:p>
      <w:pPr>
        <w:jc w:val="center"/>
      </w:pPr>
      <w:r>
        <w:rPr>
          <w:b/>
        </w:rPr>
        <w:t>Stato: V1 pronta per implementazione come knowledge layer + protocollo di validazione.</w:t>
      </w:r>
    </w:p>
    <w:p>
      <w:r>
        <w:br w:type="page"/>
      </w:r>
    </w:p>
    <w:p>
      <w:pPr>
        <w:pStyle w:val="Heading1"/>
      </w:pPr>
      <w:r>
        <w:t>1. Decisione esecutiva</w:t>
      </w:r>
    </w:p>
    <w:p>
      <w:r>
        <w:t>La Product Spec V2 è sufficiente come architettura di prodotto, ma non deve essere trattata come la conoscenza scientifica del modello. La V1 di Dogly deve separare tre livelli: osservazione multimodale, conoscenza generale verificata e memoria personale del singolo cane.</w:t>
      </w:r>
    </w:p>
    <w:p>
      <w:pPr>
        <w:pStyle w:val="DoglyCallout"/>
      </w:pPr>
      <w:r>
        <w:t>Formula operativa: VIDEO/FOTO/AUDIO → OSSERVABILI → KNOWLEDGE BASE → CONTESTO → MEMORIA DEL CANE → INTERPRETAZIONE PROBABILISTICA → CONFIDENCE / ASTENSIONE.</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53B5B"/>
            <w:vAlign w:val="center"/>
          </w:tcPr>
          <w:p>
            <w:pPr>
              <w:spacing w:after="0"/>
            </w:pPr>
            <w:r/>
            <w:r>
              <w:rPr>
                <w:rFonts w:ascii="Aptos" w:hAnsi="Aptos"/>
                <w:b/>
                <w:color w:val="FFFFFF"/>
                <w:sz w:val="16"/>
              </w:rPr>
              <w:t>Livello</w:t>
            </w:r>
          </w:p>
        </w:tc>
        <w:tc>
          <w:tcPr>
            <w:tcW w:type="dxa" w:w="4752"/>
            <w:shd w:fill="153B5B"/>
            <w:vAlign w:val="center"/>
          </w:tcPr>
          <w:p>
            <w:pPr>
              <w:spacing w:after="0"/>
            </w:pPr>
            <w:r/>
            <w:r>
              <w:rPr>
                <w:rFonts w:ascii="Aptos" w:hAnsi="Aptos"/>
                <w:b/>
                <w:color w:val="FFFFFF"/>
                <w:sz w:val="16"/>
              </w:rPr>
              <w:t>Che cosa contiene</w:t>
            </w:r>
          </w:p>
        </w:tc>
        <w:tc>
          <w:tcPr>
            <w:tcW w:type="dxa" w:w="3456"/>
            <w:shd w:fill="153B5B"/>
            <w:vAlign w:val="center"/>
          </w:tcPr>
          <w:p>
            <w:pPr>
              <w:spacing w:after="0"/>
            </w:pPr>
            <w:r/>
            <w:r>
              <w:rPr>
                <w:rFonts w:ascii="Aptos" w:hAnsi="Aptos"/>
                <w:b/>
                <w:color w:val="FFFFFF"/>
                <w:sz w:val="16"/>
              </w:rPr>
              <w:t>Cosa NON deve fare</w:t>
            </w:r>
          </w:p>
        </w:tc>
      </w:tr>
      <w:tr>
        <w:tc>
          <w:tcPr>
            <w:tcW w:type="dxa" w:w="1872"/>
            <w:vAlign w:val="top"/>
          </w:tcPr>
          <w:p>
            <w:pPr>
              <w:spacing w:after="0"/>
            </w:pPr>
            <w:r/>
            <w:r>
              <w:rPr>
                <w:rFonts w:ascii="Aptos" w:hAnsi="Aptos"/>
                <w:b w:val="0"/>
                <w:sz w:val="16"/>
              </w:rPr>
              <w:t>1. Observer</w:t>
            </w:r>
          </w:p>
        </w:tc>
        <w:tc>
          <w:tcPr>
            <w:tcW w:type="dxa" w:w="4752"/>
            <w:vAlign w:val="top"/>
          </w:tcPr>
          <w:p>
            <w:pPr>
              <w:spacing w:after="0"/>
            </w:pPr>
            <w:r/>
            <w:r>
              <w:rPr>
                <w:rFonts w:ascii="Aptos" w:hAnsi="Aptos"/>
                <w:b w:val="0"/>
                <w:sz w:val="16"/>
              </w:rPr>
              <w:t>Segnali visibili/udibili: postura, coda, orecchie, faccia, movimento, vocalizzazioni, qualità acquisizione.</w:t>
            </w:r>
          </w:p>
        </w:tc>
        <w:tc>
          <w:tcPr>
            <w:tcW w:type="dxa" w:w="3456"/>
            <w:vAlign w:val="top"/>
          </w:tcPr>
          <w:p>
            <w:pPr>
              <w:spacing w:after="0"/>
            </w:pPr>
            <w:r/>
            <w:r>
              <w:rPr>
                <w:rFonts w:ascii="Aptos" w:hAnsi="Aptos"/>
                <w:b w:val="0"/>
                <w:sz w:val="16"/>
              </w:rPr>
              <w:t>Non assegna intenzioni o emozioni come fatti.</w:t>
            </w:r>
          </w:p>
        </w:tc>
      </w:tr>
      <w:tr>
        <w:tc>
          <w:tcPr>
            <w:tcW w:type="dxa" w:w="1872"/>
            <w:vAlign w:val="top"/>
          </w:tcPr>
          <w:p>
            <w:pPr>
              <w:spacing w:after="0"/>
            </w:pPr>
            <w:r/>
            <w:r>
              <w:rPr>
                <w:rFonts w:ascii="Aptos" w:hAnsi="Aptos"/>
                <w:b w:val="0"/>
                <w:sz w:val="16"/>
              </w:rPr>
              <w:t>2. Scientific KB</w:t>
            </w:r>
          </w:p>
        </w:tc>
        <w:tc>
          <w:tcPr>
            <w:tcW w:type="dxa" w:w="4752"/>
            <w:vAlign w:val="top"/>
          </w:tcPr>
          <w:p>
            <w:pPr>
              <w:spacing w:after="0"/>
            </w:pPr>
            <w:r/>
            <w:r>
              <w:rPr>
                <w:rFonts w:ascii="Aptos" w:hAnsi="Aptos"/>
                <w:b w:val="0"/>
                <w:sz w:val="16"/>
              </w:rPr>
              <w:t>Relazioni evidence-backed tra segnali, contesti, interpretazioni compatibili, limiti e red flags.</w:t>
            </w:r>
          </w:p>
        </w:tc>
        <w:tc>
          <w:tcPr>
            <w:tcW w:type="dxa" w:w="3456"/>
            <w:vAlign w:val="top"/>
          </w:tcPr>
          <w:p>
            <w:pPr>
              <w:spacing w:after="0"/>
            </w:pPr>
            <w:r/>
            <w:r>
              <w:rPr>
                <w:rFonts w:ascii="Aptos" w:hAnsi="Aptos"/>
                <w:b w:val="0"/>
                <w:sz w:val="16"/>
              </w:rPr>
              <w:t>Non diventa un dizionario deterministico cane→significato.</w:t>
            </w:r>
          </w:p>
        </w:tc>
      </w:tr>
      <w:tr>
        <w:tc>
          <w:tcPr>
            <w:tcW w:type="dxa" w:w="1872"/>
            <w:vAlign w:val="top"/>
          </w:tcPr>
          <w:p>
            <w:pPr>
              <w:spacing w:after="0"/>
            </w:pPr>
            <w:r/>
            <w:r>
              <w:rPr>
                <w:rFonts w:ascii="Aptos" w:hAnsi="Aptos"/>
                <w:b w:val="0"/>
                <w:sz w:val="16"/>
              </w:rPr>
              <w:t>3. Personal Memory</w:t>
            </w:r>
          </w:p>
        </w:tc>
        <w:tc>
          <w:tcPr>
            <w:tcW w:type="dxa" w:w="4752"/>
            <w:vAlign w:val="top"/>
          </w:tcPr>
          <w:p>
            <w:pPr>
              <w:spacing w:after="0"/>
            </w:pPr>
            <w:r/>
            <w:r>
              <w:rPr>
                <w:rFonts w:ascii="Aptos" w:hAnsi="Aptos"/>
                <w:b w:val="0"/>
                <w:sz w:val="16"/>
              </w:rPr>
              <w:t>Pattern longitudinali dello stesso cane, con ripetizione, feedback e contraddizioni.</w:t>
            </w:r>
          </w:p>
        </w:tc>
        <w:tc>
          <w:tcPr>
            <w:tcW w:type="dxa" w:w="3456"/>
            <w:vAlign w:val="top"/>
          </w:tcPr>
          <w:p>
            <w:pPr>
              <w:spacing w:after="0"/>
            </w:pPr>
            <w:r/>
            <w:r>
              <w:rPr>
                <w:rFonts w:ascii="Aptos" w:hAnsi="Aptos"/>
                <w:b w:val="0"/>
                <w:sz w:val="16"/>
              </w:rPr>
              <w:t>Non promuove un singolo episodio a verità personale.</w:t>
            </w:r>
          </w:p>
        </w:tc>
      </w:tr>
      <w:tr>
        <w:tc>
          <w:tcPr>
            <w:tcW w:type="dxa" w:w="1872"/>
            <w:vAlign w:val="top"/>
          </w:tcPr>
          <w:p>
            <w:pPr>
              <w:spacing w:after="0"/>
            </w:pPr>
            <w:r/>
            <w:r>
              <w:rPr>
                <w:rFonts w:ascii="Aptos" w:hAnsi="Aptos"/>
                <w:b w:val="0"/>
                <w:sz w:val="16"/>
              </w:rPr>
              <w:t>4. Decision Engine</w:t>
            </w:r>
          </w:p>
        </w:tc>
        <w:tc>
          <w:tcPr>
            <w:tcW w:type="dxa" w:w="4752"/>
            <w:vAlign w:val="top"/>
          </w:tcPr>
          <w:p>
            <w:pPr>
              <w:spacing w:after="0"/>
            </w:pPr>
            <w:r/>
            <w:r>
              <w:rPr>
                <w:rFonts w:ascii="Aptos" w:hAnsi="Aptos"/>
                <w:b w:val="0"/>
                <w:sz w:val="16"/>
              </w:rPr>
              <w:t>Pesa evidenze, contesto, qualità e memoria; decide risposta, domanda o astensione.</w:t>
            </w:r>
          </w:p>
        </w:tc>
        <w:tc>
          <w:tcPr>
            <w:tcW w:type="dxa" w:w="3456"/>
            <w:vAlign w:val="top"/>
          </w:tcPr>
          <w:p>
            <w:pPr>
              <w:spacing w:after="0"/>
            </w:pPr>
            <w:r/>
            <w:r>
              <w:rPr>
                <w:rFonts w:ascii="Aptos" w:hAnsi="Aptos"/>
                <w:b w:val="0"/>
                <w:sz w:val="16"/>
              </w:rPr>
              <w:t>Non forza una risposta quando i dati sono insufficienti.</w:t>
            </w:r>
          </w:p>
        </w:tc>
      </w:tr>
    </w:tbl>
    <w:p/>
    <w:p>
      <w:r>
        <w:t>Questo è coerente con la Product Spec V2: Fase 0 = taxonomy, advisory review, dataset/licenze, protocollo di annotazione e risk register; abstention obbligatoria; razza come prior debole; profilo personale longitudinalmente validato.</w:t>
      </w:r>
    </w:p>
    <w:p>
      <w:r>
        <w:t>Base documento di progetto: Canine Behavioral Intelligence — Enterprise Product Spec V2 (3 settembre 2026).</w:t>
      </w:r>
    </w:p>
    <w:p>
      <w:pPr>
        <w:pStyle w:val="Heading1"/>
      </w:pPr>
      <w:r>
        <w:t>2. Metodo di ricerca e qualità dell'evidenza</w:t>
      </w:r>
    </w:p>
    <w:p>
      <w:r>
        <w:t>Questa V1 è una rapid evidence synthesis orientata al prodotto, non una revisione sistematica PRISMA. Sono state privilegiate review peer-reviewed, linee guida veterinarie, sistemi di coding anatomici, studi bioacustici e dataset con licenza esplicita.</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53B5B"/>
            <w:vAlign w:val="center"/>
          </w:tcPr>
          <w:p>
            <w:pPr>
              <w:spacing w:after="0"/>
            </w:pPr>
            <w:r/>
            <w:r>
              <w:rPr>
                <w:rFonts w:ascii="Aptos" w:hAnsi="Aptos"/>
                <w:b/>
                <w:color w:val="FFFFFF"/>
                <w:sz w:val="16"/>
              </w:rPr>
              <w:t>Grado</w:t>
            </w:r>
          </w:p>
        </w:tc>
        <w:tc>
          <w:tcPr>
            <w:tcW w:type="dxa" w:w="5472"/>
            <w:shd w:fill="153B5B"/>
            <w:vAlign w:val="center"/>
          </w:tcPr>
          <w:p>
            <w:pPr>
              <w:spacing w:after="0"/>
            </w:pPr>
            <w:r/>
            <w:r>
              <w:rPr>
                <w:rFonts w:ascii="Aptos" w:hAnsi="Aptos"/>
                <w:b/>
                <w:color w:val="FFFFFF"/>
                <w:sz w:val="16"/>
              </w:rPr>
              <w:t>Uso in Dogly</w:t>
            </w:r>
          </w:p>
        </w:tc>
        <w:tc>
          <w:tcPr>
            <w:tcW w:type="dxa" w:w="2880"/>
            <w:shd w:fill="153B5B"/>
            <w:vAlign w:val="center"/>
          </w:tcPr>
          <w:p>
            <w:pPr>
              <w:spacing w:after="0"/>
            </w:pPr>
            <w:r/>
            <w:r>
              <w:rPr>
                <w:rFonts w:ascii="Aptos" w:hAnsi="Aptos"/>
                <w:b/>
                <w:color w:val="FFFFFF"/>
                <w:sz w:val="16"/>
              </w:rPr>
              <w:t>Esempi</w:t>
            </w:r>
          </w:p>
        </w:tc>
      </w:tr>
      <w:tr>
        <w:tc>
          <w:tcPr>
            <w:tcW w:type="dxa" w:w="2016"/>
            <w:vAlign w:val="top"/>
          </w:tcPr>
          <w:p>
            <w:pPr>
              <w:spacing w:after="0"/>
            </w:pPr>
            <w:r/>
            <w:r>
              <w:rPr>
                <w:rFonts w:ascii="Aptos" w:hAnsi="Aptos"/>
                <w:b w:val="0"/>
                <w:sz w:val="16"/>
              </w:rPr>
              <w:t>A — robusto</w:t>
            </w:r>
          </w:p>
        </w:tc>
        <w:tc>
          <w:tcPr>
            <w:tcW w:type="dxa" w:w="5472"/>
            <w:vAlign w:val="top"/>
          </w:tcPr>
          <w:p>
            <w:pPr>
              <w:spacing w:after="0"/>
            </w:pPr>
            <w:r/>
            <w:r>
              <w:rPr>
                <w:rFonts w:ascii="Aptos" w:hAnsi="Aptos"/>
                <w:b w:val="0"/>
                <w:sz w:val="16"/>
              </w:rPr>
              <w:t>Può fondare policy, safety gate, schema osservativo e copy prudente.</w:t>
            </w:r>
          </w:p>
        </w:tc>
        <w:tc>
          <w:tcPr>
            <w:tcW w:type="dxa" w:w="2880"/>
            <w:vAlign w:val="top"/>
          </w:tcPr>
          <w:p>
            <w:pPr>
              <w:spacing w:after="0"/>
            </w:pPr>
            <w:r/>
            <w:r>
              <w:rPr>
                <w:rFonts w:ascii="Aptos" w:hAnsi="Aptos"/>
                <w:b w:val="0"/>
                <w:sz w:val="16"/>
              </w:rPr>
              <w:t>Review, linee guida cliniche, metodi validati, grandi studi.</w:t>
            </w:r>
          </w:p>
        </w:tc>
      </w:tr>
      <w:tr>
        <w:tc>
          <w:tcPr>
            <w:tcW w:type="dxa" w:w="2016"/>
            <w:vAlign w:val="top"/>
          </w:tcPr>
          <w:p>
            <w:pPr>
              <w:spacing w:after="0"/>
            </w:pPr>
            <w:r/>
            <w:r>
              <w:rPr>
                <w:rFonts w:ascii="Aptos" w:hAnsi="Aptos"/>
                <w:b w:val="0"/>
                <w:sz w:val="16"/>
              </w:rPr>
              <w:t>B — moderato</w:t>
            </w:r>
          </w:p>
        </w:tc>
        <w:tc>
          <w:tcPr>
            <w:tcW w:type="dxa" w:w="5472"/>
            <w:vAlign w:val="top"/>
          </w:tcPr>
          <w:p>
            <w:pPr>
              <w:spacing w:after="0"/>
            </w:pPr>
            <w:r/>
            <w:r>
              <w:rPr>
                <w:rFonts w:ascii="Aptos" w:hAnsi="Aptos"/>
                <w:b w:val="0"/>
                <w:sz w:val="16"/>
              </w:rPr>
              <w:t>Può sostenere interpretazioni compatibili con confidence controllata.</w:t>
            </w:r>
          </w:p>
        </w:tc>
        <w:tc>
          <w:tcPr>
            <w:tcW w:type="dxa" w:w="2880"/>
            <w:vAlign w:val="top"/>
          </w:tcPr>
          <w:p>
            <w:pPr>
              <w:spacing w:after="0"/>
            </w:pPr>
            <w:r/>
            <w:r>
              <w:rPr>
                <w:rFonts w:ascii="Aptos" w:hAnsi="Aptos"/>
                <w:b w:val="0"/>
                <w:sz w:val="16"/>
              </w:rPr>
              <w:t>Studi sperimentali/observational replicabili ma con contesti o campioni limitati.</w:t>
            </w:r>
          </w:p>
        </w:tc>
      </w:tr>
      <w:tr>
        <w:tc>
          <w:tcPr>
            <w:tcW w:type="dxa" w:w="2016"/>
            <w:vAlign w:val="top"/>
          </w:tcPr>
          <w:p>
            <w:pPr>
              <w:spacing w:after="0"/>
            </w:pPr>
            <w:r/>
            <w:r>
              <w:rPr>
                <w:rFonts w:ascii="Aptos" w:hAnsi="Aptos"/>
                <w:b w:val="0"/>
                <w:sz w:val="16"/>
              </w:rPr>
              <w:t>C — preliminare</w:t>
            </w:r>
          </w:p>
        </w:tc>
        <w:tc>
          <w:tcPr>
            <w:tcW w:type="dxa" w:w="5472"/>
            <w:vAlign w:val="top"/>
          </w:tcPr>
          <w:p>
            <w:pPr>
              <w:spacing w:after="0"/>
            </w:pPr>
            <w:r/>
            <w:r>
              <w:rPr>
                <w:rFonts w:ascii="Aptos" w:hAnsi="Aptos"/>
                <w:b w:val="0"/>
                <w:sz w:val="16"/>
              </w:rPr>
              <w:t>Solo benchmark, R&amp;D o feature candidate; non va presentato come verità consumer.</w:t>
            </w:r>
          </w:p>
        </w:tc>
        <w:tc>
          <w:tcPr>
            <w:tcW w:type="dxa" w:w="2880"/>
            <w:vAlign w:val="top"/>
          </w:tcPr>
          <w:p>
            <w:pPr>
              <w:spacing w:after="0"/>
            </w:pPr>
            <w:r/>
            <w:r>
              <w:rPr>
                <w:rFonts w:ascii="Aptos" w:hAnsi="Aptos"/>
                <w:b w:val="0"/>
                <w:sz w:val="16"/>
              </w:rPr>
              <w:t>Dataset community, singoli modelli, piccole coorti.</w:t>
            </w:r>
          </w:p>
        </w:tc>
      </w:tr>
      <w:tr>
        <w:tc>
          <w:tcPr>
            <w:tcW w:type="dxa" w:w="2016"/>
            <w:vAlign w:val="top"/>
          </w:tcPr>
          <w:p>
            <w:pPr>
              <w:spacing w:after="0"/>
            </w:pPr>
            <w:r/>
            <w:r>
              <w:rPr>
                <w:rFonts w:ascii="Aptos" w:hAnsi="Aptos"/>
                <w:b w:val="0"/>
                <w:sz w:val="16"/>
              </w:rPr>
              <w:t>D — euristica/marketing</w:t>
            </w:r>
          </w:p>
        </w:tc>
        <w:tc>
          <w:tcPr>
            <w:tcW w:type="dxa" w:w="5472"/>
            <w:vAlign w:val="top"/>
          </w:tcPr>
          <w:p>
            <w:pPr>
              <w:spacing w:after="0"/>
            </w:pPr>
            <w:r/>
            <w:r>
              <w:rPr>
                <w:rFonts w:ascii="Aptos" w:hAnsi="Aptos"/>
                <w:b w:val="0"/>
                <w:sz w:val="16"/>
              </w:rPr>
              <w:t>Non entra nella KB scientifica salvo come ipotesi da testare.</w:t>
            </w:r>
          </w:p>
        </w:tc>
        <w:tc>
          <w:tcPr>
            <w:tcW w:type="dxa" w:w="2880"/>
            <w:vAlign w:val="top"/>
          </w:tcPr>
          <w:p>
            <w:pPr>
              <w:spacing w:after="0"/>
            </w:pPr>
            <w:r/>
            <w:r>
              <w:rPr>
                <w:rFonts w:ascii="Aptos" w:hAnsi="Aptos"/>
                <w:b w:val="0"/>
                <w:sz w:val="16"/>
              </w:rPr>
              <w:t>Claim commerciali, blog non clinici, stereotipi.</w:t>
            </w:r>
          </w:p>
        </w:tc>
      </w:tr>
    </w:tbl>
    <w:p/>
    <w:p>
      <w:r>
        <w:t>Regola di convergenza: un output interpretativo non deriva da un singolo segnale. Dogly cerca convergenza tra almeno due famiglie indipendenti (es. postura + movimento; vocalizzazione + contesto; faccia + postura) oppure usa un pattern personale già consolidato.</w:t>
      </w:r>
    </w:p>
    <w:p>
      <w:pPr>
        <w:pStyle w:val="Heading1"/>
      </w:pPr>
      <w:r>
        <w:t>3. Taxonomy V1: cosa osservare e cosa interpretare</w:t>
      </w:r>
    </w:p>
    <w:p>
      <w:pPr>
        <w:pStyle w:val="Heading2"/>
      </w:pPr>
      <w:r>
        <w:t>3.1 Observation Taxonomy</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53B5B"/>
            <w:vAlign w:val="center"/>
          </w:tcPr>
          <w:p>
            <w:pPr>
              <w:spacing w:after="0"/>
            </w:pPr>
            <w:r/>
            <w:r>
              <w:rPr>
                <w:rFonts w:ascii="Aptos" w:hAnsi="Aptos"/>
                <w:b/>
                <w:color w:val="FFFFFF"/>
                <w:sz w:val="16"/>
              </w:rPr>
              <w:t>Famiglia</w:t>
            </w:r>
          </w:p>
        </w:tc>
        <w:tc>
          <w:tcPr>
            <w:tcW w:type="dxa" w:w="4608"/>
            <w:shd w:fill="153B5B"/>
            <w:vAlign w:val="center"/>
          </w:tcPr>
          <w:p>
            <w:pPr>
              <w:spacing w:after="0"/>
            </w:pPr>
            <w:r/>
            <w:r>
              <w:rPr>
                <w:rFonts w:ascii="Aptos" w:hAnsi="Aptos"/>
                <w:b/>
                <w:color w:val="FFFFFF"/>
                <w:sz w:val="16"/>
              </w:rPr>
              <w:t>Feature V1</w:t>
            </w:r>
          </w:p>
        </w:tc>
        <w:tc>
          <w:tcPr>
            <w:tcW w:type="dxa" w:w="4032"/>
            <w:shd w:fill="153B5B"/>
            <w:vAlign w:val="center"/>
          </w:tcPr>
          <w:p>
            <w:pPr>
              <w:spacing w:after="0"/>
            </w:pPr>
            <w:r/>
            <w:r>
              <w:rPr>
                <w:rFonts w:ascii="Aptos" w:hAnsi="Aptos"/>
                <w:b/>
                <w:color w:val="FFFFFF"/>
                <w:sz w:val="16"/>
              </w:rPr>
              <w:t>Note operative</w:t>
            </w:r>
          </w:p>
        </w:tc>
      </w:tr>
      <w:tr>
        <w:tc>
          <w:tcPr>
            <w:tcW w:type="dxa" w:w="1728"/>
            <w:vAlign w:val="top"/>
          </w:tcPr>
          <w:p>
            <w:pPr>
              <w:spacing w:after="0"/>
            </w:pPr>
            <w:r/>
            <w:r>
              <w:rPr>
                <w:rFonts w:ascii="Aptos" w:hAnsi="Aptos"/>
                <w:b w:val="0"/>
                <w:sz w:val="16"/>
              </w:rPr>
              <w:t>Body</w:t>
            </w:r>
          </w:p>
        </w:tc>
        <w:tc>
          <w:tcPr>
            <w:tcW w:type="dxa" w:w="4608"/>
            <w:vAlign w:val="top"/>
          </w:tcPr>
          <w:p>
            <w:pPr>
              <w:spacing w:after="0"/>
            </w:pPr>
            <w:r/>
            <w:r>
              <w:rPr>
                <w:rFonts w:ascii="Aptos" w:hAnsi="Aptos"/>
                <w:b w:val="0"/>
                <w:sz w:val="16"/>
              </w:rPr>
              <w:t>posture level, stiffness, freeze, approach, retreat, play bow, locomotion</w:t>
            </w:r>
          </w:p>
        </w:tc>
        <w:tc>
          <w:tcPr>
            <w:tcW w:type="dxa" w:w="4032"/>
            <w:vAlign w:val="top"/>
          </w:tcPr>
          <w:p>
            <w:pPr>
              <w:spacing w:after="0"/>
            </w:pPr>
            <w:r/>
            <w:r>
              <w:rPr>
                <w:rFonts w:ascii="Aptos" w:hAnsi="Aptos"/>
                <w:b w:val="0"/>
                <w:sz w:val="16"/>
              </w:rPr>
              <w:t>Feature osservabili, frame/segment level.</w:t>
            </w:r>
          </w:p>
        </w:tc>
      </w:tr>
      <w:tr>
        <w:tc>
          <w:tcPr>
            <w:tcW w:type="dxa" w:w="1728"/>
            <w:vAlign w:val="top"/>
          </w:tcPr>
          <w:p>
            <w:pPr>
              <w:spacing w:after="0"/>
            </w:pPr>
            <w:r/>
            <w:r>
              <w:rPr>
                <w:rFonts w:ascii="Aptos" w:hAnsi="Aptos"/>
                <w:b w:val="0"/>
                <w:sz w:val="16"/>
              </w:rPr>
              <w:t>Tail</w:t>
            </w:r>
          </w:p>
        </w:tc>
        <w:tc>
          <w:tcPr>
            <w:tcW w:type="dxa" w:w="4608"/>
            <w:vAlign w:val="top"/>
          </w:tcPr>
          <w:p>
            <w:pPr>
              <w:spacing w:after="0"/>
            </w:pPr>
            <w:r/>
            <w:r>
              <w:rPr>
                <w:rFonts w:ascii="Aptos" w:hAnsi="Aptos"/>
                <w:b w:val="0"/>
                <w:sz w:val="16"/>
              </w:rPr>
              <w:t>height vs baseline, tuck, stiffness, wag speed/amplitude</w:t>
            </w:r>
          </w:p>
        </w:tc>
        <w:tc>
          <w:tcPr>
            <w:tcW w:type="dxa" w:w="4032"/>
            <w:vAlign w:val="top"/>
          </w:tcPr>
          <w:p>
            <w:pPr>
              <w:spacing w:after="0"/>
            </w:pPr>
            <w:r/>
            <w:r>
              <w:rPr>
                <w:rFonts w:ascii="Aptos" w:hAnsi="Aptos"/>
                <w:b w:val="0"/>
                <w:sz w:val="16"/>
              </w:rPr>
              <w:t>Morfologia e baseline obbligatorie.</w:t>
            </w:r>
          </w:p>
        </w:tc>
      </w:tr>
      <w:tr>
        <w:tc>
          <w:tcPr>
            <w:tcW w:type="dxa" w:w="1728"/>
            <w:vAlign w:val="top"/>
          </w:tcPr>
          <w:p>
            <w:pPr>
              <w:spacing w:after="0"/>
            </w:pPr>
            <w:r/>
            <w:r>
              <w:rPr>
                <w:rFonts w:ascii="Aptos" w:hAnsi="Aptos"/>
                <w:b w:val="0"/>
                <w:sz w:val="16"/>
              </w:rPr>
              <w:t>Ears</w:t>
            </w:r>
          </w:p>
        </w:tc>
        <w:tc>
          <w:tcPr>
            <w:tcW w:type="dxa" w:w="4608"/>
            <w:vAlign w:val="top"/>
          </w:tcPr>
          <w:p>
            <w:pPr>
              <w:spacing w:after="0"/>
            </w:pPr>
            <w:r/>
            <w:r>
              <w:rPr>
                <w:rFonts w:ascii="Aptos" w:hAnsi="Aptos"/>
                <w:b w:val="0"/>
                <w:sz w:val="16"/>
              </w:rPr>
              <w:t>forward/back/flat/down/unknown</w:t>
            </w:r>
          </w:p>
        </w:tc>
        <w:tc>
          <w:tcPr>
            <w:tcW w:type="dxa" w:w="4032"/>
            <w:vAlign w:val="top"/>
          </w:tcPr>
          <w:p>
            <w:pPr>
              <w:spacing w:after="0"/>
            </w:pPr>
            <w:r/>
            <w:r>
              <w:rPr>
                <w:rFonts w:ascii="Aptos" w:hAnsi="Aptos"/>
                <w:b w:val="0"/>
                <w:sz w:val="16"/>
              </w:rPr>
              <w:t>Mai penalizzare floppy/cropped/poor visibility.</w:t>
            </w:r>
          </w:p>
        </w:tc>
      </w:tr>
      <w:tr>
        <w:tc>
          <w:tcPr>
            <w:tcW w:type="dxa" w:w="1728"/>
            <w:vAlign w:val="top"/>
          </w:tcPr>
          <w:p>
            <w:pPr>
              <w:spacing w:after="0"/>
            </w:pPr>
            <w:r/>
            <w:r>
              <w:rPr>
                <w:rFonts w:ascii="Aptos" w:hAnsi="Aptos"/>
                <w:b w:val="0"/>
                <w:sz w:val="16"/>
              </w:rPr>
              <w:t>Face</w:t>
            </w:r>
          </w:p>
        </w:tc>
        <w:tc>
          <w:tcPr>
            <w:tcW w:type="dxa" w:w="4608"/>
            <w:vAlign w:val="top"/>
          </w:tcPr>
          <w:p>
            <w:pPr>
              <w:spacing w:after="0"/>
            </w:pPr>
            <w:r/>
            <w:r>
              <w:rPr>
                <w:rFonts w:ascii="Aptos" w:hAnsi="Aptos"/>
                <w:b w:val="0"/>
                <w:sz w:val="16"/>
              </w:rPr>
              <w:t>blink, eye closure, brow movement, lips part/retract, lick, yawn, pant</w:t>
            </w:r>
          </w:p>
        </w:tc>
        <w:tc>
          <w:tcPr>
            <w:tcW w:type="dxa" w:w="4032"/>
            <w:vAlign w:val="top"/>
          </w:tcPr>
          <w:p>
            <w:pPr>
              <w:spacing w:after="0"/>
            </w:pPr>
            <w:r/>
            <w:r>
              <w:rPr>
                <w:rFonts w:ascii="Aptos" w:hAnsi="Aptos"/>
                <w:b w:val="0"/>
                <w:sz w:val="16"/>
              </w:rPr>
              <w:t>DogFACS-inspired feature layer; no emotion labels.</w:t>
            </w:r>
          </w:p>
        </w:tc>
      </w:tr>
      <w:tr>
        <w:tc>
          <w:tcPr>
            <w:tcW w:type="dxa" w:w="1728"/>
            <w:vAlign w:val="top"/>
          </w:tcPr>
          <w:p>
            <w:pPr>
              <w:spacing w:after="0"/>
            </w:pPr>
            <w:r/>
            <w:r>
              <w:rPr>
                <w:rFonts w:ascii="Aptos" w:hAnsi="Aptos"/>
                <w:b w:val="0"/>
                <w:sz w:val="16"/>
              </w:rPr>
              <w:t>Head/Gaze</w:t>
            </w:r>
          </w:p>
        </w:tc>
        <w:tc>
          <w:tcPr>
            <w:tcW w:type="dxa" w:w="4608"/>
            <w:vAlign w:val="top"/>
          </w:tcPr>
          <w:p>
            <w:pPr>
              <w:spacing w:after="0"/>
            </w:pPr>
            <w:r/>
            <w:r>
              <w:rPr>
                <w:rFonts w:ascii="Aptos" w:hAnsi="Aptos"/>
                <w:b w:val="0"/>
                <w:sz w:val="16"/>
              </w:rPr>
              <w:t>orientation, head turn, gaze alternation, target</w:t>
            </w:r>
          </w:p>
        </w:tc>
        <w:tc>
          <w:tcPr>
            <w:tcW w:type="dxa" w:w="4032"/>
            <w:vAlign w:val="top"/>
          </w:tcPr>
          <w:p>
            <w:pPr>
              <w:spacing w:after="0"/>
            </w:pPr>
            <w:r/>
            <w:r>
              <w:rPr>
                <w:rFonts w:ascii="Aptos" w:hAnsi="Aptos"/>
                <w:b w:val="0"/>
                <w:sz w:val="16"/>
              </w:rPr>
              <w:t>Target e sequenza sono cruciali.</w:t>
            </w:r>
          </w:p>
        </w:tc>
      </w:tr>
      <w:tr>
        <w:tc>
          <w:tcPr>
            <w:tcW w:type="dxa" w:w="1728"/>
            <w:vAlign w:val="top"/>
          </w:tcPr>
          <w:p>
            <w:pPr>
              <w:spacing w:after="0"/>
            </w:pPr>
            <w:r/>
            <w:r>
              <w:rPr>
                <w:rFonts w:ascii="Aptos" w:hAnsi="Aptos"/>
                <w:b w:val="0"/>
                <w:sz w:val="16"/>
              </w:rPr>
              <w:t>Audio</w:t>
            </w:r>
          </w:p>
        </w:tc>
        <w:tc>
          <w:tcPr>
            <w:tcW w:type="dxa" w:w="4608"/>
            <w:vAlign w:val="top"/>
          </w:tcPr>
          <w:p>
            <w:pPr>
              <w:spacing w:after="0"/>
            </w:pPr>
            <w:r/>
            <w:r>
              <w:rPr>
                <w:rFonts w:ascii="Aptos" w:hAnsi="Aptos"/>
                <w:b w:val="0"/>
                <w:sz w:val="16"/>
              </w:rPr>
              <w:t>bark/growl/whine/howl/yip + pitch/duration/tonality/repetition</w:t>
            </w:r>
          </w:p>
        </w:tc>
        <w:tc>
          <w:tcPr>
            <w:tcW w:type="dxa" w:w="4032"/>
            <w:vAlign w:val="top"/>
          </w:tcPr>
          <w:p>
            <w:pPr>
              <w:spacing w:after="0"/>
            </w:pPr>
            <w:r/>
            <w:r>
              <w:rPr>
                <w:rFonts w:ascii="Aptos" w:hAnsi="Aptos"/>
                <w:b w:val="0"/>
                <w:sz w:val="16"/>
              </w:rPr>
              <w:t>Audio interno al video, non percorso consumer autonomo.</w:t>
            </w:r>
          </w:p>
        </w:tc>
      </w:tr>
      <w:tr>
        <w:tc>
          <w:tcPr>
            <w:tcW w:type="dxa" w:w="1728"/>
            <w:vAlign w:val="top"/>
          </w:tcPr>
          <w:p>
            <w:pPr>
              <w:spacing w:after="0"/>
            </w:pPr>
            <w:r/>
            <w:r>
              <w:rPr>
                <w:rFonts w:ascii="Aptos" w:hAnsi="Aptos"/>
                <w:b w:val="0"/>
                <w:sz w:val="16"/>
              </w:rPr>
              <w:t>Context</w:t>
            </w:r>
          </w:p>
        </w:tc>
        <w:tc>
          <w:tcPr>
            <w:tcW w:type="dxa" w:w="4608"/>
            <w:vAlign w:val="top"/>
          </w:tcPr>
          <w:p>
            <w:pPr>
              <w:spacing w:after="0"/>
            </w:pPr>
            <w:r/>
            <w:r>
              <w:rPr>
                <w:rFonts w:ascii="Aptos" w:hAnsi="Aptos"/>
                <w:b w:val="0"/>
                <w:sz w:val="16"/>
              </w:rPr>
              <w:t>human, dog, food/resource, toy, door/exit, separation, handling, environment</w:t>
            </w:r>
          </w:p>
        </w:tc>
        <w:tc>
          <w:tcPr>
            <w:tcW w:type="dxa" w:w="4032"/>
            <w:vAlign w:val="top"/>
          </w:tcPr>
          <w:p>
            <w:pPr>
              <w:spacing w:after="0"/>
            </w:pPr>
            <w:r/>
            <w:r>
              <w:rPr>
                <w:rFonts w:ascii="Aptos" w:hAnsi="Aptos"/>
                <w:b w:val="0"/>
                <w:sz w:val="16"/>
              </w:rPr>
              <w:t>Contesto può cambiare il significato dello stesso segnale.</w:t>
            </w:r>
          </w:p>
        </w:tc>
      </w:tr>
      <w:tr>
        <w:tc>
          <w:tcPr>
            <w:tcW w:type="dxa" w:w="1728"/>
            <w:vAlign w:val="top"/>
          </w:tcPr>
          <w:p>
            <w:pPr>
              <w:spacing w:after="0"/>
            </w:pPr>
            <w:r/>
            <w:r>
              <w:rPr>
                <w:rFonts w:ascii="Aptos" w:hAnsi="Aptos"/>
                <w:b w:val="0"/>
                <w:sz w:val="16"/>
              </w:rPr>
              <w:t>Quality</w:t>
            </w:r>
          </w:p>
        </w:tc>
        <w:tc>
          <w:tcPr>
            <w:tcW w:type="dxa" w:w="4608"/>
            <w:vAlign w:val="top"/>
          </w:tcPr>
          <w:p>
            <w:pPr>
              <w:spacing w:after="0"/>
            </w:pPr>
            <w:r/>
            <w:r>
              <w:rPr>
                <w:rFonts w:ascii="Aptos" w:hAnsi="Aptos"/>
                <w:b w:val="0"/>
                <w:sz w:val="16"/>
              </w:rPr>
              <w:t>dog visibility, framing, lighting, blur, audio SNR, occlusion</w:t>
            </w:r>
          </w:p>
        </w:tc>
        <w:tc>
          <w:tcPr>
            <w:tcW w:type="dxa" w:w="4032"/>
            <w:vAlign w:val="top"/>
          </w:tcPr>
          <w:p>
            <w:pPr>
              <w:spacing w:after="0"/>
            </w:pPr>
            <w:r/>
            <w:r>
              <w:rPr>
                <w:rFonts w:ascii="Aptos" w:hAnsi="Aptos"/>
                <w:b w:val="0"/>
                <w:sz w:val="16"/>
              </w:rPr>
              <w:t>Può abbassare confidence o forzare astensione.</w:t>
            </w:r>
          </w:p>
        </w:tc>
      </w:tr>
    </w:tbl>
    <w:p/>
    <w:p>
      <w:pPr>
        <w:pStyle w:val="Heading2"/>
      </w:pPr>
      <w:r>
        <w:t>3.2 Interpretation Taxonomy consigliata per MVP</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53B5B"/>
            <w:vAlign w:val="center"/>
          </w:tcPr>
          <w:p>
            <w:pPr>
              <w:spacing w:after="0"/>
            </w:pPr>
            <w:r/>
            <w:r>
              <w:rPr>
                <w:rFonts w:ascii="Aptos" w:hAnsi="Aptos"/>
                <w:b/>
                <w:color w:val="FFFFFF"/>
                <w:sz w:val="16"/>
              </w:rPr>
              <w:t>Codice</w:t>
            </w:r>
          </w:p>
        </w:tc>
        <w:tc>
          <w:tcPr>
            <w:tcW w:type="dxa" w:w="4176"/>
            <w:shd w:fill="153B5B"/>
            <w:vAlign w:val="center"/>
          </w:tcPr>
          <w:p>
            <w:pPr>
              <w:spacing w:after="0"/>
            </w:pPr>
            <w:r/>
            <w:r>
              <w:rPr>
                <w:rFonts w:ascii="Aptos" w:hAnsi="Aptos"/>
                <w:b/>
                <w:color w:val="FFFFFF"/>
                <w:sz w:val="16"/>
              </w:rPr>
              <w:t>Significato consumer</w:t>
            </w:r>
          </w:p>
        </w:tc>
        <w:tc>
          <w:tcPr>
            <w:tcW w:type="dxa" w:w="3600"/>
            <w:shd w:fill="153B5B"/>
            <w:vAlign w:val="center"/>
          </w:tcPr>
          <w:p>
            <w:pPr>
              <w:spacing w:after="0"/>
            </w:pPr>
            <w:r/>
            <w:r>
              <w:rPr>
                <w:rFonts w:ascii="Aptos" w:hAnsi="Aptos"/>
                <w:b/>
                <w:color w:val="FFFFFF"/>
                <w:sz w:val="16"/>
              </w:rPr>
              <w:t>Guardrail</w:t>
            </w:r>
          </w:p>
        </w:tc>
      </w:tr>
      <w:tr>
        <w:tc>
          <w:tcPr>
            <w:tcW w:type="dxa" w:w="2592"/>
            <w:vAlign w:val="top"/>
          </w:tcPr>
          <w:p>
            <w:pPr>
              <w:spacing w:after="0"/>
            </w:pPr>
            <w:r/>
            <w:r>
              <w:rPr>
                <w:rFonts w:ascii="Aptos" w:hAnsi="Aptos"/>
                <w:b w:val="0"/>
                <w:sz w:val="16"/>
              </w:rPr>
              <w:t>AFFILIATIVE_ENGAGEMENT</w:t>
            </w:r>
          </w:p>
        </w:tc>
        <w:tc>
          <w:tcPr>
            <w:tcW w:type="dxa" w:w="4176"/>
            <w:vAlign w:val="top"/>
          </w:tcPr>
          <w:p>
            <w:pPr>
              <w:spacing w:after="0"/>
            </w:pPr>
            <w:r/>
            <w:r>
              <w:rPr>
                <w:rFonts w:ascii="Aptos" w:hAnsi="Aptos"/>
                <w:b w:val="0"/>
                <w:sz w:val="16"/>
              </w:rPr>
              <w:t>Coinvolgimento sociale / contatto compatibile</w:t>
            </w:r>
          </w:p>
        </w:tc>
        <w:tc>
          <w:tcPr>
            <w:tcW w:type="dxa" w:w="3600"/>
            <w:vAlign w:val="top"/>
          </w:tcPr>
          <w:p>
            <w:pPr>
              <w:spacing w:after="0"/>
            </w:pPr>
            <w:r/>
            <w:r>
              <w:rPr>
                <w:rFonts w:ascii="Aptos" w:hAnsi="Aptos"/>
                <w:b w:val="0"/>
                <w:sz w:val="16"/>
              </w:rPr>
              <w:t>Non significa 'ti ama' come fatto.</w:t>
            </w:r>
          </w:p>
        </w:tc>
      </w:tr>
      <w:tr>
        <w:tc>
          <w:tcPr>
            <w:tcW w:type="dxa" w:w="2592"/>
            <w:vAlign w:val="top"/>
          </w:tcPr>
          <w:p>
            <w:pPr>
              <w:spacing w:after="0"/>
            </w:pPr>
            <w:r/>
            <w:r>
              <w:rPr>
                <w:rFonts w:ascii="Aptos" w:hAnsi="Aptos"/>
                <w:b w:val="0"/>
                <w:sz w:val="16"/>
              </w:rPr>
              <w:t>PLAY_ENGAGEMENT</w:t>
            </w:r>
          </w:p>
        </w:tc>
        <w:tc>
          <w:tcPr>
            <w:tcW w:type="dxa" w:w="4176"/>
            <w:vAlign w:val="top"/>
          </w:tcPr>
          <w:p>
            <w:pPr>
              <w:spacing w:after="0"/>
            </w:pPr>
            <w:r/>
            <w:r>
              <w:rPr>
                <w:rFonts w:ascii="Aptos" w:hAnsi="Aptos"/>
                <w:b w:val="0"/>
                <w:sz w:val="16"/>
              </w:rPr>
              <w:t>Gioco / disponibilità ludica compatibile</w:t>
            </w:r>
          </w:p>
        </w:tc>
        <w:tc>
          <w:tcPr>
            <w:tcW w:type="dxa" w:w="3600"/>
            <w:vAlign w:val="top"/>
          </w:tcPr>
          <w:p>
            <w:pPr>
              <w:spacing w:after="0"/>
            </w:pPr>
            <w:r/>
            <w:r>
              <w:rPr>
                <w:rFonts w:ascii="Aptos" w:hAnsi="Aptos"/>
                <w:b w:val="0"/>
                <w:sz w:val="16"/>
              </w:rPr>
              <w:t>Richiede sequenza e reciprocità.</w:t>
            </w:r>
          </w:p>
        </w:tc>
      </w:tr>
      <w:tr>
        <w:tc>
          <w:tcPr>
            <w:tcW w:type="dxa" w:w="2592"/>
            <w:vAlign w:val="top"/>
          </w:tcPr>
          <w:p>
            <w:pPr>
              <w:spacing w:after="0"/>
            </w:pPr>
            <w:r/>
            <w:r>
              <w:rPr>
                <w:rFonts w:ascii="Aptos" w:hAnsi="Aptos"/>
                <w:b w:val="0"/>
                <w:sz w:val="16"/>
              </w:rPr>
              <w:t>ATTENTION_ORIENTING</w:t>
            </w:r>
          </w:p>
        </w:tc>
        <w:tc>
          <w:tcPr>
            <w:tcW w:type="dxa" w:w="4176"/>
            <w:vAlign w:val="top"/>
          </w:tcPr>
          <w:p>
            <w:pPr>
              <w:spacing w:after="0"/>
            </w:pPr>
            <w:r/>
            <w:r>
              <w:rPr>
                <w:rFonts w:ascii="Aptos" w:hAnsi="Aptos"/>
                <w:b w:val="0"/>
                <w:sz w:val="16"/>
              </w:rPr>
              <w:t>Attenzione / orientamento verso target</w:t>
            </w:r>
          </w:p>
        </w:tc>
        <w:tc>
          <w:tcPr>
            <w:tcW w:type="dxa" w:w="3600"/>
            <w:vAlign w:val="top"/>
          </w:tcPr>
          <w:p>
            <w:pPr>
              <w:spacing w:after="0"/>
            </w:pPr>
            <w:r/>
            <w:r>
              <w:rPr>
                <w:rFonts w:ascii="Aptos" w:hAnsi="Aptos"/>
                <w:b w:val="0"/>
                <w:sz w:val="16"/>
              </w:rPr>
              <w:t>Non identifica automaticamente cosa desidera.</w:t>
            </w:r>
          </w:p>
        </w:tc>
      </w:tr>
      <w:tr>
        <w:tc>
          <w:tcPr>
            <w:tcW w:type="dxa" w:w="2592"/>
            <w:vAlign w:val="top"/>
          </w:tcPr>
          <w:p>
            <w:pPr>
              <w:spacing w:after="0"/>
            </w:pPr>
            <w:r/>
            <w:r>
              <w:rPr>
                <w:rFonts w:ascii="Aptos" w:hAnsi="Aptos"/>
                <w:b w:val="0"/>
                <w:sz w:val="16"/>
              </w:rPr>
              <w:t>ALERT_VIGILANCE</w:t>
            </w:r>
          </w:p>
        </w:tc>
        <w:tc>
          <w:tcPr>
            <w:tcW w:type="dxa" w:w="4176"/>
            <w:vAlign w:val="top"/>
          </w:tcPr>
          <w:p>
            <w:pPr>
              <w:spacing w:after="0"/>
            </w:pPr>
            <w:r/>
            <w:r>
              <w:rPr>
                <w:rFonts w:ascii="Aptos" w:hAnsi="Aptos"/>
                <w:b w:val="0"/>
                <w:sz w:val="16"/>
              </w:rPr>
              <w:t>Allerta / vigilanza</w:t>
            </w:r>
          </w:p>
        </w:tc>
        <w:tc>
          <w:tcPr>
            <w:tcW w:type="dxa" w:w="3600"/>
            <w:vAlign w:val="top"/>
          </w:tcPr>
          <w:p>
            <w:pPr>
              <w:spacing w:after="0"/>
            </w:pPr>
            <w:r/>
            <w:r>
              <w:rPr>
                <w:rFonts w:ascii="Aptos" w:hAnsi="Aptos"/>
                <w:b w:val="0"/>
                <w:sz w:val="16"/>
              </w:rPr>
              <w:t>Valenza positiva o negativa non garantita.</w:t>
            </w:r>
          </w:p>
        </w:tc>
      </w:tr>
      <w:tr>
        <w:tc>
          <w:tcPr>
            <w:tcW w:type="dxa" w:w="2592"/>
            <w:vAlign w:val="top"/>
          </w:tcPr>
          <w:p>
            <w:pPr>
              <w:spacing w:after="0"/>
            </w:pPr>
            <w:r/>
            <w:r>
              <w:rPr>
                <w:rFonts w:ascii="Aptos" w:hAnsi="Aptos"/>
                <w:b w:val="0"/>
                <w:sz w:val="16"/>
              </w:rPr>
              <w:t>AVOIDANCE_UNCERTAINTY</w:t>
            </w:r>
          </w:p>
        </w:tc>
        <w:tc>
          <w:tcPr>
            <w:tcW w:type="dxa" w:w="4176"/>
            <w:vAlign w:val="top"/>
          </w:tcPr>
          <w:p>
            <w:pPr>
              <w:spacing w:after="0"/>
            </w:pPr>
            <w:r/>
            <w:r>
              <w:rPr>
                <w:rFonts w:ascii="Aptos" w:hAnsi="Aptos"/>
                <w:b w:val="0"/>
                <w:sz w:val="16"/>
              </w:rPr>
              <w:t>Evitamento / incertezza</w:t>
            </w:r>
          </w:p>
        </w:tc>
        <w:tc>
          <w:tcPr>
            <w:tcW w:type="dxa" w:w="3600"/>
            <w:vAlign w:val="top"/>
          </w:tcPr>
          <w:p>
            <w:pPr>
              <w:spacing w:after="0"/>
            </w:pPr>
            <w:r/>
            <w:r>
              <w:rPr>
                <w:rFonts w:ascii="Aptos" w:hAnsi="Aptos"/>
                <w:b w:val="0"/>
                <w:sz w:val="16"/>
              </w:rPr>
              <w:t>Distinguere dal semplice disinteresse con sequenza e contesto.</w:t>
            </w:r>
          </w:p>
        </w:tc>
      </w:tr>
      <w:tr>
        <w:tc>
          <w:tcPr>
            <w:tcW w:type="dxa" w:w="2592"/>
            <w:vAlign w:val="top"/>
          </w:tcPr>
          <w:p>
            <w:pPr>
              <w:spacing w:after="0"/>
            </w:pPr>
            <w:r/>
            <w:r>
              <w:rPr>
                <w:rFonts w:ascii="Aptos" w:hAnsi="Aptos"/>
                <w:b w:val="0"/>
                <w:sz w:val="16"/>
              </w:rPr>
              <w:t>FEAR_DISTRESS</w:t>
            </w:r>
          </w:p>
        </w:tc>
        <w:tc>
          <w:tcPr>
            <w:tcW w:type="dxa" w:w="4176"/>
            <w:vAlign w:val="top"/>
          </w:tcPr>
          <w:p>
            <w:pPr>
              <w:spacing w:after="0"/>
            </w:pPr>
            <w:r/>
            <w:r>
              <w:rPr>
                <w:rFonts w:ascii="Aptos" w:hAnsi="Aptos"/>
                <w:b w:val="0"/>
                <w:sz w:val="16"/>
              </w:rPr>
              <w:t>Paura/distress compatibili</w:t>
            </w:r>
          </w:p>
        </w:tc>
        <w:tc>
          <w:tcPr>
            <w:tcW w:type="dxa" w:w="3600"/>
            <w:vAlign w:val="top"/>
          </w:tcPr>
          <w:p>
            <w:pPr>
              <w:spacing w:after="0"/>
            </w:pPr>
            <w:r/>
            <w:r>
              <w:rPr>
                <w:rFonts w:ascii="Aptos" w:hAnsi="Aptos"/>
                <w:b w:val="0"/>
                <w:sz w:val="16"/>
              </w:rPr>
              <w:t>Cluster multimodale; mai diagnosi clinica.</w:t>
            </w:r>
          </w:p>
        </w:tc>
      </w:tr>
      <w:tr>
        <w:tc>
          <w:tcPr>
            <w:tcW w:type="dxa" w:w="2592"/>
            <w:vAlign w:val="top"/>
          </w:tcPr>
          <w:p>
            <w:pPr>
              <w:spacing w:after="0"/>
            </w:pPr>
            <w:r/>
            <w:r>
              <w:rPr>
                <w:rFonts w:ascii="Aptos" w:hAnsi="Aptos"/>
                <w:b w:val="0"/>
                <w:sz w:val="16"/>
              </w:rPr>
              <w:t>TENSION_DEFENSIVE</w:t>
            </w:r>
          </w:p>
        </w:tc>
        <w:tc>
          <w:tcPr>
            <w:tcW w:type="dxa" w:w="4176"/>
            <w:vAlign w:val="top"/>
          </w:tcPr>
          <w:p>
            <w:pPr>
              <w:spacing w:after="0"/>
            </w:pPr>
            <w:r/>
            <w:r>
              <w:rPr>
                <w:rFonts w:ascii="Aptos" w:hAnsi="Aptos"/>
                <w:b w:val="0"/>
                <w:sz w:val="16"/>
              </w:rPr>
              <w:t>Tensione / possibile risposta difensiva</w:t>
            </w:r>
          </w:p>
        </w:tc>
        <w:tc>
          <w:tcPr>
            <w:tcW w:type="dxa" w:w="3600"/>
            <w:vAlign w:val="top"/>
          </w:tcPr>
          <w:p>
            <w:pPr>
              <w:spacing w:after="0"/>
            </w:pPr>
            <w:r/>
            <w:r>
              <w:rPr>
                <w:rFonts w:ascii="Aptos" w:hAnsi="Aptos"/>
                <w:b w:val="0"/>
                <w:sz w:val="16"/>
              </w:rPr>
              <w:t>Safety-first; non etichettare 'aggressivo'.</w:t>
            </w:r>
          </w:p>
        </w:tc>
      </w:tr>
      <w:tr>
        <w:tc>
          <w:tcPr>
            <w:tcW w:type="dxa" w:w="2592"/>
            <w:vAlign w:val="top"/>
          </w:tcPr>
          <w:p>
            <w:pPr>
              <w:spacing w:after="0"/>
            </w:pPr>
            <w:r/>
            <w:r>
              <w:rPr>
                <w:rFonts w:ascii="Aptos" w:hAnsi="Aptos"/>
                <w:b w:val="0"/>
                <w:sz w:val="16"/>
              </w:rPr>
              <w:t>FRUSTRATION_BLOCKED_GOAL</w:t>
            </w:r>
          </w:p>
        </w:tc>
        <w:tc>
          <w:tcPr>
            <w:tcW w:type="dxa" w:w="4176"/>
            <w:vAlign w:val="top"/>
          </w:tcPr>
          <w:p>
            <w:pPr>
              <w:spacing w:after="0"/>
            </w:pPr>
            <w:r/>
            <w:r>
              <w:rPr>
                <w:rFonts w:ascii="Aptos" w:hAnsi="Aptos"/>
                <w:b w:val="0"/>
                <w:sz w:val="16"/>
              </w:rPr>
              <w:t>Frustrazione / goal bloccato compatibile</w:t>
            </w:r>
          </w:p>
        </w:tc>
        <w:tc>
          <w:tcPr>
            <w:tcW w:type="dxa" w:w="3600"/>
            <w:vAlign w:val="top"/>
          </w:tcPr>
          <w:p>
            <w:pPr>
              <w:spacing w:after="0"/>
            </w:pPr>
            <w:r/>
            <w:r>
              <w:rPr>
                <w:rFonts w:ascii="Aptos" w:hAnsi="Aptos"/>
                <w:b w:val="0"/>
                <w:sz w:val="16"/>
              </w:rPr>
              <w:t>Richiede contesto di accesso impedito/attesa.</w:t>
            </w:r>
          </w:p>
        </w:tc>
      </w:tr>
      <w:tr>
        <w:tc>
          <w:tcPr>
            <w:tcW w:type="dxa" w:w="2592"/>
            <w:vAlign w:val="top"/>
          </w:tcPr>
          <w:p>
            <w:pPr>
              <w:spacing w:after="0"/>
            </w:pPr>
            <w:r/>
            <w:r>
              <w:rPr>
                <w:rFonts w:ascii="Aptos" w:hAnsi="Aptos"/>
                <w:b w:val="0"/>
                <w:sz w:val="16"/>
              </w:rPr>
              <w:t>DISCOMFORT_PAIN_POSSIBLE</w:t>
            </w:r>
          </w:p>
        </w:tc>
        <w:tc>
          <w:tcPr>
            <w:tcW w:type="dxa" w:w="4176"/>
            <w:vAlign w:val="top"/>
          </w:tcPr>
          <w:p>
            <w:pPr>
              <w:spacing w:after="0"/>
            </w:pPr>
            <w:r/>
            <w:r>
              <w:rPr>
                <w:rFonts w:ascii="Aptos" w:hAnsi="Aptos"/>
                <w:b w:val="0"/>
                <w:sz w:val="16"/>
              </w:rPr>
              <w:t>Possibile discomfort/dolore</w:t>
            </w:r>
          </w:p>
        </w:tc>
        <w:tc>
          <w:tcPr>
            <w:tcW w:type="dxa" w:w="3600"/>
            <w:vAlign w:val="top"/>
          </w:tcPr>
          <w:p>
            <w:pPr>
              <w:spacing w:after="0"/>
            </w:pPr>
            <w:r/>
            <w:r>
              <w:rPr>
                <w:rFonts w:ascii="Aptos" w:hAnsi="Aptos"/>
                <w:b w:val="0"/>
                <w:sz w:val="16"/>
              </w:rPr>
              <w:t>Sempre formulazione prudente + vet escalation se necessario.</w:t>
            </w:r>
          </w:p>
        </w:tc>
      </w:tr>
      <w:tr>
        <w:tc>
          <w:tcPr>
            <w:tcW w:type="dxa" w:w="2592"/>
            <w:vAlign w:val="top"/>
          </w:tcPr>
          <w:p>
            <w:pPr>
              <w:spacing w:after="0"/>
            </w:pPr>
            <w:r/>
            <w:r>
              <w:rPr>
                <w:rFonts w:ascii="Aptos" w:hAnsi="Aptos"/>
                <w:b w:val="0"/>
                <w:sz w:val="16"/>
              </w:rPr>
              <w:t>AMBIGUOUS_INSUFFICIENT</w:t>
            </w:r>
          </w:p>
        </w:tc>
        <w:tc>
          <w:tcPr>
            <w:tcW w:type="dxa" w:w="4176"/>
            <w:vAlign w:val="top"/>
          </w:tcPr>
          <w:p>
            <w:pPr>
              <w:spacing w:after="0"/>
            </w:pPr>
            <w:r/>
            <w:r>
              <w:rPr>
                <w:rFonts w:ascii="Aptos" w:hAnsi="Aptos"/>
                <w:b w:val="0"/>
                <w:sz w:val="16"/>
              </w:rPr>
              <w:t>Segnali ambigui/insufficienti</w:t>
            </w:r>
          </w:p>
        </w:tc>
        <w:tc>
          <w:tcPr>
            <w:tcW w:type="dxa" w:w="3600"/>
            <w:vAlign w:val="top"/>
          </w:tcPr>
          <w:p>
            <w:pPr>
              <w:spacing w:after="0"/>
            </w:pPr>
            <w:r/>
            <w:r>
              <w:rPr>
                <w:rFonts w:ascii="Aptos" w:hAnsi="Aptos"/>
                <w:b w:val="0"/>
                <w:sz w:val="16"/>
              </w:rPr>
              <w:t>Classe obbligatoria, non fallback cosmetico.</w:t>
            </w:r>
          </w:p>
        </w:tc>
      </w:tr>
    </w:tbl>
    <w:p/>
    <w:p>
      <w:r>
        <w:t>Le intenzioni molto specifiche — ad esempio 'vuole uscire', 'vuole giocare con quella pallina', 'chiede acqua' — non dovrebbero essere classi generali del cold start. Possono emergere come Personal Pattern quando lo stesso cane mostra una sequenza ripetuta e contestualizzata con feedback coerente.</w:t>
      </w:r>
    </w:p>
    <w:p>
      <w:pPr>
        <w:pStyle w:val="Heading1"/>
      </w:pPr>
      <w:r>
        <w:t>4. Principi scientifici che diventano regole di prodotto</w:t>
      </w:r>
    </w:p>
    <w:p>
      <w:pPr>
        <w:spacing w:after="40"/>
      </w:pPr>
      <w:r>
        <w:rPr>
          <w:b/>
          <w:color w:val="153B5B"/>
        </w:rPr>
        <w:t xml:space="preserve">Nessun dizionario segnale→emozione: </w:t>
      </w:r>
      <w:r>
        <w:t>Segnali come tail wag, lip lick, panting o ear position sono aspecifici e dipendono dal contesto.  [S01, S09, S10]</w:t>
      </w:r>
    </w:p>
    <w:p>
      <w:pPr>
        <w:spacing w:after="40"/>
      </w:pPr>
      <w:r>
        <w:rPr>
          <w:b/>
          <w:color w:val="153B5B"/>
        </w:rPr>
        <w:t xml:space="preserve">La faccia va codificata, non antropomorfizzata: </w:t>
      </w:r>
      <w:r>
        <w:t>DogFACS permette di descrivere movimenti anatomici; lo stesso movimento non è una prova universale di emozione.  [S02, S03, S05]</w:t>
      </w:r>
    </w:p>
    <w:p>
      <w:pPr>
        <w:spacing w:after="40"/>
      </w:pPr>
      <w:r>
        <w:rPr>
          <w:b/>
          <w:color w:val="153B5B"/>
        </w:rPr>
        <w:t xml:space="preserve">Il contesto modifica l'espressione: </w:t>
      </w:r>
      <w:r>
        <w:t>L'attenzione umana e il tipo di situazione alterano il repertorio facciale e comunicativo.  [S03, S04]</w:t>
      </w:r>
    </w:p>
    <w:p>
      <w:pPr>
        <w:spacing w:after="40"/>
      </w:pPr>
      <w:r>
        <w:rPr>
          <w:b/>
          <w:color w:val="153B5B"/>
        </w:rPr>
        <w:t xml:space="preserve">Audio: classificare pattern, non tradurre parole: </w:t>
      </w:r>
      <w:r>
        <w:t>Bark/growl contengono informazione su contesto e individuo, ma le accuratezze sono limitate e non equivalgono a linguaggio simbolico.  [S15, S16, S17]</w:t>
      </w:r>
    </w:p>
    <w:p>
      <w:pPr>
        <w:spacing w:after="40"/>
      </w:pPr>
      <w:r>
        <w:rPr>
          <w:b/>
          <w:color w:val="153B5B"/>
        </w:rPr>
        <w:t xml:space="preserve">Razza = weak prior: </w:t>
      </w:r>
      <w:r>
        <w:t>Nel grande studio Morrill et al., la razza spiega in media ~9% della variazione comportamentale individuale.  [S08]</w:t>
      </w:r>
    </w:p>
    <w:p>
      <w:pPr>
        <w:spacing w:after="40"/>
      </w:pPr>
      <w:r>
        <w:rPr>
          <w:b/>
          <w:color w:val="153B5B"/>
        </w:rPr>
        <w:t xml:space="preserve">Baseline personale &gt; stereotipo: </w:t>
      </w:r>
      <w:r>
        <w:t>Il sistema deve apprendere la norma del singolo cane e misurare deviazioni longitudinali.  [S08, S13, S14]</w:t>
      </w:r>
    </w:p>
    <w:p>
      <w:pPr>
        <w:spacing w:after="40"/>
      </w:pPr>
      <w:r>
        <w:rPr>
          <w:b/>
          <w:color w:val="153B5B"/>
        </w:rPr>
        <w:t xml:space="preserve">Safety e dolore richiedono convergenza: </w:t>
      </w:r>
      <w:r>
        <w:t>Cambiamenti comportamentali possono essere compatibili con dolore o distress, ma richiedono valutazione clinica.  [S10, S11, S12]</w:t>
      </w:r>
    </w:p>
    <w:p>
      <w:pPr>
        <w:spacing w:after="40"/>
      </w:pPr>
      <w:r>
        <w:rPr>
          <w:b/>
          <w:color w:val="153B5B"/>
        </w:rPr>
        <w:t xml:space="preserve">Astensione è una feature: </w:t>
      </w:r>
      <w:r>
        <w:t>Se qualità, contesto o segnali non supportano un'interpretazione, Dogly deve dire che non ha abbastanza elementi.  [S05, S09]</w:t>
      </w:r>
    </w:p>
    <w:p>
      <w:pPr>
        <w:pStyle w:val="Heading1"/>
      </w:pPr>
      <w:r>
        <w:t>5. Knowledge Cards V1</w:t>
      </w:r>
    </w:p>
    <w:p>
      <w:r>
        <w:t>Le seguenti card sono il nucleo operativo della knowledge base. Ogni card separa ciò che Dogly può osservare da ciò che può soltanto considerare compatibile.</w:t>
      </w:r>
    </w:p>
    <w:p>
      <w:pPr>
        <w:pStyle w:val="Heading2"/>
      </w:pPr>
      <w:r>
        <w:t>OBS_BODY_001 — Postura corporea abbassata / crouch</w:t>
      </w:r>
    </w:p>
    <w:p>
      <w:pPr>
        <w:spacing w:after="40"/>
      </w:pPr>
      <w:r>
        <w:rPr>
          <w:b/>
          <w:color w:val="153B5B"/>
        </w:rPr>
        <w:t xml:space="preserve">Dominio: </w:t>
      </w:r>
      <w:r>
        <w:t>visual_body</w:t>
      </w:r>
    </w:p>
    <w:p>
      <w:pPr>
        <w:spacing w:after="40"/>
      </w:pPr>
      <w:r>
        <w:rPr>
          <w:b/>
          <w:color w:val="153B5B"/>
        </w:rPr>
        <w:t xml:space="preserve">Osservabile: </w:t>
      </w:r>
      <w:r>
        <w:t>Tronco e/o testa portati più in basso del baseline; possibile riduzione apparente della sagoma.</w:t>
      </w:r>
    </w:p>
    <w:p>
      <w:pPr>
        <w:spacing w:after="40"/>
      </w:pPr>
      <w:r>
        <w:rPr>
          <w:b/>
          <w:color w:val="153B5B"/>
        </w:rPr>
        <w:t xml:space="preserve">Interpretazioni compatibili: </w:t>
      </w:r>
      <w:r>
        <w:t>incertezza/evitamento; paura o distress; appeasement in specifici contesti</w:t>
      </w:r>
    </w:p>
    <w:p>
      <w:pPr>
        <w:spacing w:after="40"/>
      </w:pPr>
      <w:r>
        <w:rPr>
          <w:b/>
          <w:color w:val="153B5B"/>
        </w:rPr>
        <w:t xml:space="preserve">Non concludere: </w:t>
      </w:r>
      <w:r>
        <w:t>Non equivale da sola a 'ha paura' o 'è sottomesso'.</w:t>
      </w:r>
    </w:p>
    <w:p>
      <w:pPr>
        <w:spacing w:after="40"/>
      </w:pPr>
      <w:r>
        <w:rPr>
          <w:b/>
          <w:color w:val="153B5B"/>
        </w:rPr>
        <w:t xml:space="preserve">Modificatori obbligatori: </w:t>
      </w:r>
      <w:r>
        <w:t>contesto sociale; movimento di avvicinamento/allontanamento; coda; orecchie; baseline individuale</w:t>
      </w:r>
    </w:p>
    <w:p>
      <w:pPr>
        <w:spacing w:after="40"/>
      </w:pPr>
      <w:r>
        <w:rPr>
          <w:b/>
          <w:color w:val="153B5B"/>
        </w:rPr>
        <w:t xml:space="preserve">Evidenza: </w:t>
      </w:r>
      <w:r>
        <w:t>A • consenso: alto • fonti: S01, S10, S09</w:t>
      </w:r>
    </w:p>
    <w:p>
      <w:pPr>
        <w:spacing w:after="60"/>
      </w:pPr>
      <w:r>
        <w:rPr>
          <w:color w:val="B7C7D3"/>
          <w:sz w:val="14"/>
        </w:rPr>
        <w:t>—————————————————————————————————————————————————————————————————</w:t>
      </w:r>
    </w:p>
    <w:p>
      <w:pPr>
        <w:pStyle w:val="Heading2"/>
      </w:pPr>
      <w:r>
        <w:t>OBS_BODY_002 — Irrigidimento / tensione corporea</w:t>
      </w:r>
    </w:p>
    <w:p>
      <w:pPr>
        <w:spacing w:after="40"/>
      </w:pPr>
      <w:r>
        <w:rPr>
          <w:b/>
          <w:color w:val="153B5B"/>
        </w:rPr>
        <w:t xml:space="preserve">Dominio: </w:t>
      </w:r>
      <w:r>
        <w:t>visual_body</w:t>
      </w:r>
    </w:p>
    <w:p>
      <w:pPr>
        <w:spacing w:after="40"/>
      </w:pPr>
      <w:r>
        <w:rPr>
          <w:b/>
          <w:color w:val="153B5B"/>
        </w:rPr>
        <w:t xml:space="preserve">Osservabile: </w:t>
      </w:r>
      <w:r>
        <w:t>Riduzione del movimento fluido, postura rigida, muscolatura apparentemente tesa.</w:t>
      </w:r>
    </w:p>
    <w:p>
      <w:pPr>
        <w:spacing w:after="40"/>
      </w:pPr>
      <w:r>
        <w:rPr>
          <w:b/>
          <w:color w:val="153B5B"/>
        </w:rPr>
        <w:t xml:space="preserve">Interpretazioni compatibili: </w:t>
      </w:r>
      <w:r>
        <w:t>alta attivazione/arousal; tensione; possibile escalation difensiva se associata ad altri segnali</w:t>
      </w:r>
    </w:p>
    <w:p>
      <w:pPr>
        <w:spacing w:after="40"/>
      </w:pPr>
      <w:r>
        <w:rPr>
          <w:b/>
          <w:color w:val="153B5B"/>
        </w:rPr>
        <w:t xml:space="preserve">Non concludere: </w:t>
      </w:r>
      <w:r>
        <w:t>Non classificare automaticamente come aggressività.</w:t>
      </w:r>
    </w:p>
    <w:p>
      <w:pPr>
        <w:spacing w:after="40"/>
      </w:pPr>
      <w:r>
        <w:rPr>
          <w:b/>
          <w:color w:val="153B5B"/>
        </w:rPr>
        <w:t xml:space="preserve">Modificatori obbligatori: </w:t>
      </w:r>
      <w:r>
        <w:t>freeze; distanza dallo stimolo; sguardo; growl/bark; coda rigida</w:t>
      </w:r>
    </w:p>
    <w:p>
      <w:pPr>
        <w:spacing w:after="40"/>
      </w:pPr>
      <w:r>
        <w:rPr>
          <w:b/>
          <w:color w:val="153B5B"/>
        </w:rPr>
        <w:t xml:space="preserve">Evidenza: </w:t>
      </w:r>
      <w:r>
        <w:t>A • consenso: alto • fonti: S01, S10</w:t>
      </w:r>
    </w:p>
    <w:p>
      <w:pPr>
        <w:spacing w:after="60"/>
      </w:pPr>
      <w:r>
        <w:rPr>
          <w:color w:val="B7C7D3"/>
          <w:sz w:val="14"/>
        </w:rPr>
        <w:t>—————————————————————————————————————————————————————————————————</w:t>
      </w:r>
    </w:p>
    <w:p>
      <w:pPr>
        <w:pStyle w:val="Heading2"/>
      </w:pPr>
      <w:r>
        <w:t>OBS_BODY_003 — Freeze / immobilità improvvisa</w:t>
      </w:r>
    </w:p>
    <w:p>
      <w:pPr>
        <w:spacing w:after="40"/>
      </w:pPr>
      <w:r>
        <w:rPr>
          <w:b/>
          <w:color w:val="153B5B"/>
        </w:rPr>
        <w:t xml:space="preserve">Dominio: </w:t>
      </w:r>
      <w:r>
        <w:t>visual_body</w:t>
      </w:r>
    </w:p>
    <w:p>
      <w:pPr>
        <w:spacing w:after="40"/>
      </w:pPr>
      <w:r>
        <w:rPr>
          <w:b/>
          <w:color w:val="153B5B"/>
        </w:rPr>
        <w:t xml:space="preserve">Osservabile: </w:t>
      </w:r>
      <w:r>
        <w:t>Interruzione marcata del movimento rispetto ai secondi precedenti.</w:t>
      </w:r>
    </w:p>
    <w:p>
      <w:pPr>
        <w:spacing w:after="40"/>
      </w:pPr>
      <w:r>
        <w:rPr>
          <w:b/>
          <w:color w:val="153B5B"/>
        </w:rPr>
        <w:t xml:space="preserve">Interpretazioni compatibili: </w:t>
      </w:r>
      <w:r>
        <w:t>orientamento intenso; incertezza; stress/paura; pre-escalation in alcuni contesti</w:t>
      </w:r>
    </w:p>
    <w:p>
      <w:pPr>
        <w:spacing w:after="40"/>
      </w:pPr>
      <w:r>
        <w:rPr>
          <w:b/>
          <w:color w:val="153B5B"/>
        </w:rPr>
        <w:t xml:space="preserve">Non concludere: </w:t>
      </w:r>
      <w:r>
        <w:t>Il freeze è aspecifico: non è una diagnosi né una previsione certa di morso.</w:t>
      </w:r>
    </w:p>
    <w:p>
      <w:pPr>
        <w:spacing w:after="40"/>
      </w:pPr>
      <w:r>
        <w:rPr>
          <w:b/>
          <w:color w:val="153B5B"/>
        </w:rPr>
        <w:t xml:space="preserve">Modificatori obbligatori: </w:t>
      </w:r>
      <w:r>
        <w:t>stimolo presente; rigidità; orecchie/coda; distanza; vocalizzazione</w:t>
      </w:r>
    </w:p>
    <w:p>
      <w:pPr>
        <w:spacing w:after="40"/>
      </w:pPr>
      <w:r>
        <w:rPr>
          <w:b/>
          <w:color w:val="153B5B"/>
        </w:rPr>
        <w:t xml:space="preserve">Evidenza: </w:t>
      </w:r>
      <w:r>
        <w:t>A • consenso: alto • fonti: S10, S01</w:t>
      </w:r>
    </w:p>
    <w:p>
      <w:pPr>
        <w:spacing w:after="60"/>
      </w:pPr>
      <w:r>
        <w:rPr>
          <w:color w:val="B7C7D3"/>
          <w:sz w:val="14"/>
        </w:rPr>
        <w:t>—————————————————————————————————————————————————————————————————</w:t>
      </w:r>
    </w:p>
    <w:p>
      <w:pPr>
        <w:pStyle w:val="Heading2"/>
      </w:pPr>
      <w:r>
        <w:t>OBS_BODY_004 — Play bow</w:t>
      </w:r>
    </w:p>
    <w:p>
      <w:pPr>
        <w:spacing w:after="40"/>
      </w:pPr>
      <w:r>
        <w:rPr>
          <w:b/>
          <w:color w:val="153B5B"/>
        </w:rPr>
        <w:t xml:space="preserve">Dominio: </w:t>
      </w:r>
      <w:r>
        <w:t>visual_body</w:t>
      </w:r>
    </w:p>
    <w:p>
      <w:pPr>
        <w:spacing w:after="40"/>
      </w:pPr>
      <w:r>
        <w:rPr>
          <w:b/>
          <w:color w:val="153B5B"/>
        </w:rPr>
        <w:t xml:space="preserve">Osservabile: </w:t>
      </w:r>
      <w:r>
        <w:t>Arti anteriori abbassati con posteriore sollevato, spesso associato a movimenti elastici.</w:t>
      </w:r>
    </w:p>
    <w:p>
      <w:pPr>
        <w:spacing w:after="40"/>
      </w:pPr>
      <w:r>
        <w:rPr>
          <w:b/>
          <w:color w:val="153B5B"/>
        </w:rPr>
        <w:t xml:space="preserve">Interpretazioni compatibili: </w:t>
      </w:r>
      <w:r>
        <w:t>invito al gioco; regolazione di interazione ludica</w:t>
      </w:r>
    </w:p>
    <w:p>
      <w:pPr>
        <w:spacing w:after="40"/>
      </w:pPr>
      <w:r>
        <w:rPr>
          <w:b/>
          <w:color w:val="153B5B"/>
        </w:rPr>
        <w:t xml:space="preserve">Non concludere: </w:t>
      </w:r>
      <w:r>
        <w:t>Non usare come prova assoluta di stato emotivo positivo se il resto della sequenza è conflittuale.</w:t>
      </w:r>
    </w:p>
    <w:p>
      <w:pPr>
        <w:spacing w:after="40"/>
      </w:pPr>
      <w:r>
        <w:rPr>
          <w:b/>
          <w:color w:val="153B5B"/>
        </w:rPr>
        <w:t xml:space="preserve">Modificatori obbligatori: </w:t>
      </w:r>
      <w:r>
        <w:t>movimenti rimbalzanti; ritorni reciproci; assenza di rigidità persistente; partner sociale</w:t>
      </w:r>
    </w:p>
    <w:p>
      <w:pPr>
        <w:spacing w:after="40"/>
      </w:pPr>
      <w:r>
        <w:rPr>
          <w:b/>
          <w:color w:val="153B5B"/>
        </w:rPr>
        <w:t xml:space="preserve">Evidenza: </w:t>
      </w:r>
      <w:r>
        <w:t>B • consenso: alto • fonti: S01</w:t>
      </w:r>
    </w:p>
    <w:p>
      <w:pPr>
        <w:spacing w:after="60"/>
      </w:pPr>
      <w:r>
        <w:rPr>
          <w:color w:val="B7C7D3"/>
          <w:sz w:val="14"/>
        </w:rPr>
        <w:t>—————————————————————————————————————————————————————————————————</w:t>
      </w:r>
    </w:p>
    <w:p>
      <w:pPr>
        <w:pStyle w:val="Heading2"/>
      </w:pPr>
      <w:r>
        <w:t>OBS_BODY_005 — Approccio volontario</w:t>
      </w:r>
    </w:p>
    <w:p>
      <w:pPr>
        <w:spacing w:after="40"/>
      </w:pPr>
      <w:r>
        <w:rPr>
          <w:b/>
          <w:color w:val="153B5B"/>
        </w:rPr>
        <w:t xml:space="preserve">Dominio: </w:t>
      </w:r>
      <w:r>
        <w:t>visual_body</w:t>
      </w:r>
    </w:p>
    <w:p>
      <w:pPr>
        <w:spacing w:after="40"/>
      </w:pPr>
      <w:r>
        <w:rPr>
          <w:b/>
          <w:color w:val="153B5B"/>
        </w:rPr>
        <w:t xml:space="preserve">Osservabile: </w:t>
      </w:r>
      <w:r>
        <w:t>Riduzione attiva della distanza verso persona/cane/oggetto.</w:t>
      </w:r>
    </w:p>
    <w:p>
      <w:pPr>
        <w:spacing w:after="40"/>
      </w:pPr>
      <w:r>
        <w:rPr>
          <w:b/>
          <w:color w:val="153B5B"/>
        </w:rPr>
        <w:t xml:space="preserve">Interpretazioni compatibili: </w:t>
      </w:r>
      <w:r>
        <w:t>interesse; esplorazione; affiliazione; goal-directed approach</w:t>
      </w:r>
    </w:p>
    <w:p>
      <w:pPr>
        <w:spacing w:after="40"/>
      </w:pPr>
      <w:r>
        <w:rPr>
          <w:b/>
          <w:color w:val="153B5B"/>
        </w:rPr>
        <w:t xml:space="preserve">Non concludere: </w:t>
      </w:r>
      <w:r>
        <w:t>Approccio non significa necessariamente amicizia o comfort.</w:t>
      </w:r>
    </w:p>
    <w:p>
      <w:pPr>
        <w:spacing w:after="40"/>
      </w:pPr>
      <w:r>
        <w:rPr>
          <w:b/>
          <w:color w:val="153B5B"/>
        </w:rPr>
        <w:t xml:space="preserve">Modificatori obbligatori: </w:t>
      </w:r>
      <w:r>
        <w:t>velocità; curva vs linea diretta; postura; ritiro successivo; contesto</w:t>
      </w:r>
    </w:p>
    <w:p>
      <w:pPr>
        <w:spacing w:after="40"/>
      </w:pPr>
      <w:r>
        <w:rPr>
          <w:b/>
          <w:color w:val="153B5B"/>
        </w:rPr>
        <w:t xml:space="preserve">Evidenza: </w:t>
      </w:r>
      <w:r>
        <w:t>B • consenso: alto • fonti: S01, S14</w:t>
      </w:r>
    </w:p>
    <w:p>
      <w:pPr>
        <w:spacing w:after="60"/>
      </w:pPr>
      <w:r>
        <w:rPr>
          <w:color w:val="B7C7D3"/>
          <w:sz w:val="14"/>
        </w:rPr>
        <w:t>—————————————————————————————————————————————————————————————————</w:t>
      </w:r>
    </w:p>
    <w:p>
      <w:pPr>
        <w:pStyle w:val="Heading2"/>
      </w:pPr>
      <w:r>
        <w:t>OBS_BODY_006 — Allontanamento / evitamento</w:t>
      </w:r>
    </w:p>
    <w:p>
      <w:pPr>
        <w:spacing w:after="40"/>
      </w:pPr>
      <w:r>
        <w:rPr>
          <w:b/>
          <w:color w:val="153B5B"/>
        </w:rPr>
        <w:t xml:space="preserve">Dominio: </w:t>
      </w:r>
      <w:r>
        <w:t>visual_body</w:t>
      </w:r>
    </w:p>
    <w:p>
      <w:pPr>
        <w:spacing w:after="40"/>
      </w:pPr>
      <w:r>
        <w:rPr>
          <w:b/>
          <w:color w:val="153B5B"/>
        </w:rPr>
        <w:t xml:space="preserve">Osservabile: </w:t>
      </w:r>
      <w:r>
        <w:t>Aumento attivo della distanza, spostamento laterale o uscita dal campo rispetto allo stimolo.</w:t>
      </w:r>
    </w:p>
    <w:p>
      <w:pPr>
        <w:spacing w:after="40"/>
      </w:pPr>
      <w:r>
        <w:rPr>
          <w:b/>
          <w:color w:val="153B5B"/>
        </w:rPr>
        <w:t xml:space="preserve">Interpretazioni compatibili: </w:t>
      </w:r>
      <w:r>
        <w:t>evitamento; incertezza; riduzione del contatto; paura/distress se convergono altri segnali</w:t>
      </w:r>
    </w:p>
    <w:p>
      <w:pPr>
        <w:spacing w:after="40"/>
      </w:pPr>
      <w:r>
        <w:rPr>
          <w:b/>
          <w:color w:val="153B5B"/>
        </w:rPr>
        <w:t xml:space="preserve">Non concludere: </w:t>
      </w:r>
      <w:r>
        <w:t>Non attribuire causa senza conoscere lo stimolo e la sequenza.</w:t>
      </w:r>
    </w:p>
    <w:p>
      <w:pPr>
        <w:spacing w:after="40"/>
      </w:pPr>
      <w:r>
        <w:rPr>
          <w:b/>
          <w:color w:val="153B5B"/>
        </w:rPr>
        <w:t xml:space="preserve">Modificatori obbligatori: </w:t>
      </w:r>
      <w:r>
        <w:t>testa girata; coda bassa; orecchie; freeze precedente; trigger</w:t>
      </w:r>
    </w:p>
    <w:p>
      <w:pPr>
        <w:spacing w:after="40"/>
      </w:pPr>
      <w:r>
        <w:rPr>
          <w:b/>
          <w:color w:val="153B5B"/>
        </w:rPr>
        <w:t xml:space="preserve">Evidenza: </w:t>
      </w:r>
      <w:r>
        <w:t>A • consenso: alto • fonti: S01, S10</w:t>
      </w:r>
    </w:p>
    <w:p>
      <w:pPr>
        <w:spacing w:after="60"/>
      </w:pPr>
      <w:r>
        <w:rPr>
          <w:color w:val="B7C7D3"/>
          <w:sz w:val="14"/>
        </w:rPr>
        <w:t>—————————————————————————————————————————————————————————————————</w:t>
      </w:r>
    </w:p>
    <w:p>
      <w:pPr>
        <w:pStyle w:val="Heading2"/>
      </w:pPr>
      <w:r>
        <w:t>OBS_TAIL_001 — Coda bassa o tucked</w:t>
      </w:r>
    </w:p>
    <w:p>
      <w:pPr>
        <w:spacing w:after="40"/>
      </w:pPr>
      <w:r>
        <w:rPr>
          <w:b/>
          <w:color w:val="153B5B"/>
        </w:rPr>
        <w:t xml:space="preserve">Dominio: </w:t>
      </w:r>
      <w:r>
        <w:t>visual_tail</w:t>
      </w:r>
    </w:p>
    <w:p>
      <w:pPr>
        <w:spacing w:after="40"/>
      </w:pPr>
      <w:r>
        <w:rPr>
          <w:b/>
          <w:color w:val="153B5B"/>
        </w:rPr>
        <w:t xml:space="preserve">Osservabile: </w:t>
      </w:r>
      <w:r>
        <w:t>Coda tenuta sotto il livello abituale; tucked = tra gli arti posteriori.</w:t>
      </w:r>
    </w:p>
    <w:p>
      <w:pPr>
        <w:spacing w:after="40"/>
      </w:pPr>
      <w:r>
        <w:rPr>
          <w:b/>
          <w:color w:val="153B5B"/>
        </w:rPr>
        <w:t xml:space="preserve">Interpretazioni compatibili: </w:t>
      </w:r>
      <w:r>
        <w:t>paura/ansia; appeasement; riduzione della sagoma</w:t>
      </w:r>
    </w:p>
    <w:p>
      <w:pPr>
        <w:spacing w:after="40"/>
      </w:pPr>
      <w:r>
        <w:rPr>
          <w:b/>
          <w:color w:val="153B5B"/>
        </w:rPr>
        <w:t xml:space="preserve">Non concludere: </w:t>
      </w:r>
      <w:r>
        <w:t>La conformazione di razza e il baseline individuale possono limitare l'interpretazione.</w:t>
      </w:r>
    </w:p>
    <w:p>
      <w:pPr>
        <w:spacing w:after="40"/>
      </w:pPr>
      <w:r>
        <w:rPr>
          <w:b/>
          <w:color w:val="153B5B"/>
        </w:rPr>
        <w:t xml:space="preserve">Modificatori obbligatori: </w:t>
      </w:r>
      <w:r>
        <w:t>morfologia; baseline; postura generale; stimolo</w:t>
      </w:r>
    </w:p>
    <w:p>
      <w:pPr>
        <w:spacing w:after="40"/>
      </w:pPr>
      <w:r>
        <w:rPr>
          <w:b/>
          <w:color w:val="153B5B"/>
        </w:rPr>
        <w:t xml:space="preserve">Evidenza: </w:t>
      </w:r>
      <w:r>
        <w:t>A • consenso: alto • fonti: S01, S08</w:t>
      </w:r>
    </w:p>
    <w:p>
      <w:pPr>
        <w:spacing w:after="60"/>
      </w:pPr>
      <w:r>
        <w:rPr>
          <w:color w:val="B7C7D3"/>
          <w:sz w:val="14"/>
        </w:rPr>
        <w:t>—————————————————————————————————————————————————————————————————</w:t>
      </w:r>
    </w:p>
    <w:p>
      <w:pPr>
        <w:pStyle w:val="Heading2"/>
      </w:pPr>
      <w:r>
        <w:t>OBS_TAIL_002 — Coda alta</w:t>
      </w:r>
    </w:p>
    <w:p>
      <w:pPr>
        <w:spacing w:after="40"/>
      </w:pPr>
      <w:r>
        <w:rPr>
          <w:b/>
          <w:color w:val="153B5B"/>
        </w:rPr>
        <w:t xml:space="preserve">Dominio: </w:t>
      </w:r>
      <w:r>
        <w:t>visual_tail</w:t>
      </w:r>
    </w:p>
    <w:p>
      <w:pPr>
        <w:spacing w:after="40"/>
      </w:pPr>
      <w:r>
        <w:rPr>
          <w:b/>
          <w:color w:val="153B5B"/>
        </w:rPr>
        <w:t xml:space="preserve">Osservabile: </w:t>
      </w:r>
      <w:r>
        <w:t>Coda tenuta sopra il livello abituale del cane.</w:t>
      </w:r>
    </w:p>
    <w:p>
      <w:pPr>
        <w:spacing w:after="40"/>
      </w:pPr>
      <w:r>
        <w:rPr>
          <w:b/>
          <w:color w:val="153B5B"/>
        </w:rPr>
        <w:t xml:space="preserve">Interpretazioni compatibili: </w:t>
      </w:r>
      <w:r>
        <w:t>arousal; sicurezza/approccio in alcuni contesti; attenzione sociale</w:t>
      </w:r>
    </w:p>
    <w:p>
      <w:pPr>
        <w:spacing w:after="40"/>
      </w:pPr>
      <w:r>
        <w:rPr>
          <w:b/>
          <w:color w:val="153B5B"/>
        </w:rPr>
        <w:t xml:space="preserve">Non concludere: </w:t>
      </w:r>
      <w:r>
        <w:t>Coda alta non significa automaticamente dominanza o aggressività.</w:t>
      </w:r>
    </w:p>
    <w:p>
      <w:pPr>
        <w:spacing w:after="40"/>
      </w:pPr>
      <w:r>
        <w:rPr>
          <w:b/>
          <w:color w:val="153B5B"/>
        </w:rPr>
        <w:t xml:space="preserve">Modificatori obbligatori: </w:t>
      </w:r>
      <w:r>
        <w:t>rigidità; wag; postura; partner sociale</w:t>
      </w:r>
    </w:p>
    <w:p>
      <w:pPr>
        <w:spacing w:after="40"/>
      </w:pPr>
      <w:r>
        <w:rPr>
          <w:b/>
          <w:color w:val="153B5B"/>
        </w:rPr>
        <w:t xml:space="preserve">Evidenza: </w:t>
      </w:r>
      <w:r>
        <w:t>B • consenso: medio • fonti: S01</w:t>
      </w:r>
    </w:p>
    <w:p>
      <w:pPr>
        <w:spacing w:after="60"/>
      </w:pPr>
      <w:r>
        <w:rPr>
          <w:color w:val="B7C7D3"/>
          <w:sz w:val="14"/>
        </w:rPr>
        <w:t>—————————————————————————————————————————————————————————————————</w:t>
      </w:r>
    </w:p>
    <w:p>
      <w:pPr>
        <w:pStyle w:val="Heading2"/>
      </w:pPr>
      <w:r>
        <w:t>OBS_TAIL_003 — Tail wag</w:t>
      </w:r>
    </w:p>
    <w:p>
      <w:pPr>
        <w:spacing w:after="40"/>
      </w:pPr>
      <w:r>
        <w:rPr>
          <w:b/>
          <w:color w:val="153B5B"/>
        </w:rPr>
        <w:t xml:space="preserve">Dominio: </w:t>
      </w:r>
      <w:r>
        <w:t>visual_tail</w:t>
      </w:r>
    </w:p>
    <w:p>
      <w:pPr>
        <w:spacing w:after="40"/>
      </w:pPr>
      <w:r>
        <w:rPr>
          <w:b/>
          <w:color w:val="153B5B"/>
        </w:rPr>
        <w:t xml:space="preserve">Osservabile: </w:t>
      </w:r>
      <w:r>
        <w:t>Movimento laterale ripetuto della coda; registrare ampiezza, velocità, rigidità e posizione.</w:t>
      </w:r>
    </w:p>
    <w:p>
      <w:pPr>
        <w:spacing w:after="40"/>
      </w:pPr>
      <w:r>
        <w:rPr>
          <w:b/>
          <w:color w:val="153B5B"/>
        </w:rPr>
        <w:t xml:space="preserve">Interpretazioni compatibili: </w:t>
      </w:r>
      <w:r>
        <w:t>arousal sociale; eccitazione positiva o negativa a seconda del contesto</w:t>
      </w:r>
    </w:p>
    <w:p>
      <w:pPr>
        <w:spacing w:after="40"/>
      </w:pPr>
      <w:r>
        <w:rPr>
          <w:b/>
          <w:color w:val="153B5B"/>
        </w:rPr>
        <w:t xml:space="preserve">Non concludere: </w:t>
      </w:r>
      <w:r>
        <w:t>Scodinzolare non equivale a 'felice'.</w:t>
      </w:r>
    </w:p>
    <w:p>
      <w:pPr>
        <w:spacing w:after="40"/>
      </w:pPr>
      <w:r>
        <w:rPr>
          <w:b/>
          <w:color w:val="153B5B"/>
        </w:rPr>
        <w:t xml:space="preserve">Modificatori obbligatori: </w:t>
      </w:r>
      <w:r>
        <w:t>altezza coda; ampiezza; rigidità; resto del corpo; contesto</w:t>
      </w:r>
    </w:p>
    <w:p>
      <w:pPr>
        <w:spacing w:after="40"/>
      </w:pPr>
      <w:r>
        <w:rPr>
          <w:b/>
          <w:color w:val="153B5B"/>
        </w:rPr>
        <w:t xml:space="preserve">Evidenza: </w:t>
      </w:r>
      <w:r>
        <w:t>A • consenso: alto • fonti: S01, S09</w:t>
      </w:r>
    </w:p>
    <w:p>
      <w:pPr>
        <w:spacing w:after="60"/>
      </w:pPr>
      <w:r>
        <w:rPr>
          <w:color w:val="B7C7D3"/>
          <w:sz w:val="14"/>
        </w:rPr>
        <w:t>—————————————————————————————————————————————————————————————————</w:t>
      </w:r>
    </w:p>
    <w:p>
      <w:pPr>
        <w:pStyle w:val="Heading2"/>
      </w:pPr>
      <w:r>
        <w:t>OBS_EAR_001 — Orecchie appiattite / backward</w:t>
      </w:r>
    </w:p>
    <w:p>
      <w:pPr>
        <w:spacing w:after="40"/>
      </w:pPr>
      <w:r>
        <w:rPr>
          <w:b/>
          <w:color w:val="153B5B"/>
        </w:rPr>
        <w:t xml:space="preserve">Dominio: </w:t>
      </w:r>
      <w:r>
        <w:t>visual_ears</w:t>
      </w:r>
    </w:p>
    <w:p>
      <w:pPr>
        <w:spacing w:after="40"/>
      </w:pPr>
      <w:r>
        <w:rPr>
          <w:b/>
          <w:color w:val="153B5B"/>
        </w:rPr>
        <w:t xml:space="preserve">Osservabile: </w:t>
      </w:r>
      <w:r>
        <w:t>Padiglioni portati indietro o aderenti rispetto al baseline.</w:t>
      </w:r>
    </w:p>
    <w:p>
      <w:pPr>
        <w:spacing w:after="40"/>
      </w:pPr>
      <w:r>
        <w:rPr>
          <w:b/>
          <w:color w:val="153B5B"/>
        </w:rPr>
        <w:t xml:space="preserve">Interpretazioni compatibili: </w:t>
      </w:r>
      <w:r>
        <w:t>distress/paura; interazione affiliativa in alcuni contesti; attenzione direzionale</w:t>
      </w:r>
    </w:p>
    <w:p>
      <w:pPr>
        <w:spacing w:after="40"/>
      </w:pPr>
      <w:r>
        <w:rPr>
          <w:b/>
          <w:color w:val="153B5B"/>
        </w:rPr>
        <w:t xml:space="preserve">Non concludere: </w:t>
      </w:r>
      <w:r>
        <w:t>Morfologia delle orecchie e razza modificano la visibilità; segnale non univoco.</w:t>
      </w:r>
    </w:p>
    <w:p>
      <w:pPr>
        <w:spacing w:after="40"/>
      </w:pPr>
      <w:r>
        <w:rPr>
          <w:b/>
          <w:color w:val="153B5B"/>
        </w:rPr>
        <w:t xml:space="preserve">Modificatori obbligatori: </w:t>
      </w:r>
      <w:r>
        <w:t>morfologia; coda; postura; occhi; stimolo</w:t>
      </w:r>
    </w:p>
    <w:p>
      <w:pPr>
        <w:spacing w:after="40"/>
      </w:pPr>
      <w:r>
        <w:rPr>
          <w:b/>
          <w:color w:val="153B5B"/>
        </w:rPr>
        <w:t xml:space="preserve">Evidenza: </w:t>
      </w:r>
      <w:r>
        <w:t>A • consenso: medio-alto • fonti: S03, S04, S10</w:t>
      </w:r>
    </w:p>
    <w:p>
      <w:pPr>
        <w:spacing w:after="60"/>
      </w:pPr>
      <w:r>
        <w:rPr>
          <w:color w:val="B7C7D3"/>
          <w:sz w:val="14"/>
        </w:rPr>
        <w:t>—————————————————————————————————————————————————————————————————</w:t>
      </w:r>
    </w:p>
    <w:p>
      <w:pPr>
        <w:pStyle w:val="Heading2"/>
      </w:pPr>
      <w:r>
        <w:t>OBS_EAR_002 — Orecchie in avanti</w:t>
      </w:r>
    </w:p>
    <w:p>
      <w:pPr>
        <w:spacing w:after="40"/>
      </w:pPr>
      <w:r>
        <w:rPr>
          <w:b/>
          <w:color w:val="153B5B"/>
        </w:rPr>
        <w:t xml:space="preserve">Dominio: </w:t>
      </w:r>
      <w:r>
        <w:t>visual_ears</w:t>
      </w:r>
    </w:p>
    <w:p>
      <w:pPr>
        <w:spacing w:after="40"/>
      </w:pPr>
      <w:r>
        <w:rPr>
          <w:b/>
          <w:color w:val="153B5B"/>
        </w:rPr>
        <w:t xml:space="preserve">Osservabile: </w:t>
      </w:r>
      <w:r>
        <w:t>Padiglioni orientati anteriormente rispetto al baseline.</w:t>
      </w:r>
    </w:p>
    <w:p>
      <w:pPr>
        <w:spacing w:after="40"/>
      </w:pPr>
      <w:r>
        <w:rPr>
          <w:b/>
          <w:color w:val="153B5B"/>
        </w:rPr>
        <w:t xml:space="preserve">Interpretazioni compatibili: </w:t>
      </w:r>
      <w:r>
        <w:t>attenzione/orientamento; interesse; arousal</w:t>
      </w:r>
    </w:p>
    <w:p>
      <w:pPr>
        <w:spacing w:after="40"/>
      </w:pPr>
      <w:r>
        <w:rPr>
          <w:b/>
          <w:color w:val="153B5B"/>
        </w:rPr>
        <w:t xml:space="preserve">Non concludere: </w:t>
      </w:r>
      <w:r>
        <w:t>Non equivale da solo a stato positivo o minaccia.</w:t>
      </w:r>
    </w:p>
    <w:p>
      <w:pPr>
        <w:spacing w:after="40"/>
      </w:pPr>
      <w:r>
        <w:rPr>
          <w:b/>
          <w:color w:val="153B5B"/>
        </w:rPr>
        <w:t xml:space="preserve">Modificatori obbligatori: </w:t>
      </w:r>
      <w:r>
        <w:t>direzione sguardo; testa; postura; trigger</w:t>
      </w:r>
    </w:p>
    <w:p>
      <w:pPr>
        <w:spacing w:after="40"/>
      </w:pPr>
      <w:r>
        <w:rPr>
          <w:b/>
          <w:color w:val="153B5B"/>
        </w:rPr>
        <w:t xml:space="preserve">Evidenza: </w:t>
      </w:r>
      <w:r>
        <w:t>B • consenso: medio • fonti: S01, S03</w:t>
      </w:r>
    </w:p>
    <w:p>
      <w:pPr>
        <w:spacing w:after="60"/>
      </w:pPr>
      <w:r>
        <w:rPr>
          <w:color w:val="B7C7D3"/>
          <w:sz w:val="14"/>
        </w:rPr>
        <w:t>—————————————————————————————————————————————————————————————————</w:t>
      </w:r>
    </w:p>
    <w:p>
      <w:pPr>
        <w:pStyle w:val="Heading2"/>
      </w:pPr>
      <w:r>
        <w:t>OBS_FACE_001 — Blink / chiusura occhi</w:t>
      </w:r>
    </w:p>
    <w:p>
      <w:pPr>
        <w:spacing w:after="40"/>
      </w:pPr>
      <w:r>
        <w:rPr>
          <w:b/>
          <w:color w:val="153B5B"/>
        </w:rPr>
        <w:t xml:space="preserve">Dominio: </w:t>
      </w:r>
      <w:r>
        <w:t>visual_face</w:t>
      </w:r>
    </w:p>
    <w:p>
      <w:pPr>
        <w:spacing w:after="40"/>
      </w:pPr>
      <w:r>
        <w:rPr>
          <w:b/>
          <w:color w:val="153B5B"/>
        </w:rPr>
        <w:t xml:space="preserve">Osservabile: </w:t>
      </w:r>
      <w:r>
        <w:t>Chiusura palpebrale breve o prolungata; codificabile come movimento facciale.</w:t>
      </w:r>
    </w:p>
    <w:p>
      <w:pPr>
        <w:spacing w:after="40"/>
      </w:pPr>
      <w:r>
        <w:rPr>
          <w:b/>
          <w:color w:val="153B5B"/>
        </w:rPr>
        <w:t xml:space="preserve">Interpretazioni compatibili: </w:t>
      </w:r>
      <w:r>
        <w:t>risposta contestuale; regolazione sociale; possibile stress se converge con altri segnali</w:t>
      </w:r>
    </w:p>
    <w:p>
      <w:pPr>
        <w:spacing w:after="40"/>
      </w:pPr>
      <w:r>
        <w:rPr>
          <w:b/>
          <w:color w:val="153B5B"/>
        </w:rPr>
        <w:t xml:space="preserve">Non concludere: </w:t>
      </w:r>
      <w:r>
        <w:t>Non attribuire emozione da un singolo blink.</w:t>
      </w:r>
    </w:p>
    <w:p>
      <w:pPr>
        <w:spacing w:after="40"/>
      </w:pPr>
      <w:r>
        <w:rPr>
          <w:b/>
          <w:color w:val="153B5B"/>
        </w:rPr>
        <w:t xml:space="preserve">Modificatori obbligatori: </w:t>
      </w:r>
      <w:r>
        <w:t>frequenza; stimolo; altre azioni facciali; qualità video</w:t>
      </w:r>
    </w:p>
    <w:p>
      <w:pPr>
        <w:spacing w:after="40"/>
      </w:pPr>
      <w:r>
        <w:rPr>
          <w:b/>
          <w:color w:val="153B5B"/>
        </w:rPr>
        <w:t xml:space="preserve">Evidenza: </w:t>
      </w:r>
      <w:r>
        <w:t>B • consenso: medio • fonti: S02, S03, S05</w:t>
      </w:r>
    </w:p>
    <w:p>
      <w:pPr>
        <w:spacing w:after="60"/>
      </w:pPr>
      <w:r>
        <w:rPr>
          <w:color w:val="B7C7D3"/>
          <w:sz w:val="14"/>
        </w:rPr>
        <w:t>—————————————————————————————————————————————————————————————————</w:t>
      </w:r>
    </w:p>
    <w:p>
      <w:pPr>
        <w:pStyle w:val="Heading2"/>
      </w:pPr>
      <w:r>
        <w:t>OBS_FACE_002 — Inner brow raiser / AU101-like</w:t>
      </w:r>
    </w:p>
    <w:p>
      <w:pPr>
        <w:spacing w:after="40"/>
      </w:pPr>
      <w:r>
        <w:rPr>
          <w:b/>
          <w:color w:val="153B5B"/>
        </w:rPr>
        <w:t xml:space="preserve">Dominio: </w:t>
      </w:r>
      <w:r>
        <w:t>visual_face</w:t>
      </w:r>
    </w:p>
    <w:p>
      <w:pPr>
        <w:spacing w:after="40"/>
      </w:pPr>
      <w:r>
        <w:rPr>
          <w:b/>
          <w:color w:val="153B5B"/>
        </w:rPr>
        <w:t xml:space="preserve">Osservabile: </w:t>
      </w:r>
      <w:r>
        <w:t>Sollevamento della parte mediale del sopracciglio, se visibile e compatibile con morfologia.</w:t>
      </w:r>
    </w:p>
    <w:p>
      <w:pPr>
        <w:spacing w:after="40"/>
      </w:pPr>
      <w:r>
        <w:rPr>
          <w:b/>
          <w:color w:val="153B5B"/>
        </w:rPr>
        <w:t xml:space="preserve">Interpretazioni compatibili: </w:t>
      </w:r>
      <w:r>
        <w:t>segnale facciale sociale/attenzionale</w:t>
      </w:r>
    </w:p>
    <w:p>
      <w:pPr>
        <w:spacing w:after="40"/>
      </w:pPr>
      <w:r>
        <w:rPr>
          <w:b/>
          <w:color w:val="153B5B"/>
        </w:rPr>
        <w:t xml:space="preserve">Non concludere: </w:t>
      </w:r>
      <w:r>
        <w:t>Non usarlo come sinonimo di tristezza, colpa o richiesta.</w:t>
      </w:r>
    </w:p>
    <w:p>
      <w:pPr>
        <w:spacing w:after="40"/>
      </w:pPr>
      <w:r>
        <w:rPr>
          <w:b/>
          <w:color w:val="153B5B"/>
        </w:rPr>
        <w:t xml:space="preserve">Modificatori obbligatori: </w:t>
      </w:r>
      <w:r>
        <w:t>attenzione umana; morfologia; contesto; altre AU</w:t>
      </w:r>
    </w:p>
    <w:p>
      <w:pPr>
        <w:spacing w:after="40"/>
      </w:pPr>
      <w:r>
        <w:rPr>
          <w:b/>
          <w:color w:val="153B5B"/>
        </w:rPr>
        <w:t xml:space="preserve">Evidenza: </w:t>
      </w:r>
      <w:r>
        <w:t>B • consenso: medio • fonti: S02, S03, S04</w:t>
      </w:r>
    </w:p>
    <w:p>
      <w:pPr>
        <w:spacing w:after="60"/>
      </w:pPr>
      <w:r>
        <w:rPr>
          <w:color w:val="B7C7D3"/>
          <w:sz w:val="14"/>
        </w:rPr>
        <w:t>—————————————————————————————————————————————————————————————————</w:t>
      </w:r>
    </w:p>
    <w:p>
      <w:pPr>
        <w:pStyle w:val="Heading2"/>
      </w:pPr>
      <w:r>
        <w:t>OBS_FACE_003 — Lip lick / nose lick</w:t>
      </w:r>
    </w:p>
    <w:p>
      <w:pPr>
        <w:spacing w:after="40"/>
      </w:pPr>
      <w:r>
        <w:rPr>
          <w:b/>
          <w:color w:val="153B5B"/>
        </w:rPr>
        <w:t xml:space="preserve">Dominio: </w:t>
      </w:r>
      <w:r>
        <w:t>visual_face</w:t>
      </w:r>
    </w:p>
    <w:p>
      <w:pPr>
        <w:spacing w:after="40"/>
      </w:pPr>
      <w:r>
        <w:rPr>
          <w:b/>
          <w:color w:val="153B5B"/>
        </w:rPr>
        <w:t xml:space="preserve">Osservabile: </w:t>
      </w:r>
      <w:r>
        <w:t>Lingua che passa su labbra o naso.</w:t>
      </w:r>
    </w:p>
    <w:p>
      <w:pPr>
        <w:spacing w:after="40"/>
      </w:pPr>
      <w:r>
        <w:rPr>
          <w:b/>
          <w:color w:val="153B5B"/>
        </w:rPr>
        <w:t xml:space="preserve">Interpretazioni compatibili: </w:t>
      </w:r>
      <w:r>
        <w:t>distress/ansia in alcuni contesti; anticipazione alimentare; risposta a stimoli gustativi/olfattivi</w:t>
      </w:r>
    </w:p>
    <w:p>
      <w:pPr>
        <w:spacing w:after="40"/>
      </w:pPr>
      <w:r>
        <w:rPr>
          <w:b/>
          <w:color w:val="153B5B"/>
        </w:rPr>
        <w:t xml:space="preserve">Non concludere: </w:t>
      </w:r>
      <w:r>
        <w:t>È un segnale altamente aspecifico: mai etichettarlo da solo come stress.</w:t>
      </w:r>
    </w:p>
    <w:p>
      <w:pPr>
        <w:spacing w:after="40"/>
      </w:pPr>
      <w:r>
        <w:rPr>
          <w:b/>
          <w:color w:val="153B5B"/>
        </w:rPr>
        <w:t xml:space="preserve">Modificatori obbligatori: </w:t>
      </w:r>
      <w:r>
        <w:t>presenza cibo; frequenza; contesto veterinario/sociale; postura</w:t>
      </w:r>
    </w:p>
    <w:p>
      <w:pPr>
        <w:spacing w:after="40"/>
      </w:pPr>
      <w:r>
        <w:rPr>
          <w:b/>
          <w:color w:val="153B5B"/>
        </w:rPr>
        <w:t xml:space="preserve">Evidenza: </w:t>
      </w:r>
      <w:r>
        <w:t>A • consenso: alto • fonti: S09, S10</w:t>
      </w:r>
    </w:p>
    <w:p>
      <w:pPr>
        <w:spacing w:after="60"/>
      </w:pPr>
      <w:r>
        <w:rPr>
          <w:color w:val="B7C7D3"/>
          <w:sz w:val="14"/>
        </w:rPr>
        <w:t>—————————————————————————————————————————————————————————————————</w:t>
      </w:r>
    </w:p>
    <w:p>
      <w:pPr>
        <w:pStyle w:val="Heading2"/>
      </w:pPr>
      <w:r>
        <w:t>OBS_FACE_004 — Panting fuori contesto termico/esercizio</w:t>
      </w:r>
    </w:p>
    <w:p>
      <w:pPr>
        <w:spacing w:after="40"/>
      </w:pPr>
      <w:r>
        <w:rPr>
          <w:b/>
          <w:color w:val="153B5B"/>
        </w:rPr>
        <w:t xml:space="preserve">Dominio: </w:t>
      </w:r>
      <w:r>
        <w:t>visual_face</w:t>
      </w:r>
    </w:p>
    <w:p>
      <w:pPr>
        <w:spacing w:after="40"/>
      </w:pPr>
      <w:r>
        <w:rPr>
          <w:b/>
          <w:color w:val="153B5B"/>
        </w:rPr>
        <w:t xml:space="preserve">Osservabile: </w:t>
      </w:r>
      <w:r>
        <w:t>Respirazione a bocca aperta con lingua esposta; annotare se non spiegata da caldo/esercizio.</w:t>
      </w:r>
    </w:p>
    <w:p>
      <w:pPr>
        <w:spacing w:after="40"/>
      </w:pPr>
      <w:r>
        <w:rPr>
          <w:b/>
          <w:color w:val="153B5B"/>
        </w:rPr>
        <w:t xml:space="preserve">Interpretazioni compatibili: </w:t>
      </w:r>
      <w:r>
        <w:t>arousal/distress; dolore/discomfort; termoregolazione</w:t>
      </w:r>
    </w:p>
    <w:p>
      <w:pPr>
        <w:spacing w:after="40"/>
      </w:pPr>
      <w:r>
        <w:rPr>
          <w:b/>
          <w:color w:val="153B5B"/>
        </w:rPr>
        <w:t xml:space="preserve">Non concludere: </w:t>
      </w:r>
      <w:r>
        <w:t>Senza temperatura, attività e stato clinico non attribuire stress.</w:t>
      </w:r>
    </w:p>
    <w:p>
      <w:pPr>
        <w:spacing w:after="40"/>
      </w:pPr>
      <w:r>
        <w:rPr>
          <w:b/>
          <w:color w:val="153B5B"/>
        </w:rPr>
        <w:t xml:space="preserve">Modificatori obbligatori: </w:t>
      </w:r>
      <w:r>
        <w:t>temperatura; esercizio; dolore; durata; altri segni</w:t>
      </w:r>
    </w:p>
    <w:p>
      <w:pPr>
        <w:spacing w:after="40"/>
      </w:pPr>
      <w:r>
        <w:rPr>
          <w:b/>
          <w:color w:val="153B5B"/>
        </w:rPr>
        <w:t xml:space="preserve">Evidenza: </w:t>
      </w:r>
      <w:r>
        <w:t>A • consenso: alto • fonti: S10, S11</w:t>
      </w:r>
    </w:p>
    <w:p>
      <w:pPr>
        <w:spacing w:after="60"/>
      </w:pPr>
      <w:r>
        <w:rPr>
          <w:color w:val="B7C7D3"/>
          <w:sz w:val="14"/>
        </w:rPr>
        <w:t>—————————————————————————————————————————————————————————————————</w:t>
      </w:r>
    </w:p>
    <w:p>
      <w:pPr>
        <w:pStyle w:val="Heading2"/>
      </w:pPr>
      <w:r>
        <w:t>OBS_FACE_005 — Yawning / sbadiglio</w:t>
      </w:r>
    </w:p>
    <w:p>
      <w:pPr>
        <w:spacing w:after="40"/>
      </w:pPr>
      <w:r>
        <w:rPr>
          <w:b/>
          <w:color w:val="153B5B"/>
        </w:rPr>
        <w:t xml:space="preserve">Dominio: </w:t>
      </w:r>
      <w:r>
        <w:t>visual_face</w:t>
      </w:r>
    </w:p>
    <w:p>
      <w:pPr>
        <w:spacing w:after="40"/>
      </w:pPr>
      <w:r>
        <w:rPr>
          <w:b/>
          <w:color w:val="153B5B"/>
        </w:rPr>
        <w:t xml:space="preserve">Osservabile: </w:t>
      </w:r>
      <w:r>
        <w:t>Apertura ampia e temporanea della bocca con pattern tipico di sbadiglio.</w:t>
      </w:r>
    </w:p>
    <w:p>
      <w:pPr>
        <w:spacing w:after="40"/>
      </w:pPr>
      <w:r>
        <w:rPr>
          <w:b/>
          <w:color w:val="153B5B"/>
        </w:rPr>
        <w:t xml:space="preserve">Interpretazioni compatibili: </w:t>
      </w:r>
      <w:r>
        <w:t>sonnolenza; distress/arousal in alcuni contesti; transizione comportamentale</w:t>
      </w:r>
    </w:p>
    <w:p>
      <w:pPr>
        <w:spacing w:after="40"/>
      </w:pPr>
      <w:r>
        <w:rPr>
          <w:b/>
          <w:color w:val="153B5B"/>
        </w:rPr>
        <w:t xml:space="preserve">Non concludere: </w:t>
      </w:r>
      <w:r>
        <w:t>Sbadiglio ≠ stress in modo automatico.</w:t>
      </w:r>
    </w:p>
    <w:p>
      <w:pPr>
        <w:spacing w:after="40"/>
      </w:pPr>
      <w:r>
        <w:rPr>
          <w:b/>
          <w:color w:val="153B5B"/>
        </w:rPr>
        <w:t xml:space="preserve">Modificatori obbligatori: </w:t>
      </w:r>
      <w:r>
        <w:t>ora del giorno; contesto; ripetizione; altri indicatori</w:t>
      </w:r>
    </w:p>
    <w:p>
      <w:pPr>
        <w:spacing w:after="40"/>
      </w:pPr>
      <w:r>
        <w:rPr>
          <w:b/>
          <w:color w:val="153B5B"/>
        </w:rPr>
        <w:t xml:space="preserve">Evidenza: </w:t>
      </w:r>
      <w:r>
        <w:t>A • consenso: alto • fonti: S10, S09</w:t>
      </w:r>
    </w:p>
    <w:p>
      <w:pPr>
        <w:spacing w:after="60"/>
      </w:pPr>
      <w:r>
        <w:rPr>
          <w:color w:val="B7C7D3"/>
          <w:sz w:val="14"/>
        </w:rPr>
        <w:t>—————————————————————————————————————————————————————————————————</w:t>
      </w:r>
    </w:p>
    <w:p>
      <w:pPr>
        <w:pStyle w:val="Heading2"/>
      </w:pPr>
      <w:r>
        <w:t>OBS_GAZE_001 — Head turn / orientamento via dallo stimolo</w:t>
      </w:r>
    </w:p>
    <w:p>
      <w:pPr>
        <w:spacing w:after="40"/>
      </w:pPr>
      <w:r>
        <w:rPr>
          <w:b/>
          <w:color w:val="153B5B"/>
        </w:rPr>
        <w:t xml:space="preserve">Dominio: </w:t>
      </w:r>
      <w:r>
        <w:t>visual_head_gaze</w:t>
      </w:r>
    </w:p>
    <w:p>
      <w:pPr>
        <w:spacing w:after="40"/>
      </w:pPr>
      <w:r>
        <w:rPr>
          <w:b/>
          <w:color w:val="153B5B"/>
        </w:rPr>
        <w:t xml:space="preserve">Osservabile: </w:t>
      </w:r>
      <w:r>
        <w:t>Rotazione della testa o del corpo che riduce l'allineamento con lo stimolo.</w:t>
      </w:r>
    </w:p>
    <w:p>
      <w:pPr>
        <w:spacing w:after="40"/>
      </w:pPr>
      <w:r>
        <w:rPr>
          <w:b/>
          <w:color w:val="153B5B"/>
        </w:rPr>
        <w:t xml:space="preserve">Interpretazioni compatibili: </w:t>
      </w:r>
      <w:r>
        <w:t>disengagement; evitamento; regolazione sociale</w:t>
      </w:r>
    </w:p>
    <w:p>
      <w:pPr>
        <w:spacing w:after="40"/>
      </w:pPr>
      <w:r>
        <w:rPr>
          <w:b/>
          <w:color w:val="153B5B"/>
        </w:rPr>
        <w:t xml:space="preserve">Non concludere: </w:t>
      </w:r>
      <w:r>
        <w:t>Non interpretare automaticamente come 'non vuole' senza sequenza e contesto.</w:t>
      </w:r>
    </w:p>
    <w:p>
      <w:pPr>
        <w:spacing w:after="40"/>
      </w:pPr>
      <w:r>
        <w:rPr>
          <w:b/>
          <w:color w:val="153B5B"/>
        </w:rPr>
        <w:t xml:space="preserve">Modificatori obbligatori: </w:t>
      </w:r>
      <w:r>
        <w:t>distanza; movimento corporeo; sguardo; stimolo</w:t>
      </w:r>
    </w:p>
    <w:p>
      <w:pPr>
        <w:spacing w:after="40"/>
      </w:pPr>
      <w:r>
        <w:rPr>
          <w:b/>
          <w:color w:val="153B5B"/>
        </w:rPr>
        <w:t xml:space="preserve">Evidenza: </w:t>
      </w:r>
      <w:r>
        <w:t>A • consenso: medio-alto • fonti: S10, S01</w:t>
      </w:r>
    </w:p>
    <w:p>
      <w:pPr>
        <w:spacing w:after="60"/>
      </w:pPr>
      <w:r>
        <w:rPr>
          <w:color w:val="B7C7D3"/>
          <w:sz w:val="14"/>
        </w:rPr>
        <w:t>—————————————————————————————————————————————————————————————————</w:t>
      </w:r>
    </w:p>
    <w:p>
      <w:pPr>
        <w:pStyle w:val="Heading2"/>
      </w:pPr>
      <w:r>
        <w:t>OBS_GAZE_002 — Gaze alternation persona-oggetto</w:t>
      </w:r>
    </w:p>
    <w:p>
      <w:pPr>
        <w:spacing w:after="40"/>
      </w:pPr>
      <w:r>
        <w:rPr>
          <w:b/>
          <w:color w:val="153B5B"/>
        </w:rPr>
        <w:t xml:space="preserve">Dominio: </w:t>
      </w:r>
      <w:r>
        <w:t>visual_head_gaze</w:t>
      </w:r>
    </w:p>
    <w:p>
      <w:pPr>
        <w:spacing w:after="40"/>
      </w:pPr>
      <w:r>
        <w:rPr>
          <w:b/>
          <w:color w:val="153B5B"/>
        </w:rPr>
        <w:t xml:space="preserve">Osservabile: </w:t>
      </w:r>
      <w:r>
        <w:t>Alternanza ripetuta dello sguardo tra una persona e un target/luogo.</w:t>
      </w:r>
    </w:p>
    <w:p>
      <w:pPr>
        <w:spacing w:after="40"/>
      </w:pPr>
      <w:r>
        <w:rPr>
          <w:b/>
          <w:color w:val="153B5B"/>
        </w:rPr>
        <w:t xml:space="preserve">Interpretazioni compatibili: </w:t>
      </w:r>
      <w:r>
        <w:t>comunicazione referenziale; richiesta di supporto/attenzione; goal-directed signaling</w:t>
      </w:r>
    </w:p>
    <w:p>
      <w:pPr>
        <w:spacing w:after="40"/>
      </w:pPr>
      <w:r>
        <w:rPr>
          <w:b/>
          <w:color w:val="153B5B"/>
        </w:rPr>
        <w:t xml:space="preserve">Non concludere: </w:t>
      </w:r>
      <w:r>
        <w:t>Il target desiderato va inferito solo se la sequenza e la storia personale lo supportano.</w:t>
      </w:r>
    </w:p>
    <w:p>
      <w:pPr>
        <w:spacing w:after="40"/>
      </w:pPr>
      <w:r>
        <w:rPr>
          <w:b/>
          <w:color w:val="153B5B"/>
        </w:rPr>
        <w:t xml:space="preserve">Modificatori obbligatori: </w:t>
      </w:r>
      <w:r>
        <w:t>target; ripetizione; prossimità; feedback proprietario; pattern personale</w:t>
      </w:r>
    </w:p>
    <w:p>
      <w:pPr>
        <w:spacing w:after="40"/>
      </w:pPr>
      <w:r>
        <w:rPr>
          <w:b/>
          <w:color w:val="153B5B"/>
        </w:rPr>
        <w:t xml:space="preserve">Evidenza: </w:t>
      </w:r>
      <w:r>
        <w:t>B • consenso: medio • fonti: S01</w:t>
      </w:r>
    </w:p>
    <w:p>
      <w:pPr>
        <w:spacing w:after="60"/>
      </w:pPr>
      <w:r>
        <w:rPr>
          <w:color w:val="B7C7D3"/>
          <w:sz w:val="14"/>
        </w:rPr>
        <w:t>—————————————————————————————————————————————————————————————————</w:t>
      </w:r>
    </w:p>
    <w:p>
      <w:pPr>
        <w:pStyle w:val="Heading2"/>
      </w:pPr>
      <w:r>
        <w:t>AUD_BARK_001 — Bark event</w:t>
      </w:r>
    </w:p>
    <w:p>
      <w:pPr>
        <w:spacing w:after="40"/>
      </w:pPr>
      <w:r>
        <w:rPr>
          <w:b/>
          <w:color w:val="153B5B"/>
        </w:rPr>
        <w:t xml:space="preserve">Dominio: </w:t>
      </w:r>
      <w:r>
        <w:t>audio_vocalization</w:t>
      </w:r>
    </w:p>
    <w:p>
      <w:pPr>
        <w:spacing w:after="40"/>
      </w:pPr>
      <w:r>
        <w:rPr>
          <w:b/>
          <w:color w:val="153B5B"/>
        </w:rPr>
        <w:t xml:space="preserve">Osservabile: </w:t>
      </w:r>
      <w:r>
        <w:t>Sequenza di abbai; estrarre pitch, durata, intervalli, tonality/noise, repetition rate.</w:t>
      </w:r>
    </w:p>
    <w:p>
      <w:pPr>
        <w:spacing w:after="40"/>
      </w:pPr>
      <w:r>
        <w:rPr>
          <w:b/>
          <w:color w:val="153B5B"/>
        </w:rPr>
        <w:t xml:space="preserve">Interpretazioni compatibili: </w:t>
      </w:r>
      <w:r>
        <w:t>contesto di disturbo; isolamento; gioco; richiamo/attenzione — solo probabilisticamente</w:t>
      </w:r>
    </w:p>
    <w:p>
      <w:pPr>
        <w:spacing w:after="40"/>
      </w:pPr>
      <w:r>
        <w:rPr>
          <w:b/>
          <w:color w:val="153B5B"/>
        </w:rPr>
        <w:t xml:space="preserve">Non concludere: </w:t>
      </w:r>
      <w:r>
        <w:t>Mai tradurre un abbaio come parola o frase.</w:t>
      </w:r>
    </w:p>
    <w:p>
      <w:pPr>
        <w:spacing w:after="40"/>
      </w:pPr>
      <w:r>
        <w:rPr>
          <w:b/>
          <w:color w:val="153B5B"/>
        </w:rPr>
        <w:t xml:space="preserve">Modificatori obbligatori: </w:t>
      </w:r>
      <w:r>
        <w:t>contesto visivo; individuo; età; taglia; sequenza; rumore</w:t>
      </w:r>
    </w:p>
    <w:p>
      <w:pPr>
        <w:spacing w:after="40"/>
      </w:pPr>
      <w:r>
        <w:rPr>
          <w:b/>
          <w:color w:val="153B5B"/>
        </w:rPr>
        <w:t xml:space="preserve">Evidenza: </w:t>
      </w:r>
      <w:r>
        <w:t>A • consenso: alto • fonti: S15, S17, S18</w:t>
      </w:r>
    </w:p>
    <w:p>
      <w:pPr>
        <w:spacing w:after="60"/>
      </w:pPr>
      <w:r>
        <w:rPr>
          <w:color w:val="B7C7D3"/>
          <w:sz w:val="14"/>
        </w:rPr>
        <w:t>—————————————————————————————————————————————————————————————————</w:t>
      </w:r>
    </w:p>
    <w:p>
      <w:pPr>
        <w:pStyle w:val="Heading2"/>
      </w:pPr>
      <w:r>
        <w:t>AUD_GROWL_001 — Growl event</w:t>
      </w:r>
    </w:p>
    <w:p>
      <w:pPr>
        <w:spacing w:after="40"/>
      </w:pPr>
      <w:r>
        <w:rPr>
          <w:b/>
          <w:color w:val="153B5B"/>
        </w:rPr>
        <w:t xml:space="preserve">Dominio: </w:t>
      </w:r>
      <w:r>
        <w:t>audio_vocalization</w:t>
      </w:r>
    </w:p>
    <w:p>
      <w:pPr>
        <w:spacing w:after="40"/>
      </w:pPr>
      <w:r>
        <w:rPr>
          <w:b/>
          <w:color w:val="153B5B"/>
        </w:rPr>
        <w:t xml:space="preserve">Osservabile: </w:t>
      </w:r>
      <w:r>
        <w:t>Vocalizzazione gutturale a bassa frequenza; registrare bout, durata, pulsazione e contesto.</w:t>
      </w:r>
    </w:p>
    <w:p>
      <w:pPr>
        <w:spacing w:after="40"/>
      </w:pPr>
      <w:r>
        <w:rPr>
          <w:b/>
          <w:color w:val="153B5B"/>
        </w:rPr>
        <w:t xml:space="preserve">Interpretazioni compatibili: </w:t>
      </w:r>
      <w:r>
        <w:t>gioco; difesa risorsa; minaccia/evitamento — a seconda del contesto</w:t>
      </w:r>
    </w:p>
    <w:p>
      <w:pPr>
        <w:spacing w:after="40"/>
      </w:pPr>
      <w:r>
        <w:rPr>
          <w:b/>
          <w:color w:val="153B5B"/>
        </w:rPr>
        <w:t xml:space="preserve">Non concludere: </w:t>
      </w:r>
      <w:r>
        <w:t>Growl ≠ aggressione certa; è un segnale contestuale e può comparire nel gioco.</w:t>
      </w:r>
    </w:p>
    <w:p>
      <w:pPr>
        <w:spacing w:after="40"/>
      </w:pPr>
      <w:r>
        <w:rPr>
          <w:b/>
          <w:color w:val="153B5B"/>
        </w:rPr>
        <w:t xml:space="preserve">Modificatori obbligatori: </w:t>
      </w:r>
      <w:r>
        <w:t>toy/food/stranger; postura; distanza; sequenza</w:t>
      </w:r>
    </w:p>
    <w:p>
      <w:pPr>
        <w:spacing w:after="40"/>
      </w:pPr>
      <w:r>
        <w:rPr>
          <w:b/>
          <w:color w:val="153B5B"/>
        </w:rPr>
        <w:t xml:space="preserve">Evidenza: </w:t>
      </w:r>
      <w:r>
        <w:t>B • consenso: alto • fonti: S16, S01</w:t>
      </w:r>
    </w:p>
    <w:p>
      <w:pPr>
        <w:spacing w:after="60"/>
      </w:pPr>
      <w:r>
        <w:rPr>
          <w:color w:val="B7C7D3"/>
          <w:sz w:val="14"/>
        </w:rPr>
        <w:t>—————————————————————————————————————————————————————————————————</w:t>
      </w:r>
    </w:p>
    <w:p>
      <w:pPr>
        <w:pStyle w:val="Heading2"/>
      </w:pPr>
      <w:r>
        <w:t>AUD_WHINE_001 — Whine / whimper</w:t>
      </w:r>
    </w:p>
    <w:p>
      <w:pPr>
        <w:spacing w:after="40"/>
      </w:pPr>
      <w:r>
        <w:rPr>
          <w:b/>
          <w:color w:val="153B5B"/>
        </w:rPr>
        <w:t xml:space="preserve">Dominio: </w:t>
      </w:r>
      <w:r>
        <w:t>audio_vocalization</w:t>
      </w:r>
    </w:p>
    <w:p>
      <w:pPr>
        <w:spacing w:after="40"/>
      </w:pPr>
      <w:r>
        <w:rPr>
          <w:b/>
          <w:color w:val="153B5B"/>
        </w:rPr>
        <w:t xml:space="preserve">Osservabile: </w:t>
      </w:r>
      <w:r>
        <w:t>Vocalizzazione più acuta e spesso tonale; annotare durata e ripetizione.</w:t>
      </w:r>
    </w:p>
    <w:p>
      <w:pPr>
        <w:spacing w:after="40"/>
      </w:pPr>
      <w:r>
        <w:rPr>
          <w:b/>
          <w:color w:val="153B5B"/>
        </w:rPr>
        <w:t xml:space="preserve">Interpretazioni compatibili: </w:t>
      </w:r>
      <w:r>
        <w:t>distress/isolamento; anticipazione; richiesta/attenzione; discomfort</w:t>
      </w:r>
    </w:p>
    <w:p>
      <w:pPr>
        <w:spacing w:after="40"/>
      </w:pPr>
      <w:r>
        <w:rPr>
          <w:b/>
          <w:color w:val="153B5B"/>
        </w:rPr>
        <w:t xml:space="preserve">Non concludere: </w:t>
      </w:r>
      <w:r>
        <w:t>Non identificare la causa senza contesto e stato clinico.</w:t>
      </w:r>
    </w:p>
    <w:p>
      <w:pPr>
        <w:spacing w:after="40"/>
      </w:pPr>
      <w:r>
        <w:rPr>
          <w:b/>
          <w:color w:val="153B5B"/>
        </w:rPr>
        <w:t xml:space="preserve">Modificatori obbligatori: </w:t>
      </w:r>
      <w:r>
        <w:t>separazione; porta/target; postura; durata; pattern personale</w:t>
      </w:r>
    </w:p>
    <w:p>
      <w:pPr>
        <w:spacing w:after="40"/>
      </w:pPr>
      <w:r>
        <w:rPr>
          <w:b/>
          <w:color w:val="153B5B"/>
        </w:rPr>
        <w:t xml:space="preserve">Evidenza: </w:t>
      </w:r>
      <w:r>
        <w:t>B • consenso: medio • fonti: S10, S01</w:t>
      </w:r>
    </w:p>
    <w:p>
      <w:pPr>
        <w:spacing w:after="60"/>
      </w:pPr>
      <w:r>
        <w:rPr>
          <w:color w:val="B7C7D3"/>
          <w:sz w:val="14"/>
        </w:rPr>
        <w:t>—————————————————————————————————————————————————————————————————</w:t>
      </w:r>
    </w:p>
    <w:p>
      <w:pPr>
        <w:pStyle w:val="Heading2"/>
      </w:pPr>
      <w:r>
        <w:t>AUD_HOWL_001 — Howl / ululato</w:t>
      </w:r>
    </w:p>
    <w:p>
      <w:pPr>
        <w:spacing w:after="40"/>
      </w:pPr>
      <w:r>
        <w:rPr>
          <w:b/>
          <w:color w:val="153B5B"/>
        </w:rPr>
        <w:t xml:space="preserve">Dominio: </w:t>
      </w:r>
      <w:r>
        <w:t>audio_vocalization</w:t>
      </w:r>
    </w:p>
    <w:p>
      <w:pPr>
        <w:spacing w:after="40"/>
      </w:pPr>
      <w:r>
        <w:rPr>
          <w:b/>
          <w:color w:val="153B5B"/>
        </w:rPr>
        <w:t xml:space="preserve">Osservabile: </w:t>
      </w:r>
      <w:r>
        <w:t>Vocalizzazione lunga e sostenuta con struttura tonale.</w:t>
      </w:r>
    </w:p>
    <w:p>
      <w:pPr>
        <w:spacing w:after="40"/>
      </w:pPr>
      <w:r>
        <w:rPr>
          <w:b/>
          <w:color w:val="153B5B"/>
        </w:rPr>
        <w:t xml:space="preserve">Interpretazioni compatibili: </w:t>
      </w:r>
      <w:r>
        <w:t>risposta sociale/acustica; isolamento; pattern individuale/di razza</w:t>
      </w:r>
    </w:p>
    <w:p>
      <w:pPr>
        <w:spacing w:after="40"/>
      </w:pPr>
      <w:r>
        <w:rPr>
          <w:b/>
          <w:color w:val="153B5B"/>
        </w:rPr>
        <w:t xml:space="preserve">Non concludere: </w:t>
      </w:r>
      <w:r>
        <w:t>Non assegnare significato unico.</w:t>
      </w:r>
    </w:p>
    <w:p>
      <w:pPr>
        <w:spacing w:after="40"/>
      </w:pPr>
      <w:r>
        <w:rPr>
          <w:b/>
          <w:color w:val="153B5B"/>
        </w:rPr>
        <w:t xml:space="preserve">Modificatori obbligatori: </w:t>
      </w:r>
      <w:r>
        <w:t>stimolo sonoro; isolamento; individuo; storia</w:t>
      </w:r>
    </w:p>
    <w:p>
      <w:pPr>
        <w:spacing w:after="40"/>
      </w:pPr>
      <w:r>
        <w:rPr>
          <w:b/>
          <w:color w:val="153B5B"/>
        </w:rPr>
        <w:t xml:space="preserve">Evidenza: </w:t>
      </w:r>
      <w:r>
        <w:t>B • consenso: medio • fonti: S01, S19</w:t>
      </w:r>
    </w:p>
    <w:p>
      <w:pPr>
        <w:spacing w:after="60"/>
      </w:pPr>
      <w:r>
        <w:rPr>
          <w:color w:val="B7C7D3"/>
          <w:sz w:val="14"/>
        </w:rPr>
        <w:t>—————————————————————————————————————————————————————————————————</w:t>
      </w:r>
    </w:p>
    <w:p>
      <w:pPr>
        <w:pStyle w:val="Heading2"/>
      </w:pPr>
      <w:r>
        <w:t>CTX_HUMAN_001 — Attenzione umana</w:t>
      </w:r>
    </w:p>
    <w:p>
      <w:pPr>
        <w:spacing w:after="40"/>
      </w:pPr>
      <w:r>
        <w:rPr>
          <w:b/>
          <w:color w:val="153B5B"/>
        </w:rPr>
        <w:t xml:space="preserve">Dominio: </w:t>
      </w:r>
      <w:r>
        <w:t>context</w:t>
      </w:r>
    </w:p>
    <w:p>
      <w:pPr>
        <w:spacing w:after="40"/>
      </w:pPr>
      <w:r>
        <w:rPr>
          <w:b/>
          <w:color w:val="153B5B"/>
        </w:rPr>
        <w:t xml:space="preserve">Osservabile: </w:t>
      </w:r>
      <w:r>
        <w:t>Persona guarda/interagisce/parla al cane oppure è presente ma inattiva.</w:t>
      </w:r>
    </w:p>
    <w:p>
      <w:pPr>
        <w:spacing w:after="40"/>
      </w:pPr>
      <w:r>
        <w:rPr>
          <w:b/>
          <w:color w:val="153B5B"/>
        </w:rPr>
        <w:t xml:space="preserve">Interpretazioni compatibili: </w:t>
      </w:r>
      <w:r>
        <w:t>modificatore primario di espressioni e comunicazione</w:t>
      </w:r>
    </w:p>
    <w:p>
      <w:pPr>
        <w:spacing w:after="40"/>
      </w:pPr>
      <w:r>
        <w:rPr>
          <w:b/>
          <w:color w:val="153B5B"/>
        </w:rPr>
        <w:t xml:space="preserve">Non concludere: </w:t>
      </w:r>
      <w:r>
        <w:t>La stessa azione facciale può cambiare frequenza in funzione dell'attenzione umana.</w:t>
      </w:r>
    </w:p>
    <w:p>
      <w:pPr>
        <w:spacing w:after="40"/>
      </w:pPr>
      <w:r>
        <w:rPr>
          <w:b/>
          <w:color w:val="153B5B"/>
        </w:rPr>
        <w:t xml:space="preserve">Modificatori obbligatori: </w:t>
      </w:r>
      <w:r>
        <w:t>familiarità persona; distanza; tono voce; interazione precedente</w:t>
      </w:r>
    </w:p>
    <w:p>
      <w:pPr>
        <w:spacing w:after="40"/>
      </w:pPr>
      <w:r>
        <w:rPr>
          <w:b/>
          <w:color w:val="153B5B"/>
        </w:rPr>
        <w:t xml:space="preserve">Evidenza: </w:t>
      </w:r>
      <w:r>
        <w:t>A • consenso: alto • fonti: S03, S01</w:t>
      </w:r>
    </w:p>
    <w:p>
      <w:pPr>
        <w:spacing w:after="60"/>
      </w:pPr>
      <w:r>
        <w:rPr>
          <w:color w:val="B7C7D3"/>
          <w:sz w:val="14"/>
        </w:rPr>
        <w:t>—————————————————————————————————————————————————————————————————</w:t>
      </w:r>
    </w:p>
    <w:p>
      <w:pPr>
        <w:pStyle w:val="Heading2"/>
      </w:pPr>
      <w:r>
        <w:t>CTX_DOG_001 — Interazione cane-cane</w:t>
      </w:r>
    </w:p>
    <w:p>
      <w:pPr>
        <w:spacing w:after="40"/>
      </w:pPr>
      <w:r>
        <w:rPr>
          <w:b/>
          <w:color w:val="153B5B"/>
        </w:rPr>
        <w:t xml:space="preserve">Dominio: </w:t>
      </w:r>
      <w:r>
        <w:t>context</w:t>
      </w:r>
    </w:p>
    <w:p>
      <w:pPr>
        <w:spacing w:after="40"/>
      </w:pPr>
      <w:r>
        <w:rPr>
          <w:b/>
          <w:color w:val="153B5B"/>
        </w:rPr>
        <w:t xml:space="preserve">Osservabile: </w:t>
      </w:r>
      <w:r>
        <w:t>Presenza e comportamento di un conspecifico; distanza, orientamento, reciprocità.</w:t>
      </w:r>
    </w:p>
    <w:p>
      <w:pPr>
        <w:spacing w:after="40"/>
      </w:pPr>
      <w:r>
        <w:rPr>
          <w:b/>
          <w:color w:val="153B5B"/>
        </w:rPr>
        <w:t xml:space="preserve">Interpretazioni compatibili: </w:t>
      </w:r>
      <w:r>
        <w:t>gioco; approccio; evitamento; tensione; competizione risorse</w:t>
      </w:r>
    </w:p>
    <w:p>
      <w:pPr>
        <w:spacing w:after="40"/>
      </w:pPr>
      <w:r>
        <w:rPr>
          <w:b/>
          <w:color w:val="153B5B"/>
        </w:rPr>
        <w:t xml:space="preserve">Non concludere: </w:t>
      </w:r>
      <w:r>
        <w:t>Etichette sociali richiedono sequenza reciproca, non singolo frame.</w:t>
      </w:r>
    </w:p>
    <w:p>
      <w:pPr>
        <w:spacing w:after="40"/>
      </w:pPr>
      <w:r>
        <w:rPr>
          <w:b/>
          <w:color w:val="153B5B"/>
        </w:rPr>
        <w:t xml:space="preserve">Modificatori obbligatori: </w:t>
      </w:r>
      <w:r>
        <w:t>risorsa; spazio; familiarità; reciprocità; vie di fuga</w:t>
      </w:r>
    </w:p>
    <w:p>
      <w:pPr>
        <w:spacing w:after="40"/>
      </w:pPr>
      <w:r>
        <w:rPr>
          <w:b/>
          <w:color w:val="153B5B"/>
        </w:rPr>
        <w:t xml:space="preserve">Evidenza: </w:t>
      </w:r>
      <w:r>
        <w:t>A • consenso: alto • fonti: S01, S14</w:t>
      </w:r>
    </w:p>
    <w:p>
      <w:pPr>
        <w:spacing w:after="60"/>
      </w:pPr>
      <w:r>
        <w:rPr>
          <w:color w:val="B7C7D3"/>
          <w:sz w:val="14"/>
        </w:rPr>
        <w:t>—————————————————————————————————————————————————————————————————</w:t>
      </w:r>
    </w:p>
    <w:p>
      <w:pPr>
        <w:pStyle w:val="Heading2"/>
      </w:pPr>
      <w:r>
        <w:t>CTX_RESOURCE_001 — Risorsa / cibo / toy</w:t>
      </w:r>
    </w:p>
    <w:p>
      <w:pPr>
        <w:spacing w:after="40"/>
      </w:pPr>
      <w:r>
        <w:rPr>
          <w:b/>
          <w:color w:val="153B5B"/>
        </w:rPr>
        <w:t xml:space="preserve">Dominio: </w:t>
      </w:r>
      <w:r>
        <w:t>context</w:t>
      </w:r>
    </w:p>
    <w:p>
      <w:pPr>
        <w:spacing w:after="40"/>
      </w:pPr>
      <w:r>
        <w:rPr>
          <w:b/>
          <w:color w:val="153B5B"/>
        </w:rPr>
        <w:t xml:space="preserve">Osservabile: </w:t>
      </w:r>
      <w:r>
        <w:t>Cibo, ciotola, osso, toy o oggetto di valore nel contesto immediato.</w:t>
      </w:r>
    </w:p>
    <w:p>
      <w:pPr>
        <w:spacing w:after="40"/>
      </w:pPr>
      <w:r>
        <w:rPr>
          <w:b/>
          <w:color w:val="153B5B"/>
        </w:rPr>
        <w:t xml:space="preserve">Interpretazioni compatibili: </w:t>
      </w:r>
      <w:r>
        <w:t>gioco; anticipazione; frustrazione; difesa risorsa</w:t>
      </w:r>
    </w:p>
    <w:p>
      <w:pPr>
        <w:spacing w:after="40"/>
      </w:pPr>
      <w:r>
        <w:rPr>
          <w:b/>
          <w:color w:val="153B5B"/>
        </w:rPr>
        <w:t xml:space="preserve">Non concludere: </w:t>
      </w:r>
      <w:r>
        <w:t>Non attribuire 'possessività' senza pattern e interazione.</w:t>
      </w:r>
    </w:p>
    <w:p>
      <w:pPr>
        <w:spacing w:after="40"/>
      </w:pPr>
      <w:r>
        <w:rPr>
          <w:b/>
          <w:color w:val="153B5B"/>
        </w:rPr>
        <w:t xml:space="preserve">Modificatori obbligatori: </w:t>
      </w:r>
      <w:r>
        <w:t>approccio di altri; growl; freeze; postura; storia</w:t>
      </w:r>
    </w:p>
    <w:p>
      <w:pPr>
        <w:spacing w:after="40"/>
      </w:pPr>
      <w:r>
        <w:rPr>
          <w:b/>
          <w:color w:val="153B5B"/>
        </w:rPr>
        <w:t xml:space="preserve">Evidenza: </w:t>
      </w:r>
      <w:r>
        <w:t>B • consenso: alto • fonti: S16, S14</w:t>
      </w:r>
    </w:p>
    <w:p>
      <w:pPr>
        <w:spacing w:after="60"/>
      </w:pPr>
      <w:r>
        <w:rPr>
          <w:color w:val="B7C7D3"/>
          <w:sz w:val="14"/>
        </w:rPr>
        <w:t>—————————————————————————————————————————————————————————————————</w:t>
      </w:r>
    </w:p>
    <w:p>
      <w:pPr>
        <w:pStyle w:val="Heading2"/>
      </w:pPr>
      <w:r>
        <w:t>CTX_SEP_001 — Separazione / isolamento</w:t>
      </w:r>
    </w:p>
    <w:p>
      <w:pPr>
        <w:spacing w:after="40"/>
      </w:pPr>
      <w:r>
        <w:rPr>
          <w:b/>
          <w:color w:val="153B5B"/>
        </w:rPr>
        <w:t xml:space="preserve">Dominio: </w:t>
      </w:r>
      <w:r>
        <w:t>context</w:t>
      </w:r>
    </w:p>
    <w:p>
      <w:pPr>
        <w:spacing w:after="40"/>
      </w:pPr>
      <w:r>
        <w:rPr>
          <w:b/>
          <w:color w:val="153B5B"/>
        </w:rPr>
        <w:t xml:space="preserve">Osservabile: </w:t>
      </w:r>
      <w:r>
        <w:t>Proprietario esce o cane resta senza referente abituale.</w:t>
      </w:r>
    </w:p>
    <w:p>
      <w:pPr>
        <w:spacing w:after="40"/>
      </w:pPr>
      <w:r>
        <w:rPr>
          <w:b/>
          <w:color w:val="153B5B"/>
        </w:rPr>
        <w:t xml:space="preserve">Interpretazioni compatibili: </w:t>
      </w:r>
      <w:r>
        <w:t>distress da separazione; vocalizzazione contestuale; ricerca sociale</w:t>
      </w:r>
    </w:p>
    <w:p>
      <w:pPr>
        <w:spacing w:after="40"/>
      </w:pPr>
      <w:r>
        <w:rPr>
          <w:b/>
          <w:color w:val="153B5B"/>
        </w:rPr>
        <w:t xml:space="preserve">Non concludere: </w:t>
      </w:r>
      <w:r>
        <w:t>Un singolo episodio non diagnostica ansia da separazione.</w:t>
      </w:r>
    </w:p>
    <w:p>
      <w:pPr>
        <w:spacing w:after="40"/>
      </w:pPr>
      <w:r>
        <w:rPr>
          <w:b/>
          <w:color w:val="153B5B"/>
        </w:rPr>
        <w:t xml:space="preserve">Modificatori obbligatori: </w:t>
      </w:r>
      <w:r>
        <w:t>durata; ripetizione; distruzione/eliminazione; video longitudinali; baseline</w:t>
      </w:r>
    </w:p>
    <w:p>
      <w:pPr>
        <w:spacing w:after="40"/>
      </w:pPr>
      <w:r>
        <w:rPr>
          <w:b/>
          <w:color w:val="153B5B"/>
        </w:rPr>
        <w:t xml:space="preserve">Evidenza: </w:t>
      </w:r>
      <w:r>
        <w:t>B • consenso: alto • fonti: S10, S15</w:t>
      </w:r>
    </w:p>
    <w:p>
      <w:pPr>
        <w:spacing w:after="60"/>
      </w:pPr>
      <w:r>
        <w:rPr>
          <w:color w:val="B7C7D3"/>
          <w:sz w:val="14"/>
        </w:rPr>
        <w:t>—————————————————————————————————————————————————————————————————</w:t>
      </w:r>
    </w:p>
    <w:p>
      <w:pPr>
        <w:pStyle w:val="Heading2"/>
      </w:pPr>
      <w:r>
        <w:t>SAFE_DISTRESS_001 — Cluster distress/fear</w:t>
      </w:r>
    </w:p>
    <w:p>
      <w:pPr>
        <w:spacing w:after="40"/>
      </w:pPr>
      <w:r>
        <w:rPr>
          <w:b/>
          <w:color w:val="153B5B"/>
        </w:rPr>
        <w:t xml:space="preserve">Dominio: </w:t>
      </w:r>
      <w:r>
        <w:t>safety</w:t>
      </w:r>
    </w:p>
    <w:p>
      <w:pPr>
        <w:spacing w:after="40"/>
      </w:pPr>
      <w:r>
        <w:rPr>
          <w:b/>
          <w:color w:val="153B5B"/>
        </w:rPr>
        <w:t xml:space="preserve">Osservabile: </w:t>
      </w:r>
      <w:r>
        <w:t>Convergenza di più segnali: coda tucked, postura abbassata, freeze/escape, tremore, lip lick ripetuto, panting fuori contesto, disengagement.</w:t>
      </w:r>
    </w:p>
    <w:p>
      <w:pPr>
        <w:spacing w:after="40"/>
      </w:pPr>
      <w:r>
        <w:rPr>
          <w:b/>
          <w:color w:val="153B5B"/>
        </w:rPr>
        <w:t xml:space="preserve">Interpretazioni compatibili: </w:t>
      </w:r>
      <w:r>
        <w:t>distress/paura da considerare seriamente</w:t>
      </w:r>
    </w:p>
    <w:p>
      <w:pPr>
        <w:spacing w:after="40"/>
      </w:pPr>
      <w:r>
        <w:rPr>
          <w:b/>
          <w:color w:val="153B5B"/>
        </w:rPr>
        <w:t xml:space="preserve">Non concludere: </w:t>
      </w:r>
      <w:r>
        <w:t>Non diagnosticare disturbo d'ansia; raccomandare aumento distanza e valutazione professionale se persistente/severo.</w:t>
      </w:r>
    </w:p>
    <w:p>
      <w:pPr>
        <w:spacing w:after="40"/>
      </w:pPr>
      <w:r>
        <w:rPr>
          <w:b/>
          <w:color w:val="153B5B"/>
        </w:rPr>
        <w:t xml:space="preserve">Modificatori obbligatori: </w:t>
      </w:r>
      <w:r>
        <w:t>numero segnali; persistenza; trigger; possibilità di allontanarsi</w:t>
      </w:r>
    </w:p>
    <w:p>
      <w:pPr>
        <w:spacing w:after="40"/>
      </w:pPr>
      <w:r>
        <w:rPr>
          <w:b/>
          <w:color w:val="153B5B"/>
        </w:rPr>
        <w:t xml:space="preserve">Evidenza: </w:t>
      </w:r>
      <w:r>
        <w:t>A • consenso: alto • fonti: S10, S09</w:t>
      </w:r>
    </w:p>
    <w:p>
      <w:pPr>
        <w:spacing w:after="60"/>
      </w:pPr>
      <w:r>
        <w:rPr>
          <w:color w:val="B7C7D3"/>
          <w:sz w:val="14"/>
        </w:rPr>
        <w:t>—————————————————————————————————————————————————————————————————</w:t>
      </w:r>
    </w:p>
    <w:p>
      <w:pPr>
        <w:pStyle w:val="Heading2"/>
      </w:pPr>
      <w:r>
        <w:t>SAFE_ESCALATION_001 — Cluster possibile escalation difensiva</w:t>
      </w:r>
    </w:p>
    <w:p>
      <w:pPr>
        <w:spacing w:after="40"/>
      </w:pPr>
      <w:r>
        <w:rPr>
          <w:b/>
          <w:color w:val="153B5B"/>
        </w:rPr>
        <w:t xml:space="preserve">Dominio: </w:t>
      </w:r>
      <w:r>
        <w:t>safety</w:t>
      </w:r>
    </w:p>
    <w:p>
      <w:pPr>
        <w:spacing w:after="40"/>
      </w:pPr>
      <w:r>
        <w:rPr>
          <w:b/>
          <w:color w:val="153B5B"/>
        </w:rPr>
        <w:t xml:space="preserve">Osservabile: </w:t>
      </w:r>
      <w:r>
        <w:t>Rigidità/freeze + orientamento intenso + growl/snarl/teeth display o avanzamento/ritiro rapido.</w:t>
      </w:r>
    </w:p>
    <w:p>
      <w:pPr>
        <w:spacing w:after="40"/>
      </w:pPr>
      <w:r>
        <w:rPr>
          <w:b/>
          <w:color w:val="153B5B"/>
        </w:rPr>
        <w:t xml:space="preserve">Interpretazioni compatibili: </w:t>
      </w:r>
      <w:r>
        <w:t>alta tensione con possibile rischio di escalation</w:t>
      </w:r>
    </w:p>
    <w:p>
      <w:pPr>
        <w:spacing w:after="40"/>
      </w:pPr>
      <w:r>
        <w:rPr>
          <w:b/>
          <w:color w:val="153B5B"/>
        </w:rPr>
        <w:t xml:space="preserve">Non concludere: </w:t>
      </w:r>
      <w:r>
        <w:t>Non prevedere morso con certezza. Output deve essere prudente: non avvicinarsi, non testare il cane, aumentare distanza in sicurezza.</w:t>
      </w:r>
    </w:p>
    <w:p>
      <w:pPr>
        <w:spacing w:after="40"/>
      </w:pPr>
      <w:r>
        <w:rPr>
          <w:b/>
          <w:color w:val="153B5B"/>
        </w:rPr>
        <w:t xml:space="preserve">Modificatori obbligatori: </w:t>
      </w:r>
      <w:r>
        <w:t>distanza; risorsa; vie di fuga; precedenti; persona/cane target</w:t>
      </w:r>
    </w:p>
    <w:p>
      <w:pPr>
        <w:spacing w:after="40"/>
      </w:pPr>
      <w:r>
        <w:rPr>
          <w:b/>
          <w:color w:val="153B5B"/>
        </w:rPr>
        <w:t xml:space="preserve">Evidenza: </w:t>
      </w:r>
      <w:r>
        <w:t>A • consenso: alto • fonti: S10, S01, S16</w:t>
      </w:r>
    </w:p>
    <w:p>
      <w:pPr>
        <w:spacing w:after="60"/>
      </w:pPr>
      <w:r>
        <w:rPr>
          <w:color w:val="B7C7D3"/>
          <w:sz w:val="14"/>
        </w:rPr>
        <w:t>—————————————————————————————————————————————————————————————————</w:t>
      </w:r>
    </w:p>
    <w:p>
      <w:pPr>
        <w:pStyle w:val="Heading2"/>
      </w:pPr>
      <w:r>
        <w:t>SAFE_PAIN_001 — Possibile dolore/discomfort</w:t>
      </w:r>
    </w:p>
    <w:p>
      <w:pPr>
        <w:spacing w:after="40"/>
      </w:pPr>
      <w:r>
        <w:rPr>
          <w:b/>
          <w:color w:val="153B5B"/>
        </w:rPr>
        <w:t xml:space="preserve">Dominio: </w:t>
      </w:r>
      <w:r>
        <w:t>safety</w:t>
      </w:r>
    </w:p>
    <w:p>
      <w:pPr>
        <w:spacing w:after="40"/>
      </w:pPr>
      <w:r>
        <w:rPr>
          <w:b/>
          <w:color w:val="153B5B"/>
        </w:rPr>
        <w:t xml:space="preserve">Osservabile: </w:t>
      </w:r>
      <w:r>
        <w:t>Cambiamento improvviso di comportamento, postura anomala, vocalizzazioni, ridotta interazione, tensione facciale/orecchie, restlessness o concealment.</w:t>
      </w:r>
    </w:p>
    <w:p>
      <w:pPr>
        <w:spacing w:after="40"/>
      </w:pPr>
      <w:r>
        <w:rPr>
          <w:b/>
          <w:color w:val="153B5B"/>
        </w:rPr>
        <w:t xml:space="preserve">Interpretazioni compatibili: </w:t>
      </w:r>
      <w:r>
        <w:t>dolore/discomfort tra le possibilità</w:t>
      </w:r>
    </w:p>
    <w:p>
      <w:pPr>
        <w:spacing w:after="40"/>
      </w:pPr>
      <w:r>
        <w:rPr>
          <w:b/>
          <w:color w:val="153B5B"/>
        </w:rPr>
        <w:t xml:space="preserve">Non concludere: </w:t>
      </w:r>
      <w:r>
        <w:t>Dogly non diagnostica dolore né causa. Se nuovo, intenso o persistente, indirizzare al veterinario.</w:t>
      </w:r>
    </w:p>
    <w:p>
      <w:pPr>
        <w:spacing w:after="40"/>
      </w:pPr>
      <w:r>
        <w:rPr>
          <w:b/>
          <w:color w:val="153B5B"/>
        </w:rPr>
        <w:t xml:space="preserve">Modificatori obbligatori: </w:t>
      </w:r>
      <w:r>
        <w:t>baseline individuale; trauma; mobilità; appetito; durata</w:t>
      </w:r>
    </w:p>
    <w:p>
      <w:pPr>
        <w:spacing w:after="40"/>
      </w:pPr>
      <w:r>
        <w:rPr>
          <w:b/>
          <w:color w:val="153B5B"/>
        </w:rPr>
        <w:t xml:space="preserve">Evidenza: </w:t>
      </w:r>
      <w:r>
        <w:t>A • consenso: alto • fonti: S11, S12, S26</w:t>
      </w:r>
    </w:p>
    <w:p>
      <w:pPr>
        <w:spacing w:after="60"/>
      </w:pPr>
      <w:r>
        <w:rPr>
          <w:color w:val="B7C7D3"/>
          <w:sz w:val="14"/>
        </w:rPr>
        <w:t>—————————————————————————————————————————————————————————————————</w:t>
      </w:r>
    </w:p>
    <w:p>
      <w:pPr>
        <w:pStyle w:val="Heading2"/>
      </w:pPr>
      <w:r>
        <w:t>DIGESTIVE_001 — Consistenza fecale da immagine</w:t>
      </w:r>
    </w:p>
    <w:p>
      <w:pPr>
        <w:spacing w:after="40"/>
      </w:pPr>
      <w:r>
        <w:rPr>
          <w:b/>
          <w:color w:val="153B5B"/>
        </w:rPr>
        <w:t xml:space="preserve">Dominio: </w:t>
      </w:r>
      <w:r>
        <w:t>digestive</w:t>
      </w:r>
    </w:p>
    <w:p>
      <w:pPr>
        <w:spacing w:after="40"/>
      </w:pPr>
      <w:r>
        <w:rPr>
          <w:b/>
          <w:color w:val="153B5B"/>
        </w:rPr>
        <w:t xml:space="preserve">Osservabile: </w:t>
      </w:r>
      <w:r>
        <w:t>Forma/consistenza visiva stimata in fascia qualitativa; registrare colore apparente e presenza visibile di sangue/muco senza diagnosi.</w:t>
      </w:r>
    </w:p>
    <w:p>
      <w:pPr>
        <w:spacing w:after="40"/>
      </w:pPr>
      <w:r>
        <w:rPr>
          <w:b/>
          <w:color w:val="153B5B"/>
        </w:rPr>
        <w:t xml:space="preserve">Interpretazioni compatibili: </w:t>
      </w:r>
      <w:r>
        <w:t>monitoraggio trend digestivo</w:t>
      </w:r>
    </w:p>
    <w:p>
      <w:pPr>
        <w:spacing w:after="40"/>
      </w:pPr>
      <w:r>
        <w:rPr>
          <w:b/>
          <w:color w:val="153B5B"/>
        </w:rPr>
        <w:t xml:space="preserve">Non concludere: </w:t>
      </w:r>
      <w:r>
        <w:t>Una foto non identifica causa, infezione, parassiti o malattia; lo scoring umano stesso ha variabilità.</w:t>
      </w:r>
    </w:p>
    <w:p>
      <w:pPr>
        <w:spacing w:after="40"/>
      </w:pPr>
      <w:r>
        <w:rPr>
          <w:b/>
          <w:color w:val="153B5B"/>
        </w:rPr>
        <w:t xml:space="preserve">Modificatori obbligatori: </w:t>
      </w:r>
      <w:r>
        <w:t>serie temporale; dieta; frequenza; vomito; energia; appetito</w:t>
      </w:r>
    </w:p>
    <w:p>
      <w:pPr>
        <w:spacing w:after="40"/>
      </w:pPr>
      <w:r>
        <w:rPr>
          <w:b/>
          <w:color w:val="153B5B"/>
        </w:rPr>
        <w:t xml:space="preserve">Evidenza: </w:t>
      </w:r>
      <w:r>
        <w:t>A • consenso: alto • fonti: S24, S23, S25</w:t>
      </w:r>
    </w:p>
    <w:p>
      <w:pPr>
        <w:spacing w:after="60"/>
      </w:pPr>
      <w:r>
        <w:rPr>
          <w:color w:val="B7C7D3"/>
          <w:sz w:val="14"/>
        </w:rPr>
        <w:t>—————————————————————————————————————————————————————————————————</w:t>
      </w:r>
    </w:p>
    <w:p>
      <w:pPr>
        <w:pStyle w:val="Heading2"/>
      </w:pPr>
      <w:r>
        <w:t>DIGESTIVE_002 — Red flags gastrointestinali</w:t>
      </w:r>
    </w:p>
    <w:p>
      <w:pPr>
        <w:spacing w:after="40"/>
      </w:pPr>
      <w:r>
        <w:rPr>
          <w:b/>
          <w:color w:val="153B5B"/>
        </w:rPr>
        <w:t xml:space="preserve">Dominio: </w:t>
      </w:r>
      <w:r>
        <w:t>digestive</w:t>
      </w:r>
    </w:p>
    <w:p>
      <w:pPr>
        <w:spacing w:after="40"/>
      </w:pPr>
      <w:r>
        <w:rPr>
          <w:b/>
          <w:color w:val="153B5B"/>
        </w:rPr>
        <w:t xml:space="preserve">Osservabile: </w:t>
      </w:r>
      <w:r>
        <w:t>Vomito ripetuto, incapacità di trattenere acqua, sangue evidente, feci nere/catramose, letargia/collasso, addome doloroso o gonfio, segni di disidratazione.</w:t>
      </w:r>
    </w:p>
    <w:p>
      <w:pPr>
        <w:spacing w:after="40"/>
      </w:pPr>
      <w:r>
        <w:rPr>
          <w:b/>
          <w:color w:val="153B5B"/>
        </w:rPr>
        <w:t xml:space="preserve">Interpretazioni compatibili: </w:t>
      </w:r>
      <w:r>
        <w:t>necessità di contatto veterinario rapido/urgente secondo gravità</w:t>
      </w:r>
    </w:p>
    <w:p>
      <w:pPr>
        <w:spacing w:after="40"/>
      </w:pPr>
      <w:r>
        <w:rPr>
          <w:b/>
          <w:color w:val="153B5B"/>
        </w:rPr>
        <w:t xml:space="preserve">Non concludere: </w:t>
      </w:r>
      <w:r>
        <w:t>Non tentare diagnosi o trattamento farmacologico automatico.</w:t>
      </w:r>
    </w:p>
    <w:p>
      <w:pPr>
        <w:spacing w:after="40"/>
      </w:pPr>
      <w:r>
        <w:rPr>
          <w:b/>
          <w:color w:val="153B5B"/>
        </w:rPr>
        <w:t xml:space="preserve">Modificatori obbligatori: </w:t>
      </w:r>
      <w:r>
        <w:t>età; durata; frequenza; stato mentale; idratazione</w:t>
      </w:r>
    </w:p>
    <w:p>
      <w:pPr>
        <w:spacing w:after="40"/>
      </w:pPr>
      <w:r>
        <w:rPr>
          <w:b/>
          <w:color w:val="153B5B"/>
        </w:rPr>
        <w:t xml:space="preserve">Evidenza: </w:t>
      </w:r>
      <w:r>
        <w:t>A • consenso: alto • fonti: S25, S26, S27</w:t>
      </w:r>
    </w:p>
    <w:p>
      <w:pPr>
        <w:spacing w:after="60"/>
      </w:pPr>
      <w:r>
        <w:rPr>
          <w:color w:val="B7C7D3"/>
          <w:sz w:val="14"/>
        </w:rPr>
        <w:t>—————————————————————————————————————————————————————————————————</w:t>
      </w:r>
    </w:p>
    <w:p>
      <w:pPr>
        <w:pStyle w:val="Heading2"/>
      </w:pPr>
      <w:r>
        <w:t>NUTRITION_001 — Valutazione nutrizionale contestuale</w:t>
      </w:r>
    </w:p>
    <w:p>
      <w:pPr>
        <w:spacing w:after="40"/>
      </w:pPr>
      <w:r>
        <w:rPr>
          <w:b/>
          <w:color w:val="153B5B"/>
        </w:rPr>
        <w:t xml:space="preserve">Dominio: </w:t>
      </w:r>
      <w:r>
        <w:t>nutrition</w:t>
      </w:r>
    </w:p>
    <w:p>
      <w:pPr>
        <w:spacing w:after="40"/>
      </w:pPr>
      <w:r>
        <w:rPr>
          <w:b/>
          <w:color w:val="153B5B"/>
        </w:rPr>
        <w:t xml:space="preserve">Osservabile: </w:t>
      </w:r>
      <w:r>
        <w:t>Età/life stage, peso/BCS se disponibile, alimento, quantità, snack, cambi dieta, attività e ambiente.</w:t>
      </w:r>
    </w:p>
    <w:p>
      <w:pPr>
        <w:spacing w:after="40"/>
      </w:pPr>
      <w:r>
        <w:rPr>
          <w:b/>
          <w:color w:val="153B5B"/>
        </w:rPr>
        <w:t xml:space="preserve">Interpretazioni compatibili: </w:t>
      </w:r>
      <w:r>
        <w:t>personalizzazione e correlazione con trend digestivi</w:t>
      </w:r>
    </w:p>
    <w:p>
      <w:pPr>
        <w:spacing w:after="40"/>
      </w:pPr>
      <w:r>
        <w:rPr>
          <w:b/>
          <w:color w:val="153B5B"/>
        </w:rPr>
        <w:t xml:space="preserve">Non concludere: </w:t>
      </w:r>
      <w:r>
        <w:t>Dogly non prescrive diete terapeutiche o fabbisogni clinici senza supervisione veterinaria.</w:t>
      </w:r>
    </w:p>
    <w:p>
      <w:pPr>
        <w:spacing w:after="40"/>
      </w:pPr>
      <w:r>
        <w:rPr>
          <w:b/>
          <w:color w:val="153B5B"/>
        </w:rPr>
        <w:t xml:space="preserve">Modificatori obbligatori: </w:t>
      </w:r>
      <w:r>
        <w:t>patologie; farmaci; gravidanza; attività; obesità/sottopeso</w:t>
      </w:r>
    </w:p>
    <w:p>
      <w:pPr>
        <w:spacing w:after="40"/>
      </w:pPr>
      <w:r>
        <w:rPr>
          <w:b/>
          <w:color w:val="153B5B"/>
        </w:rPr>
        <w:t xml:space="preserve">Evidenza: </w:t>
      </w:r>
      <w:r>
        <w:t>A • consenso: alto • fonti: S23</w:t>
      </w:r>
    </w:p>
    <w:p>
      <w:pPr>
        <w:spacing w:after="60"/>
      </w:pPr>
      <w:r>
        <w:rPr>
          <w:color w:val="B7C7D3"/>
          <w:sz w:val="14"/>
        </w:rPr>
        <w:t>—————————————————————————————————————————————————————————————————</w:t>
      </w:r>
    </w:p>
    <w:p>
      <w:pPr>
        <w:pStyle w:val="Heading2"/>
      </w:pPr>
      <w:r>
        <w:t>PRIOR_BREED_001 — Razza come prior debole</w:t>
      </w:r>
    </w:p>
    <w:p>
      <w:pPr>
        <w:spacing w:after="40"/>
      </w:pPr>
      <w:r>
        <w:rPr>
          <w:b/>
          <w:color w:val="153B5B"/>
        </w:rPr>
        <w:t xml:space="preserve">Dominio: </w:t>
      </w:r>
      <w:r>
        <w:t>priors</w:t>
      </w:r>
    </w:p>
    <w:p>
      <w:pPr>
        <w:spacing w:after="40"/>
      </w:pPr>
      <w:r>
        <w:rPr>
          <w:b/>
          <w:color w:val="153B5B"/>
        </w:rPr>
        <w:t xml:space="preserve">Osservabile: </w:t>
      </w:r>
      <w:r>
        <w:t>Razza o mix dichiarato dall'utente.</w:t>
      </w:r>
    </w:p>
    <w:p>
      <w:pPr>
        <w:spacing w:after="40"/>
      </w:pPr>
      <w:r>
        <w:rPr>
          <w:b/>
          <w:color w:val="153B5B"/>
        </w:rPr>
        <w:t xml:space="preserve">Interpretazioni compatibili: </w:t>
      </w:r>
      <w:r>
        <w:t>prior leggero su morfologia/visibilità e alcuni tratti di popolazione</w:t>
      </w:r>
    </w:p>
    <w:p>
      <w:pPr>
        <w:spacing w:after="40"/>
      </w:pPr>
      <w:r>
        <w:rPr>
          <w:b/>
          <w:color w:val="153B5B"/>
        </w:rPr>
        <w:t xml:space="preserve">Non concludere: </w:t>
      </w:r>
      <w:r>
        <w:t>Non predire comportamento individuale dalla razza; non usare stereotipi per rischio/aggressività.</w:t>
      </w:r>
    </w:p>
    <w:p>
      <w:pPr>
        <w:spacing w:after="40"/>
      </w:pPr>
      <w:r>
        <w:rPr>
          <w:b/>
          <w:color w:val="153B5B"/>
        </w:rPr>
        <w:t xml:space="preserve">Modificatori obbligatori: </w:t>
      </w:r>
      <w:r>
        <w:t>individuo; storia; età; ambiente; morfologia reale</w:t>
      </w:r>
    </w:p>
    <w:p>
      <w:pPr>
        <w:spacing w:after="40"/>
      </w:pPr>
      <w:r>
        <w:rPr>
          <w:b/>
          <w:color w:val="153B5B"/>
        </w:rPr>
        <w:t xml:space="preserve">Evidenza: </w:t>
      </w:r>
      <w:r>
        <w:t>A • consenso: alto • fonti: S08</w:t>
      </w:r>
    </w:p>
    <w:p>
      <w:pPr>
        <w:spacing w:after="60"/>
      </w:pPr>
      <w:r>
        <w:rPr>
          <w:color w:val="B7C7D3"/>
          <w:sz w:val="14"/>
        </w:rPr>
        <w:t>—————————————————————————————————————————————————————————————————</w:t>
      </w:r>
    </w:p>
    <w:p>
      <w:pPr>
        <w:pStyle w:val="Heading2"/>
      </w:pPr>
      <w:r>
        <w:t>PERSONAL_001 — Pattern personale</w:t>
      </w:r>
    </w:p>
    <w:p>
      <w:pPr>
        <w:spacing w:after="40"/>
      </w:pPr>
      <w:r>
        <w:rPr>
          <w:b/>
          <w:color w:val="153B5B"/>
        </w:rPr>
        <w:t xml:space="preserve">Dominio: </w:t>
      </w:r>
      <w:r>
        <w:t>personalization</w:t>
      </w:r>
    </w:p>
    <w:p>
      <w:pPr>
        <w:spacing w:after="40"/>
      </w:pPr>
      <w:r>
        <w:rPr>
          <w:b/>
          <w:color w:val="153B5B"/>
        </w:rPr>
        <w:t xml:space="preserve">Osservabile: </w:t>
      </w:r>
      <w:r>
        <w:t>Stessa configurazione di segnali + contesto ripetuta nello stesso cane con esito/feedback coerente.</w:t>
      </w:r>
    </w:p>
    <w:p>
      <w:pPr>
        <w:spacing w:after="40"/>
      </w:pPr>
      <w:r>
        <w:rPr>
          <w:b/>
          <w:color w:val="153B5B"/>
        </w:rPr>
        <w:t xml:space="preserve">Interpretazioni compatibili: </w:t>
      </w:r>
      <w:r>
        <w:t>inferenza personalizzata più forte del prior di popolazione</w:t>
      </w:r>
    </w:p>
    <w:p>
      <w:pPr>
        <w:spacing w:after="40"/>
      </w:pPr>
      <w:r>
        <w:rPr>
          <w:b/>
          <w:color w:val="153B5B"/>
        </w:rPr>
        <w:t xml:space="preserve">Non concludere: </w:t>
      </w:r>
      <w:r>
        <w:t>Non promuovere a pattern dopo singolo evento o solo feedback proprietario.</w:t>
      </w:r>
    </w:p>
    <w:p>
      <w:pPr>
        <w:spacing w:after="40"/>
      </w:pPr>
      <w:r>
        <w:rPr>
          <w:b/>
          <w:color w:val="153B5B"/>
        </w:rPr>
        <w:t xml:space="preserve">Modificatori obbligatori: </w:t>
      </w:r>
      <w:r>
        <w:t>numero episodi; diversità giorni; coerenza; contraddizioni; qualità osservazioni</w:t>
      </w:r>
    </w:p>
    <w:p>
      <w:pPr>
        <w:spacing w:after="40"/>
      </w:pPr>
      <w:r>
        <w:rPr>
          <w:b/>
          <w:color w:val="153B5B"/>
        </w:rPr>
        <w:t xml:space="preserve">Evidenza: </w:t>
      </w:r>
      <w:r>
        <w:t>PRODUCT_RULE • consenso: design • fonti: S13, S14</w:t>
      </w:r>
    </w:p>
    <w:p>
      <w:pPr>
        <w:spacing w:after="60"/>
      </w:pPr>
      <w:r>
        <w:rPr>
          <w:color w:val="B7C7D3"/>
          <w:sz w:val="14"/>
        </w:rPr>
        <w:t>—————————————————————————————————————————————————————————————————</w:t>
      </w:r>
    </w:p>
    <w:p>
      <w:pPr>
        <w:pStyle w:val="Heading2"/>
      </w:pPr>
      <w:r>
        <w:t>ABSTAIN_001 — Astensione obbligatoria</w:t>
      </w:r>
    </w:p>
    <w:p>
      <w:pPr>
        <w:spacing w:after="40"/>
      </w:pPr>
      <w:r>
        <w:rPr>
          <w:b/>
          <w:color w:val="153B5B"/>
        </w:rPr>
        <w:t xml:space="preserve">Dominio: </w:t>
      </w:r>
      <w:r>
        <w:t>decision_policy</w:t>
      </w:r>
    </w:p>
    <w:p>
      <w:pPr>
        <w:spacing w:after="40"/>
      </w:pPr>
      <w:r>
        <w:rPr>
          <w:b/>
          <w:color w:val="153B5B"/>
        </w:rPr>
        <w:t xml:space="preserve">Osservabile: </w:t>
      </w:r>
      <w:r>
        <w:t>Video insufficiente, cane non visibile, audio scarso, segnali contraddittori, contesto assente o evidenza bassa.</w:t>
      </w:r>
    </w:p>
    <w:p>
      <w:pPr>
        <w:spacing w:after="40"/>
      </w:pPr>
      <w:r>
        <w:rPr>
          <w:b/>
          <w:color w:val="153B5B"/>
        </w:rPr>
        <w:t xml:space="preserve">Interpretazioni compatibili: </w:t>
      </w:r>
      <w:r>
        <w:t>output 'non ho abbastanza elementi' + eventuale singola domanda utile</w:t>
      </w:r>
    </w:p>
    <w:p>
      <w:pPr>
        <w:spacing w:after="40"/>
      </w:pPr>
      <w:r>
        <w:rPr>
          <w:b/>
          <w:color w:val="153B5B"/>
        </w:rPr>
        <w:t xml:space="preserve">Non concludere: </w:t>
      </w:r>
      <w:r>
        <w:t>Mai forzare una traduzione per completare la UX.</w:t>
      </w:r>
    </w:p>
    <w:p>
      <w:pPr>
        <w:spacing w:after="40"/>
      </w:pPr>
      <w:r>
        <w:rPr>
          <w:b/>
          <w:color w:val="153B5B"/>
        </w:rPr>
        <w:t xml:space="preserve">Modificatori obbligatori: </w:t>
      </w:r>
      <w:r>
        <w:t>capture quality; evidence convergence; memory quality</w:t>
      </w:r>
    </w:p>
    <w:p>
      <w:pPr>
        <w:spacing w:after="40"/>
      </w:pPr>
      <w:r>
        <w:rPr>
          <w:b/>
          <w:color w:val="153B5B"/>
        </w:rPr>
        <w:t xml:space="preserve">Evidenza: </w:t>
      </w:r>
      <w:r>
        <w:t>PRODUCT_RULE • consenso: non_negoziabile • fonti: S05, S09</w:t>
      </w:r>
    </w:p>
    <w:p>
      <w:pPr>
        <w:spacing w:after="60"/>
      </w:pPr>
      <w:r>
        <w:rPr>
          <w:color w:val="B7C7D3"/>
          <w:sz w:val="14"/>
        </w:rPr>
        <w:t>—————————————————————————————————————————————————————————————————</w:t>
      </w:r>
    </w:p>
    <w:p>
      <w:pPr>
        <w:pStyle w:val="Heading1"/>
      </w:pPr>
      <w:r>
        <w:t>6. Decision Engine: policy di fusione</w:t>
      </w:r>
    </w:p>
    <w:p>
      <w:r>
        <w:t>Il reasoner non deve ricevere solo l'osservazione e 'sapere già' la cinofilia. Deve ricevere un pacchetto di evidenza recuperato dalla KB.</w:t>
      </w:r>
    </w:p>
    <w:tbl>
      <w:tblPr>
        <w:tblStyle w:val="TableGrid"/>
        <w:tblW w:type="auto" w:w="0"/>
        <w:jc w:val="center"/>
        <w:tblLook w:firstColumn="1" w:firstRow="1" w:lastColumn="0" w:lastRow="0" w:noHBand="0" w:noVBand="1" w:val="04A0"/>
      </w:tblPr>
      <w:tblGrid>
        <w:gridCol w:w="5083"/>
        <w:gridCol w:w="5083"/>
      </w:tblGrid>
      <w:tr>
        <w:tc>
          <w:tcPr>
            <w:tcW w:type="dxa" w:w="1872"/>
            <w:shd w:fill="153B5B"/>
            <w:vAlign w:val="center"/>
          </w:tcPr>
          <w:p>
            <w:pPr>
              <w:spacing w:after="0"/>
            </w:pPr>
            <w:r/>
            <w:r>
              <w:rPr>
                <w:rFonts w:ascii="Aptos" w:hAnsi="Aptos"/>
                <w:b/>
                <w:color w:val="FFFFFF"/>
                <w:sz w:val="16"/>
              </w:rPr>
              <w:t>Passo</w:t>
            </w:r>
          </w:p>
        </w:tc>
        <w:tc>
          <w:tcPr>
            <w:tcW w:type="dxa" w:w="8352"/>
            <w:shd w:fill="153B5B"/>
            <w:vAlign w:val="center"/>
          </w:tcPr>
          <w:p>
            <w:pPr>
              <w:spacing w:after="0"/>
            </w:pPr>
            <w:r/>
            <w:r>
              <w:rPr>
                <w:rFonts w:ascii="Aptos" w:hAnsi="Aptos"/>
                <w:b/>
                <w:color w:val="FFFFFF"/>
                <w:sz w:val="16"/>
              </w:rPr>
              <w:t>Regola</w:t>
            </w:r>
          </w:p>
        </w:tc>
      </w:tr>
      <w:tr>
        <w:tc>
          <w:tcPr>
            <w:tcW w:type="dxa" w:w="1872"/>
            <w:vAlign w:val="top"/>
          </w:tcPr>
          <w:p>
            <w:pPr>
              <w:spacing w:after="0"/>
            </w:pPr>
            <w:r/>
            <w:r>
              <w:rPr>
                <w:rFonts w:ascii="Aptos" w:hAnsi="Aptos"/>
                <w:b w:val="0"/>
                <w:sz w:val="16"/>
              </w:rPr>
              <w:t>1. Quality gate</w:t>
            </w:r>
          </w:p>
        </w:tc>
        <w:tc>
          <w:tcPr>
            <w:tcW w:type="dxa" w:w="8352"/>
            <w:vAlign w:val="top"/>
          </w:tcPr>
          <w:p>
            <w:pPr>
              <w:spacing w:after="0"/>
            </w:pPr>
            <w:r/>
            <w:r>
              <w:rPr>
                <w:rFonts w:ascii="Aptos" w:hAnsi="Aptos"/>
                <w:b w:val="0"/>
                <w:sz w:val="16"/>
              </w:rPr>
              <w:t>Se cane poco visibile/audio insufficiente/clip troppo breve → abbassa confidence o abstain.</w:t>
            </w:r>
          </w:p>
        </w:tc>
      </w:tr>
      <w:tr>
        <w:tc>
          <w:tcPr>
            <w:tcW w:type="dxa" w:w="1872"/>
            <w:vAlign w:val="top"/>
          </w:tcPr>
          <w:p>
            <w:pPr>
              <w:spacing w:after="0"/>
            </w:pPr>
            <w:r/>
            <w:r>
              <w:rPr>
                <w:rFonts w:ascii="Aptos" w:hAnsi="Aptos"/>
                <w:b w:val="0"/>
                <w:sz w:val="16"/>
              </w:rPr>
              <w:t>2. Observable extraction</w:t>
            </w:r>
          </w:p>
        </w:tc>
        <w:tc>
          <w:tcPr>
            <w:tcW w:type="dxa" w:w="8352"/>
            <w:vAlign w:val="top"/>
          </w:tcPr>
          <w:p>
            <w:pPr>
              <w:spacing w:after="0"/>
            </w:pPr>
            <w:r/>
            <w:r>
              <w:rPr>
                <w:rFonts w:ascii="Aptos" w:hAnsi="Aptos"/>
                <w:b w:val="0"/>
                <w:sz w:val="16"/>
              </w:rPr>
              <w:t>Gemini produce feature e timeline senza intent.</w:t>
            </w:r>
          </w:p>
        </w:tc>
      </w:tr>
      <w:tr>
        <w:tc>
          <w:tcPr>
            <w:tcW w:type="dxa" w:w="1872"/>
            <w:vAlign w:val="top"/>
          </w:tcPr>
          <w:p>
            <w:pPr>
              <w:spacing w:after="0"/>
            </w:pPr>
            <w:r/>
            <w:r>
              <w:rPr>
                <w:rFonts w:ascii="Aptos" w:hAnsi="Aptos"/>
                <w:b w:val="0"/>
                <w:sz w:val="16"/>
              </w:rPr>
              <w:t>3. Context resolution</w:t>
            </w:r>
          </w:p>
        </w:tc>
        <w:tc>
          <w:tcPr>
            <w:tcW w:type="dxa" w:w="8352"/>
            <w:vAlign w:val="top"/>
          </w:tcPr>
          <w:p>
            <w:pPr>
              <w:spacing w:after="0"/>
            </w:pPr>
            <w:r/>
            <w:r>
              <w:rPr>
                <w:rFonts w:ascii="Aptos" w:hAnsi="Aptos"/>
                <w:b w:val="0"/>
                <w:sz w:val="16"/>
              </w:rPr>
              <w:t>Usa contesto visivo + eventuale singola domanda owner solo se cambia realmente la decisione.</w:t>
            </w:r>
          </w:p>
        </w:tc>
      </w:tr>
      <w:tr>
        <w:tc>
          <w:tcPr>
            <w:tcW w:type="dxa" w:w="1872"/>
            <w:vAlign w:val="top"/>
          </w:tcPr>
          <w:p>
            <w:pPr>
              <w:spacing w:after="0"/>
            </w:pPr>
            <w:r/>
            <w:r>
              <w:rPr>
                <w:rFonts w:ascii="Aptos" w:hAnsi="Aptos"/>
                <w:b w:val="0"/>
                <w:sz w:val="16"/>
              </w:rPr>
              <w:t>4. KB retrieval</w:t>
            </w:r>
          </w:p>
        </w:tc>
        <w:tc>
          <w:tcPr>
            <w:tcW w:type="dxa" w:w="8352"/>
            <w:vAlign w:val="top"/>
          </w:tcPr>
          <w:p>
            <w:pPr>
              <w:spacing w:after="0"/>
            </w:pPr>
            <w:r/>
            <w:r>
              <w:rPr>
                <w:rFonts w:ascii="Aptos" w:hAnsi="Aptos"/>
                <w:b w:val="0"/>
                <w:sz w:val="16"/>
              </w:rPr>
              <w:t>Recupera card per feature/context; include evidence grade, caveat, forbidden claims e safety notes.</w:t>
            </w:r>
          </w:p>
        </w:tc>
      </w:tr>
      <w:tr>
        <w:tc>
          <w:tcPr>
            <w:tcW w:type="dxa" w:w="1872"/>
            <w:vAlign w:val="top"/>
          </w:tcPr>
          <w:p>
            <w:pPr>
              <w:spacing w:after="0"/>
            </w:pPr>
            <w:r/>
            <w:r>
              <w:rPr>
                <w:rFonts w:ascii="Aptos" w:hAnsi="Aptos"/>
                <w:b w:val="0"/>
                <w:sz w:val="16"/>
              </w:rPr>
              <w:t>5. Personal memory</w:t>
            </w:r>
          </w:p>
        </w:tc>
        <w:tc>
          <w:tcPr>
            <w:tcW w:type="dxa" w:w="8352"/>
            <w:vAlign w:val="top"/>
          </w:tcPr>
          <w:p>
            <w:pPr>
              <w:spacing w:after="0"/>
            </w:pPr>
            <w:r/>
            <w:r>
              <w:rPr>
                <w:rFonts w:ascii="Aptos" w:hAnsi="Aptos"/>
                <w:b w:val="0"/>
                <w:sz w:val="16"/>
              </w:rPr>
              <w:t>Aggiunge solo pattern del cane che superano soglia di maturità.</w:t>
            </w:r>
          </w:p>
        </w:tc>
      </w:tr>
      <w:tr>
        <w:tc>
          <w:tcPr>
            <w:tcW w:type="dxa" w:w="1872"/>
            <w:vAlign w:val="top"/>
          </w:tcPr>
          <w:p>
            <w:pPr>
              <w:spacing w:after="0"/>
            </w:pPr>
            <w:r/>
            <w:r>
              <w:rPr>
                <w:rFonts w:ascii="Aptos" w:hAnsi="Aptos"/>
                <w:b w:val="0"/>
                <w:sz w:val="16"/>
              </w:rPr>
              <w:t>6. Convergence</w:t>
            </w:r>
          </w:p>
        </w:tc>
        <w:tc>
          <w:tcPr>
            <w:tcW w:type="dxa" w:w="8352"/>
            <w:vAlign w:val="top"/>
          </w:tcPr>
          <w:p>
            <w:pPr>
              <w:spacing w:after="0"/>
            </w:pPr>
            <w:r/>
            <w:r>
              <w:rPr>
                <w:rFonts w:ascii="Aptos" w:hAnsi="Aptos"/>
                <w:b w:val="0"/>
                <w:sz w:val="16"/>
              </w:rPr>
              <w:t>Premia segnali indipendenti coerenti; penalizza segnali aspecifici o contraddittori.</w:t>
            </w:r>
          </w:p>
        </w:tc>
      </w:tr>
      <w:tr>
        <w:tc>
          <w:tcPr>
            <w:tcW w:type="dxa" w:w="1872"/>
            <w:vAlign w:val="top"/>
          </w:tcPr>
          <w:p>
            <w:pPr>
              <w:spacing w:after="0"/>
            </w:pPr>
            <w:r/>
            <w:r>
              <w:rPr>
                <w:rFonts w:ascii="Aptos" w:hAnsi="Aptos"/>
                <w:b w:val="0"/>
                <w:sz w:val="16"/>
              </w:rPr>
              <w:t>7. Safety override</w:t>
            </w:r>
          </w:p>
        </w:tc>
        <w:tc>
          <w:tcPr>
            <w:tcW w:type="dxa" w:w="8352"/>
            <w:vAlign w:val="top"/>
          </w:tcPr>
          <w:p>
            <w:pPr>
              <w:spacing w:after="0"/>
            </w:pPr>
            <w:r/>
            <w:r>
              <w:rPr>
                <w:rFonts w:ascii="Aptos" w:hAnsi="Aptos"/>
                <w:b w:val="0"/>
                <w:sz w:val="16"/>
              </w:rPr>
              <w:t>Red flags distress/pain/GI/emergency sovrascrivono la UX normale.</w:t>
            </w:r>
          </w:p>
        </w:tc>
      </w:tr>
      <w:tr>
        <w:tc>
          <w:tcPr>
            <w:tcW w:type="dxa" w:w="1872"/>
            <w:vAlign w:val="top"/>
          </w:tcPr>
          <w:p>
            <w:pPr>
              <w:spacing w:after="0"/>
            </w:pPr>
            <w:r/>
            <w:r>
              <w:rPr>
                <w:rFonts w:ascii="Aptos" w:hAnsi="Aptos"/>
                <w:b w:val="0"/>
                <w:sz w:val="16"/>
              </w:rPr>
              <w:t>8. Output</w:t>
            </w:r>
          </w:p>
        </w:tc>
        <w:tc>
          <w:tcPr>
            <w:tcW w:type="dxa" w:w="8352"/>
            <w:vAlign w:val="top"/>
          </w:tcPr>
          <w:p>
            <w:pPr>
              <w:spacing w:after="0"/>
            </w:pPr>
            <w:r/>
            <w:r>
              <w:rPr>
                <w:rFonts w:ascii="Aptos" w:hAnsi="Aptos"/>
                <w:b w:val="0"/>
                <w:sz w:val="16"/>
              </w:rPr>
              <w:t>Sintesi probabilistica + evidenze + alternativa + confidence band + eventuale domanda/astensione.</w:t>
            </w:r>
          </w:p>
        </w:tc>
      </w:tr>
    </w:tbl>
    <w:p/>
    <w:p>
      <w:pPr>
        <w:pStyle w:val="Heading2"/>
      </w:pPr>
      <w:r>
        <w:t>6.1 Confidence bands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53B5B"/>
            <w:vAlign w:val="center"/>
          </w:tcPr>
          <w:p>
            <w:pPr>
              <w:spacing w:after="0"/>
            </w:pPr>
            <w:r/>
            <w:r>
              <w:rPr>
                <w:rFonts w:ascii="Aptos" w:hAnsi="Aptos"/>
                <w:b/>
                <w:color w:val="FFFFFF"/>
                <w:sz w:val="16"/>
              </w:rPr>
              <w:t>Fascia</w:t>
            </w:r>
          </w:p>
        </w:tc>
        <w:tc>
          <w:tcPr>
            <w:tcW w:type="dxa" w:w="6336"/>
            <w:shd w:fill="153B5B"/>
            <w:vAlign w:val="center"/>
          </w:tcPr>
          <w:p>
            <w:pPr>
              <w:spacing w:after="0"/>
            </w:pPr>
            <w:r/>
            <w:r>
              <w:rPr>
                <w:rFonts w:ascii="Aptos" w:hAnsi="Aptos"/>
                <w:b/>
                <w:color w:val="FFFFFF"/>
                <w:sz w:val="16"/>
              </w:rPr>
              <w:t>Condizioni minime</w:t>
            </w:r>
          </w:p>
        </w:tc>
        <w:tc>
          <w:tcPr>
            <w:tcW w:type="dxa" w:w="2304"/>
            <w:shd w:fill="153B5B"/>
            <w:vAlign w:val="center"/>
          </w:tcPr>
          <w:p>
            <w:pPr>
              <w:spacing w:after="0"/>
            </w:pPr>
            <w:r/>
            <w:r>
              <w:rPr>
                <w:rFonts w:ascii="Aptos" w:hAnsi="Aptos"/>
                <w:b/>
                <w:color w:val="FFFFFF"/>
                <w:sz w:val="16"/>
              </w:rPr>
              <w:t>Copy</w:t>
            </w:r>
          </w:p>
        </w:tc>
      </w:tr>
      <w:tr>
        <w:tc>
          <w:tcPr>
            <w:tcW w:type="dxa" w:w="1728"/>
            <w:vAlign w:val="top"/>
          </w:tcPr>
          <w:p>
            <w:pPr>
              <w:spacing w:after="0"/>
            </w:pPr>
            <w:r/>
            <w:r>
              <w:rPr>
                <w:rFonts w:ascii="Aptos" w:hAnsi="Aptos"/>
                <w:b w:val="0"/>
                <w:sz w:val="16"/>
              </w:rPr>
              <w:t>ALTA</w:t>
            </w:r>
          </w:p>
        </w:tc>
        <w:tc>
          <w:tcPr>
            <w:tcW w:type="dxa" w:w="6336"/>
            <w:vAlign w:val="top"/>
          </w:tcPr>
          <w:p>
            <w:pPr>
              <w:spacing w:after="0"/>
            </w:pPr>
            <w:r/>
            <w:r>
              <w:rPr>
                <w:rFonts w:ascii="Aptos" w:hAnsi="Aptos"/>
                <w:b w:val="0"/>
                <w:sz w:val="16"/>
              </w:rPr>
              <w:t>Qualità buona + ≥2 famiglie di segnali convergenti + contesto coerente + nessuna contraddizione rilevante; oppure personal pattern maturo.</w:t>
            </w:r>
          </w:p>
        </w:tc>
        <w:tc>
          <w:tcPr>
            <w:tcW w:type="dxa" w:w="2304"/>
            <w:vAlign w:val="top"/>
          </w:tcPr>
          <w:p>
            <w:pPr>
              <w:spacing w:after="0"/>
            </w:pPr>
            <w:r/>
            <w:r>
              <w:rPr>
                <w:rFonts w:ascii="Aptos" w:hAnsi="Aptos"/>
                <w:b w:val="0"/>
                <w:sz w:val="16"/>
              </w:rPr>
              <w:t>“È molto compatibile con…”</w:t>
            </w:r>
          </w:p>
        </w:tc>
      </w:tr>
      <w:tr>
        <w:tc>
          <w:tcPr>
            <w:tcW w:type="dxa" w:w="1728"/>
            <w:vAlign w:val="top"/>
          </w:tcPr>
          <w:p>
            <w:pPr>
              <w:spacing w:after="0"/>
            </w:pPr>
            <w:r/>
            <w:r>
              <w:rPr>
                <w:rFonts w:ascii="Aptos" w:hAnsi="Aptos"/>
                <w:b w:val="0"/>
                <w:sz w:val="16"/>
              </w:rPr>
              <w:t>MEDIA</w:t>
            </w:r>
          </w:p>
        </w:tc>
        <w:tc>
          <w:tcPr>
            <w:tcW w:type="dxa" w:w="6336"/>
            <w:vAlign w:val="top"/>
          </w:tcPr>
          <w:p>
            <w:pPr>
              <w:spacing w:after="0"/>
            </w:pPr>
            <w:r/>
            <w:r>
              <w:rPr>
                <w:rFonts w:ascii="Aptos" w:hAnsi="Aptos"/>
                <w:b w:val="0"/>
                <w:sz w:val="16"/>
              </w:rPr>
              <w:t>Evidenza utile ma aspecifica, contesto incompleto o una contraddizione minore.</w:t>
            </w:r>
          </w:p>
        </w:tc>
        <w:tc>
          <w:tcPr>
            <w:tcW w:type="dxa" w:w="2304"/>
            <w:vAlign w:val="top"/>
          </w:tcPr>
          <w:p>
            <w:pPr>
              <w:spacing w:after="0"/>
            </w:pPr>
            <w:r/>
            <w:r>
              <w:rPr>
                <w:rFonts w:ascii="Aptos" w:hAnsi="Aptos"/>
                <w:b w:val="0"/>
                <w:sz w:val="16"/>
              </w:rPr>
              <w:t>“Potrebbe indicare…”</w:t>
            </w:r>
          </w:p>
        </w:tc>
      </w:tr>
      <w:tr>
        <w:tc>
          <w:tcPr>
            <w:tcW w:type="dxa" w:w="1728"/>
            <w:vAlign w:val="top"/>
          </w:tcPr>
          <w:p>
            <w:pPr>
              <w:spacing w:after="0"/>
            </w:pPr>
            <w:r/>
            <w:r>
              <w:rPr>
                <w:rFonts w:ascii="Aptos" w:hAnsi="Aptos"/>
                <w:b w:val="0"/>
                <w:sz w:val="16"/>
              </w:rPr>
              <w:t>BASSA</w:t>
            </w:r>
          </w:p>
        </w:tc>
        <w:tc>
          <w:tcPr>
            <w:tcW w:type="dxa" w:w="6336"/>
            <w:vAlign w:val="top"/>
          </w:tcPr>
          <w:p>
            <w:pPr>
              <w:spacing w:after="0"/>
            </w:pPr>
            <w:r/>
            <w:r>
              <w:rPr>
                <w:rFonts w:ascii="Aptos" w:hAnsi="Aptos"/>
                <w:b w:val="0"/>
                <w:sz w:val="16"/>
              </w:rPr>
              <w:t>Un solo segnale, qualità limitata, contesto ambiguo o prior generale senza memoria personale.</w:t>
            </w:r>
          </w:p>
        </w:tc>
        <w:tc>
          <w:tcPr>
            <w:tcW w:type="dxa" w:w="2304"/>
            <w:vAlign w:val="top"/>
          </w:tcPr>
          <w:p>
            <w:pPr>
              <w:spacing w:after="0"/>
            </w:pPr>
            <w:r/>
            <w:r>
              <w:rPr>
                <w:rFonts w:ascii="Aptos" w:hAnsi="Aptos"/>
                <w:b w:val="0"/>
                <w:sz w:val="16"/>
              </w:rPr>
              <w:t>“Vedo alcuni segnali compatibili con…, ma non basta per esserne sicuri.”</w:t>
            </w:r>
          </w:p>
        </w:tc>
      </w:tr>
      <w:tr>
        <w:tc>
          <w:tcPr>
            <w:tcW w:type="dxa" w:w="1728"/>
            <w:vAlign w:val="top"/>
          </w:tcPr>
          <w:p>
            <w:pPr>
              <w:spacing w:after="0"/>
            </w:pPr>
            <w:r/>
            <w:r>
              <w:rPr>
                <w:rFonts w:ascii="Aptos" w:hAnsi="Aptos"/>
                <w:b w:val="0"/>
                <w:sz w:val="16"/>
              </w:rPr>
              <w:t>INSUFFICIENT</w:t>
            </w:r>
          </w:p>
        </w:tc>
        <w:tc>
          <w:tcPr>
            <w:tcW w:type="dxa" w:w="6336"/>
            <w:vAlign w:val="top"/>
          </w:tcPr>
          <w:p>
            <w:pPr>
              <w:spacing w:after="0"/>
            </w:pPr>
            <w:r/>
            <w:r>
              <w:rPr>
                <w:rFonts w:ascii="Aptos" w:hAnsi="Aptos"/>
                <w:b w:val="0"/>
                <w:sz w:val="16"/>
              </w:rPr>
              <w:t>Qualità insufficiente o spiegazioni concorrenti equivalenti.</w:t>
            </w:r>
          </w:p>
        </w:tc>
        <w:tc>
          <w:tcPr>
            <w:tcW w:type="dxa" w:w="2304"/>
            <w:vAlign w:val="top"/>
          </w:tcPr>
          <w:p>
            <w:pPr>
              <w:spacing w:after="0"/>
            </w:pPr>
            <w:r/>
            <w:r>
              <w:rPr>
                <w:rFonts w:ascii="Aptos" w:hAnsi="Aptos"/>
                <w:b w:val="0"/>
                <w:sz w:val="16"/>
              </w:rPr>
              <w:t>“Non ho abbastanza elementi. Se vuoi, mostrami…”</w:t>
            </w:r>
          </w:p>
        </w:tc>
      </w:tr>
    </w:tbl>
    <w:p/>
    <w:p>
      <w:pPr>
        <w:pStyle w:val="Heading2"/>
      </w:pPr>
      <w:r>
        <w:t>6.2 Personal Pattern maturity</w:t>
      </w:r>
    </w:p>
    <w:p>
      <w:r>
        <w:t>Soglie iniziali di prodotto da validare empiricamente (non claim scientifici): una memoria non deve diventare pattern con un singolo evento. V1 consigliata: almeno 3 episodi su ≥2 giorni distinti, coerenza ≥70%, qualità osservativa sufficiente e nessuna contraddizione forte. Per pattern che implicano safety o salute, soglie più conservative e nessun automatismo diagnostico.</w:t>
      </w:r>
    </w:p>
    <w:p>
      <w:pPr>
        <w:pStyle w:val="Heading1"/>
      </w:pPr>
      <w:r>
        <w:t>7. Protocollo di annotazione Dogly V1</w:t>
      </w:r>
    </w:p>
    <w:p>
      <w:r>
        <w:t>Per costruire dataset proprietario difendibile, la ground truth deve essere multilivello. Il proprietario non è la ground truth del significato; è una fonte contestuale.</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53B5B"/>
            <w:vAlign w:val="center"/>
          </w:tcPr>
          <w:p>
            <w:pPr>
              <w:spacing w:after="0"/>
            </w:pPr>
            <w:r/>
            <w:r>
              <w:rPr>
                <w:rFonts w:ascii="Aptos" w:hAnsi="Aptos"/>
                <w:b/>
                <w:color w:val="FFFFFF"/>
                <w:sz w:val="16"/>
              </w:rPr>
              <w:t>Layer</w:t>
            </w:r>
          </w:p>
        </w:tc>
        <w:tc>
          <w:tcPr>
            <w:tcW w:type="dxa" w:w="3456"/>
            <w:shd w:fill="153B5B"/>
            <w:vAlign w:val="center"/>
          </w:tcPr>
          <w:p>
            <w:pPr>
              <w:spacing w:after="0"/>
            </w:pPr>
            <w:r/>
            <w:r>
              <w:rPr>
                <w:rFonts w:ascii="Aptos" w:hAnsi="Aptos"/>
                <w:b/>
                <w:color w:val="FFFFFF"/>
                <w:sz w:val="16"/>
              </w:rPr>
              <w:t>Chi/come</w:t>
            </w:r>
          </w:p>
        </w:tc>
        <w:tc>
          <w:tcPr>
            <w:tcW w:type="dxa" w:w="4608"/>
            <w:shd w:fill="153B5B"/>
            <w:vAlign w:val="center"/>
          </w:tcPr>
          <w:p>
            <w:pPr>
              <w:spacing w:after="0"/>
            </w:pPr>
            <w:r/>
            <w:r>
              <w:rPr>
                <w:rFonts w:ascii="Aptos" w:hAnsi="Aptos"/>
                <w:b/>
                <w:color w:val="FFFFFF"/>
                <w:sz w:val="16"/>
              </w:rPr>
              <w:t>Output</w:t>
            </w:r>
          </w:p>
        </w:tc>
      </w:tr>
      <w:tr>
        <w:tc>
          <w:tcPr>
            <w:tcW w:type="dxa" w:w="2016"/>
            <w:vAlign w:val="top"/>
          </w:tcPr>
          <w:p>
            <w:pPr>
              <w:spacing w:after="0"/>
            </w:pPr>
            <w:r/>
            <w:r>
              <w:rPr>
                <w:rFonts w:ascii="Aptos" w:hAnsi="Aptos"/>
                <w:b w:val="0"/>
                <w:sz w:val="16"/>
              </w:rPr>
              <w:t>A — Media quality</w:t>
            </w:r>
          </w:p>
        </w:tc>
        <w:tc>
          <w:tcPr>
            <w:tcW w:type="dxa" w:w="3456"/>
            <w:vAlign w:val="top"/>
          </w:tcPr>
          <w:p>
            <w:pPr>
              <w:spacing w:after="0"/>
            </w:pPr>
            <w:r/>
            <w:r>
              <w:rPr>
                <w:rFonts w:ascii="Aptos" w:hAnsi="Aptos"/>
                <w:b w:val="0"/>
                <w:sz w:val="16"/>
              </w:rPr>
              <w:t>annotatore + controlli automatici</w:t>
            </w:r>
          </w:p>
        </w:tc>
        <w:tc>
          <w:tcPr>
            <w:tcW w:type="dxa" w:w="4608"/>
            <w:vAlign w:val="top"/>
          </w:tcPr>
          <w:p>
            <w:pPr>
              <w:spacing w:after="0"/>
            </w:pPr>
            <w:r/>
            <w:r>
              <w:rPr>
                <w:rFonts w:ascii="Aptos" w:hAnsi="Aptos"/>
                <w:b w:val="0"/>
                <w:sz w:val="16"/>
              </w:rPr>
              <w:t>visibilità, occlusione, luce, blur, audio quality</w:t>
            </w:r>
          </w:p>
        </w:tc>
      </w:tr>
      <w:tr>
        <w:tc>
          <w:tcPr>
            <w:tcW w:type="dxa" w:w="2016"/>
            <w:vAlign w:val="top"/>
          </w:tcPr>
          <w:p>
            <w:pPr>
              <w:spacing w:after="0"/>
            </w:pPr>
            <w:r/>
            <w:r>
              <w:rPr>
                <w:rFonts w:ascii="Aptos" w:hAnsi="Aptos"/>
                <w:b w:val="0"/>
                <w:sz w:val="16"/>
              </w:rPr>
              <w:t>B — Observable ethogram</w:t>
            </w:r>
          </w:p>
        </w:tc>
        <w:tc>
          <w:tcPr>
            <w:tcW w:type="dxa" w:w="3456"/>
            <w:vAlign w:val="top"/>
          </w:tcPr>
          <w:p>
            <w:pPr>
              <w:spacing w:after="0"/>
            </w:pPr>
            <w:r/>
            <w:r>
              <w:rPr>
                <w:rFonts w:ascii="Aptos" w:hAnsi="Aptos"/>
                <w:b w:val="0"/>
                <w:sz w:val="16"/>
              </w:rPr>
              <w:t>annotatori formati</w:t>
            </w:r>
          </w:p>
        </w:tc>
        <w:tc>
          <w:tcPr>
            <w:tcW w:type="dxa" w:w="4608"/>
            <w:vAlign w:val="top"/>
          </w:tcPr>
          <w:p>
            <w:pPr>
              <w:spacing w:after="0"/>
            </w:pPr>
            <w:r/>
            <w:r>
              <w:rPr>
                <w:rFonts w:ascii="Aptos" w:hAnsi="Aptos"/>
                <w:b w:val="0"/>
                <w:sz w:val="16"/>
              </w:rPr>
              <w:t>postura, movimento, tail, ears, face, head/gaze, vocalization, timeline</w:t>
            </w:r>
          </w:p>
        </w:tc>
      </w:tr>
      <w:tr>
        <w:tc>
          <w:tcPr>
            <w:tcW w:type="dxa" w:w="2016"/>
            <w:vAlign w:val="top"/>
          </w:tcPr>
          <w:p>
            <w:pPr>
              <w:spacing w:after="0"/>
            </w:pPr>
            <w:r/>
            <w:r>
              <w:rPr>
                <w:rFonts w:ascii="Aptos" w:hAnsi="Aptos"/>
                <w:b w:val="0"/>
                <w:sz w:val="16"/>
              </w:rPr>
              <w:t>C — Context</w:t>
            </w:r>
          </w:p>
        </w:tc>
        <w:tc>
          <w:tcPr>
            <w:tcW w:type="dxa" w:w="3456"/>
            <w:vAlign w:val="top"/>
          </w:tcPr>
          <w:p>
            <w:pPr>
              <w:spacing w:after="0"/>
            </w:pPr>
            <w:r/>
            <w:r>
              <w:rPr>
                <w:rFonts w:ascii="Aptos" w:hAnsi="Aptos"/>
                <w:b w:val="0"/>
                <w:sz w:val="16"/>
              </w:rPr>
              <w:t>owner + annotatore</w:t>
            </w:r>
          </w:p>
        </w:tc>
        <w:tc>
          <w:tcPr>
            <w:tcW w:type="dxa" w:w="4608"/>
            <w:vAlign w:val="top"/>
          </w:tcPr>
          <w:p>
            <w:pPr>
              <w:spacing w:after="0"/>
            </w:pPr>
            <w:r/>
            <w:r>
              <w:rPr>
                <w:rFonts w:ascii="Aptos" w:hAnsi="Aptos"/>
                <w:b w:val="0"/>
                <w:sz w:val="16"/>
              </w:rPr>
              <w:t>stimolo, luogo, persona/cane/oggetto, attività, evento precedente</w:t>
            </w:r>
          </w:p>
        </w:tc>
      </w:tr>
      <w:tr>
        <w:tc>
          <w:tcPr>
            <w:tcW w:type="dxa" w:w="2016"/>
            <w:vAlign w:val="top"/>
          </w:tcPr>
          <w:p>
            <w:pPr>
              <w:spacing w:after="0"/>
            </w:pPr>
            <w:r/>
            <w:r>
              <w:rPr>
                <w:rFonts w:ascii="Aptos" w:hAnsi="Aptos"/>
                <w:b w:val="0"/>
                <w:sz w:val="16"/>
              </w:rPr>
              <w:t>D — Interpretation</w:t>
            </w:r>
          </w:p>
        </w:tc>
        <w:tc>
          <w:tcPr>
            <w:tcW w:type="dxa" w:w="3456"/>
            <w:vAlign w:val="top"/>
          </w:tcPr>
          <w:p>
            <w:pPr>
              <w:spacing w:after="0"/>
            </w:pPr>
            <w:r/>
            <w:r>
              <w:rPr>
                <w:rFonts w:ascii="Aptos" w:hAnsi="Aptos"/>
                <w:b w:val="0"/>
                <w:sz w:val="16"/>
              </w:rPr>
              <w:t>2 annotatori + adjudication esperta su subset</w:t>
            </w:r>
          </w:p>
        </w:tc>
        <w:tc>
          <w:tcPr>
            <w:tcW w:type="dxa" w:w="4608"/>
            <w:vAlign w:val="top"/>
          </w:tcPr>
          <w:p>
            <w:pPr>
              <w:spacing w:after="0"/>
            </w:pPr>
            <w:r/>
            <w:r>
              <w:rPr>
                <w:rFonts w:ascii="Aptos" w:hAnsi="Aptos"/>
                <w:b w:val="0"/>
                <w:sz w:val="16"/>
              </w:rPr>
              <w:t>classe compatibile + alternative + confidence</w:t>
            </w:r>
          </w:p>
        </w:tc>
      </w:tr>
      <w:tr>
        <w:tc>
          <w:tcPr>
            <w:tcW w:type="dxa" w:w="2016"/>
            <w:vAlign w:val="top"/>
          </w:tcPr>
          <w:p>
            <w:pPr>
              <w:spacing w:after="0"/>
            </w:pPr>
            <w:r/>
            <w:r>
              <w:rPr>
                <w:rFonts w:ascii="Aptos" w:hAnsi="Aptos"/>
                <w:b w:val="0"/>
                <w:sz w:val="16"/>
              </w:rPr>
              <w:t>E — Owner feedback</w:t>
            </w:r>
          </w:p>
        </w:tc>
        <w:tc>
          <w:tcPr>
            <w:tcW w:type="dxa" w:w="3456"/>
            <w:vAlign w:val="top"/>
          </w:tcPr>
          <w:p>
            <w:pPr>
              <w:spacing w:after="0"/>
            </w:pPr>
            <w:r/>
            <w:r>
              <w:rPr>
                <w:rFonts w:ascii="Aptos" w:hAnsi="Aptos"/>
                <w:b w:val="0"/>
                <w:sz w:val="16"/>
              </w:rPr>
              <w:t>owner post-result</w:t>
            </w:r>
          </w:p>
        </w:tc>
        <w:tc>
          <w:tcPr>
            <w:tcW w:type="dxa" w:w="4608"/>
            <w:vAlign w:val="top"/>
          </w:tcPr>
          <w:p>
            <w:pPr>
              <w:spacing w:after="0"/>
            </w:pPr>
            <w:r/>
            <w:r>
              <w:rPr>
                <w:rFonts w:ascii="Aptos" w:hAnsi="Aptos"/>
                <w:b w:val="0"/>
                <w:sz w:val="16"/>
              </w:rPr>
              <w:t>Sì / No / Non lo so + eventuale correzione contestuale</w:t>
            </w:r>
          </w:p>
        </w:tc>
      </w:tr>
      <w:tr>
        <w:tc>
          <w:tcPr>
            <w:tcW w:type="dxa" w:w="2016"/>
            <w:vAlign w:val="top"/>
          </w:tcPr>
          <w:p>
            <w:pPr>
              <w:spacing w:after="0"/>
            </w:pPr>
            <w:r/>
            <w:r>
              <w:rPr>
                <w:rFonts w:ascii="Aptos" w:hAnsi="Aptos"/>
                <w:b w:val="0"/>
                <w:sz w:val="16"/>
              </w:rPr>
              <w:t>F — Longitudinal outcome</w:t>
            </w:r>
          </w:p>
        </w:tc>
        <w:tc>
          <w:tcPr>
            <w:tcW w:type="dxa" w:w="3456"/>
            <w:vAlign w:val="top"/>
          </w:tcPr>
          <w:p>
            <w:pPr>
              <w:spacing w:after="0"/>
            </w:pPr>
            <w:r/>
            <w:r>
              <w:rPr>
                <w:rFonts w:ascii="Aptos" w:hAnsi="Aptos"/>
                <w:b w:val="0"/>
                <w:sz w:val="16"/>
              </w:rPr>
              <w:t>sistema</w:t>
            </w:r>
          </w:p>
        </w:tc>
        <w:tc>
          <w:tcPr>
            <w:tcW w:type="dxa" w:w="4608"/>
            <w:vAlign w:val="top"/>
          </w:tcPr>
          <w:p>
            <w:pPr>
              <w:spacing w:after="0"/>
            </w:pPr>
            <w:r/>
            <w:r>
              <w:rPr>
                <w:rFonts w:ascii="Aptos" w:hAnsi="Aptos"/>
                <w:b w:val="0"/>
                <w:sz w:val="16"/>
              </w:rPr>
              <w:t>ricorrenza, contraddizioni, pattern maturity</w:t>
            </w:r>
          </w:p>
        </w:tc>
      </w:tr>
    </w:tbl>
    <w:p/>
    <w:p>
      <w:r>
        <w:t>Tool operativo consigliato per coding umano: BORIS, open source GPLv3, con ethogram Dogly versionato. Per feature facciali utilizzare concetti DogFACS-compatible solo nel rispetto delle condizioni d'uso/certificazione del sistema e senza trasformarli in etichette emotive automatiche.</w:t>
      </w:r>
    </w:p>
    <w:p>
      <w:pPr>
        <w:pStyle w:val="Heading2"/>
      </w:pPr>
      <w:r>
        <w:t>7.1 Reliability gate</w:t>
      </w:r>
    </w:p>
    <w:p>
      <w:pPr>
        <w:pStyle w:val="ListBullet"/>
        <w:spacing w:after="40"/>
      </w:pPr>
      <w:r>
        <w:rPr>
          <w:sz w:val="18"/>
        </w:rPr>
        <w:t>Almeno 20% del subset gold codificato da due annotatori indipendenti.</w:t>
      </w:r>
    </w:p>
    <w:p>
      <w:pPr>
        <w:pStyle w:val="ListBullet"/>
        <w:spacing w:after="40"/>
      </w:pPr>
      <w:r>
        <w:rPr>
          <w:sz w:val="18"/>
        </w:rPr>
        <w:t>Calcolare agreement per feature (Cohen/Fleiss kappa per categorie; ICC per durate/frequenze quando appropriato).</w:t>
      </w:r>
    </w:p>
    <w:p>
      <w:pPr>
        <w:pStyle w:val="ListBullet"/>
        <w:spacing w:after="40"/>
      </w:pPr>
      <w:r>
        <w:rPr>
          <w:sz w:val="18"/>
        </w:rPr>
        <w:t>Feature con reliability insufficiente non entrano nel benchmark di produzione.</w:t>
      </w:r>
    </w:p>
    <w:p>
      <w:pPr>
        <w:pStyle w:val="ListBullet"/>
        <w:spacing w:after="40"/>
      </w:pPr>
      <w:r>
        <w:rPr>
          <w:sz w:val="18"/>
        </w:rPr>
        <w:t>Separare split per cane: nessun individuo deve apparire contemporaneamente in train e test quando si misura generalizzazione.</w:t>
      </w:r>
    </w:p>
    <w:p>
      <w:pPr>
        <w:pStyle w:val="ListBullet"/>
        <w:spacing w:after="40"/>
      </w:pPr>
      <w:r>
        <w:rPr>
          <w:sz w:val="18"/>
        </w:rPr>
        <w:t>Stratificare test per taglia, morfologia del muso/orecchie/coda, età, pelo, luce, indoor/outdoor e device.</w:t>
      </w:r>
    </w:p>
    <w:p>
      <w:pPr>
        <w:pStyle w:val="Heading1"/>
      </w:pPr>
      <w:r>
        <w:t>8. Dataset e licenze: cosa possiamo usare davvero</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88"/>
            <w:shd w:fill="153B5B"/>
            <w:vAlign w:val="center"/>
          </w:tcPr>
          <w:p>
            <w:pPr>
              <w:spacing w:after="0"/>
            </w:pPr>
            <w:r/>
            <w:r>
              <w:rPr>
                <w:rFonts w:ascii="Aptos" w:hAnsi="Aptos"/>
                <w:b/>
                <w:color w:val="FFFFFF"/>
                <w:sz w:val="14"/>
              </w:rPr>
              <w:t>Dataset</w:t>
            </w:r>
          </w:p>
        </w:tc>
        <w:tc>
          <w:tcPr>
            <w:tcW w:type="dxa" w:w="2376"/>
            <w:shd w:fill="153B5B"/>
            <w:vAlign w:val="center"/>
          </w:tcPr>
          <w:p>
            <w:pPr>
              <w:spacing w:after="0"/>
            </w:pPr>
            <w:r/>
            <w:r>
              <w:rPr>
                <w:rFonts w:ascii="Aptos" w:hAnsi="Aptos"/>
                <w:b/>
                <w:color w:val="FFFFFF"/>
                <w:sz w:val="14"/>
              </w:rPr>
              <w:t>Modalità/scala</w:t>
            </w:r>
          </w:p>
        </w:tc>
        <w:tc>
          <w:tcPr>
            <w:tcW w:type="dxa" w:w="1944"/>
            <w:shd w:fill="153B5B"/>
            <w:vAlign w:val="center"/>
          </w:tcPr>
          <w:p>
            <w:pPr>
              <w:spacing w:after="0"/>
            </w:pPr>
            <w:r/>
            <w:r>
              <w:rPr>
                <w:rFonts w:ascii="Aptos" w:hAnsi="Aptos"/>
                <w:b/>
                <w:color w:val="FFFFFF"/>
                <w:sz w:val="14"/>
              </w:rPr>
              <w:t>Licenza</w:t>
            </w:r>
          </w:p>
        </w:tc>
        <w:tc>
          <w:tcPr>
            <w:tcW w:type="dxa" w:w="2016"/>
            <w:shd w:fill="153B5B"/>
            <w:vAlign w:val="center"/>
          </w:tcPr>
          <w:p>
            <w:pPr>
              <w:spacing w:after="0"/>
            </w:pPr>
            <w:r/>
            <w:r>
              <w:rPr>
                <w:rFonts w:ascii="Aptos" w:hAnsi="Aptos"/>
                <w:b/>
                <w:color w:val="FFFFFF"/>
                <w:sz w:val="14"/>
              </w:rPr>
              <w:t>Uso commerciale</w:t>
            </w:r>
          </w:p>
        </w:tc>
        <w:tc>
          <w:tcPr>
            <w:tcW w:type="dxa" w:w="2736"/>
            <w:shd w:fill="153B5B"/>
            <w:vAlign w:val="center"/>
          </w:tcPr>
          <w:p>
            <w:pPr>
              <w:spacing w:after="0"/>
            </w:pPr>
            <w:r/>
            <w:r>
              <w:rPr>
                <w:rFonts w:ascii="Aptos" w:hAnsi="Aptos"/>
                <w:b/>
                <w:color w:val="FFFFFF"/>
                <w:sz w:val="14"/>
              </w:rPr>
              <w:t>Decisione Dogly</w:t>
            </w:r>
          </w:p>
        </w:tc>
      </w:tr>
      <w:tr>
        <w:tc>
          <w:tcPr>
            <w:tcW w:type="dxa" w:w="2088"/>
            <w:vAlign w:val="top"/>
          </w:tcPr>
          <w:p>
            <w:pPr>
              <w:spacing w:after="0"/>
            </w:pPr>
            <w:r/>
            <w:r>
              <w:rPr>
                <w:rFonts w:ascii="Aptos" w:hAnsi="Aptos"/>
                <w:b w:val="0"/>
                <w:sz w:val="14"/>
              </w:rPr>
              <w:t>DogFLW</w:t>
            </w:r>
          </w:p>
        </w:tc>
        <w:tc>
          <w:tcPr>
            <w:tcW w:type="dxa" w:w="2376"/>
            <w:vAlign w:val="top"/>
          </w:tcPr>
          <w:p>
            <w:pPr>
              <w:spacing w:after="0"/>
            </w:pPr>
            <w:r/>
            <w:r>
              <w:rPr>
                <w:rFonts w:ascii="Aptos" w:hAnsi="Aptos"/>
                <w:b w:val="0"/>
                <w:sz w:val="14"/>
              </w:rPr>
              <w:t>immagini volto + 46 landmarks; 4,335 immagini</w:t>
            </w:r>
          </w:p>
        </w:tc>
        <w:tc>
          <w:tcPr>
            <w:tcW w:type="dxa" w:w="1944"/>
            <w:vAlign w:val="top"/>
          </w:tcPr>
          <w:p>
            <w:pPr>
              <w:spacing w:after="0"/>
            </w:pPr>
            <w:r/>
            <w:r>
              <w:rPr>
                <w:rFonts w:ascii="Aptos" w:hAnsi="Aptos"/>
                <w:b w:val="0"/>
                <w:sz w:val="14"/>
              </w:rPr>
              <w:t>CC BY-NC 4.0</w:t>
            </w:r>
          </w:p>
        </w:tc>
        <w:tc>
          <w:tcPr>
            <w:tcW w:type="dxa" w:w="2016"/>
            <w:vAlign w:val="top"/>
          </w:tcPr>
          <w:p>
            <w:pPr>
              <w:spacing w:after="0"/>
            </w:pPr>
            <w:r/>
            <w:r>
              <w:rPr>
                <w:rFonts w:ascii="Aptos" w:hAnsi="Aptos"/>
                <w:b w:val="0"/>
                <w:sz w:val="14"/>
              </w:rPr>
              <w:t>NO senza licenza separata</w:t>
            </w:r>
          </w:p>
        </w:tc>
        <w:tc>
          <w:tcPr>
            <w:tcW w:type="dxa" w:w="2736"/>
            <w:vAlign w:val="top"/>
          </w:tcPr>
          <w:p>
            <w:pPr>
              <w:spacing w:after="0"/>
            </w:pPr>
            <w:r/>
            <w:r>
              <w:rPr>
                <w:rFonts w:ascii="Aptos" w:hAnsi="Aptos"/>
                <w:b w:val="0"/>
                <w:sz w:val="14"/>
              </w:rPr>
              <w:t>benchmark/ricerca, progettazione landmarks</w:t>
            </w:r>
          </w:p>
        </w:tc>
      </w:tr>
      <w:tr>
        <w:tc>
          <w:tcPr>
            <w:tcW w:type="dxa" w:w="2088"/>
            <w:vAlign w:val="top"/>
          </w:tcPr>
          <w:p>
            <w:pPr>
              <w:spacing w:after="0"/>
            </w:pPr>
            <w:r/>
            <w:r>
              <w:rPr>
                <w:rFonts w:ascii="Aptos" w:hAnsi="Aptos"/>
                <w:b w:val="0"/>
                <w:sz w:val="14"/>
              </w:rPr>
              <w:t>DogSpeak</w:t>
            </w:r>
          </w:p>
        </w:tc>
        <w:tc>
          <w:tcPr>
            <w:tcW w:type="dxa" w:w="2376"/>
            <w:vAlign w:val="top"/>
          </w:tcPr>
          <w:p>
            <w:pPr>
              <w:spacing w:after="0"/>
            </w:pPr>
            <w:r/>
            <w:r>
              <w:rPr>
                <w:rFonts w:ascii="Aptos" w:hAnsi="Aptos"/>
                <w:b w:val="0"/>
                <w:sz w:val="14"/>
              </w:rPr>
              <w:t>audio vocalizzazioni; multi-GB; bark sequences</w:t>
            </w:r>
          </w:p>
        </w:tc>
        <w:tc>
          <w:tcPr>
            <w:tcW w:type="dxa" w:w="1944"/>
            <w:vAlign w:val="top"/>
          </w:tcPr>
          <w:p>
            <w:pPr>
              <w:spacing w:after="0"/>
            </w:pPr>
            <w:r/>
            <w:r>
              <w:rPr>
                <w:rFonts w:ascii="Aptos" w:hAnsi="Aptos"/>
                <w:b w:val="0"/>
                <w:sz w:val="14"/>
              </w:rPr>
              <w:t>CC BY-NC-SA 4.0</w:t>
            </w:r>
          </w:p>
        </w:tc>
        <w:tc>
          <w:tcPr>
            <w:tcW w:type="dxa" w:w="2016"/>
            <w:vAlign w:val="top"/>
          </w:tcPr>
          <w:p>
            <w:pPr>
              <w:spacing w:after="0"/>
            </w:pPr>
            <w:r/>
            <w:r>
              <w:rPr>
                <w:rFonts w:ascii="Aptos" w:hAnsi="Aptos"/>
                <w:b w:val="0"/>
                <w:sz w:val="14"/>
              </w:rPr>
              <w:t>NO senza permesso</w:t>
            </w:r>
          </w:p>
        </w:tc>
        <w:tc>
          <w:tcPr>
            <w:tcW w:type="dxa" w:w="2736"/>
            <w:vAlign w:val="top"/>
          </w:tcPr>
          <w:p>
            <w:pPr>
              <w:spacing w:after="0"/>
            </w:pPr>
            <w:r/>
            <w:r>
              <w:rPr>
                <w:rFonts w:ascii="Aptos" w:hAnsi="Aptos"/>
                <w:b w:val="0"/>
                <w:sz w:val="14"/>
              </w:rPr>
              <w:t>benchmark e representation learning non commerciale</w:t>
            </w:r>
          </w:p>
        </w:tc>
      </w:tr>
      <w:tr>
        <w:tc>
          <w:tcPr>
            <w:tcW w:type="dxa" w:w="2088"/>
            <w:vAlign w:val="top"/>
          </w:tcPr>
          <w:p>
            <w:pPr>
              <w:spacing w:after="0"/>
            </w:pPr>
            <w:r/>
            <w:r>
              <w:rPr>
                <w:rFonts w:ascii="Aptos" w:hAnsi="Aptos"/>
                <w:b w:val="0"/>
                <w:sz w:val="14"/>
              </w:rPr>
              <w:t>Canine Age Transition Vocalization</w:t>
            </w:r>
          </w:p>
        </w:tc>
        <w:tc>
          <w:tcPr>
            <w:tcW w:type="dxa" w:w="2376"/>
            <w:vAlign w:val="top"/>
          </w:tcPr>
          <w:p>
            <w:pPr>
              <w:spacing w:after="0"/>
            </w:pPr>
            <w:r/>
            <w:r>
              <w:rPr>
                <w:rFonts w:ascii="Aptos" w:hAnsi="Aptos"/>
                <w:b w:val="0"/>
                <w:sz w:val="14"/>
              </w:rPr>
              <w:t>audio longitudinale; 79,142 bark units / 125 cani</w:t>
            </w:r>
          </w:p>
        </w:tc>
        <w:tc>
          <w:tcPr>
            <w:tcW w:type="dxa" w:w="1944"/>
            <w:vAlign w:val="top"/>
          </w:tcPr>
          <w:p>
            <w:pPr>
              <w:spacing w:after="0"/>
            </w:pPr>
            <w:r/>
            <w:r>
              <w:rPr>
                <w:rFonts w:ascii="Aptos" w:hAnsi="Aptos"/>
                <w:b w:val="0"/>
                <w:sz w:val="14"/>
              </w:rPr>
              <w:t>CC BY-NC-SA 4.0</w:t>
            </w:r>
          </w:p>
        </w:tc>
        <w:tc>
          <w:tcPr>
            <w:tcW w:type="dxa" w:w="2016"/>
            <w:vAlign w:val="top"/>
          </w:tcPr>
          <w:p>
            <w:pPr>
              <w:spacing w:after="0"/>
            </w:pPr>
            <w:r/>
            <w:r>
              <w:rPr>
                <w:rFonts w:ascii="Aptos" w:hAnsi="Aptos"/>
                <w:b w:val="0"/>
                <w:sz w:val="14"/>
              </w:rPr>
              <w:t>NO senza permesso</w:t>
            </w:r>
          </w:p>
        </w:tc>
        <w:tc>
          <w:tcPr>
            <w:tcW w:type="dxa" w:w="2736"/>
            <w:vAlign w:val="top"/>
          </w:tcPr>
          <w:p>
            <w:pPr>
              <w:spacing w:after="0"/>
            </w:pPr>
            <w:r/>
            <w:r>
              <w:rPr>
                <w:rFonts w:ascii="Aptos" w:hAnsi="Aptos"/>
                <w:b w:val="0"/>
                <w:sz w:val="14"/>
              </w:rPr>
              <w:t>studio età/individualità; benchmark</w:t>
            </w:r>
          </w:p>
        </w:tc>
      </w:tr>
      <w:tr>
        <w:tc>
          <w:tcPr>
            <w:tcW w:type="dxa" w:w="2088"/>
            <w:vAlign w:val="top"/>
          </w:tcPr>
          <w:p>
            <w:pPr>
              <w:spacing w:after="0"/>
            </w:pPr>
            <w:r/>
            <w:r>
              <w:rPr>
                <w:rFonts w:ascii="Aptos" w:hAnsi="Aptos"/>
                <w:b w:val="0"/>
                <w:sz w:val="14"/>
              </w:rPr>
              <w:t>AudioSet - Dog/Bark</w:t>
            </w:r>
          </w:p>
        </w:tc>
        <w:tc>
          <w:tcPr>
            <w:tcW w:type="dxa" w:w="2376"/>
            <w:vAlign w:val="top"/>
          </w:tcPr>
          <w:p>
            <w:pPr>
              <w:spacing w:after="0"/>
            </w:pPr>
            <w:r/>
            <w:r>
              <w:rPr>
                <w:rFonts w:ascii="Aptos" w:hAnsi="Aptos"/>
                <w:b w:val="0"/>
                <w:sz w:val="14"/>
              </w:rPr>
              <w:t>audio-event labels; 13,705 dog annotations; 2,632 bark</w:t>
            </w:r>
          </w:p>
        </w:tc>
        <w:tc>
          <w:tcPr>
            <w:tcW w:type="dxa" w:w="1944"/>
            <w:vAlign w:val="top"/>
          </w:tcPr>
          <w:p>
            <w:pPr>
              <w:spacing w:after="0"/>
            </w:pPr>
            <w:r/>
            <w:r>
              <w:rPr>
                <w:rFonts w:ascii="Aptos" w:hAnsi="Aptos"/>
                <w:b w:val="0"/>
                <w:sz w:val="14"/>
              </w:rPr>
              <w:t>Dataset CC BY 4.0; ontology CC BY-SA 4.0</w:t>
            </w:r>
          </w:p>
        </w:tc>
        <w:tc>
          <w:tcPr>
            <w:tcW w:type="dxa" w:w="2016"/>
            <w:vAlign w:val="top"/>
          </w:tcPr>
          <w:p>
            <w:pPr>
              <w:spacing w:after="0"/>
            </w:pPr>
            <w:r/>
            <w:r>
              <w:rPr>
                <w:rFonts w:ascii="Aptos" w:hAnsi="Aptos"/>
                <w:b w:val="0"/>
                <w:sz w:val="14"/>
              </w:rPr>
              <w:t>POTENZIALMENTE SI per metadata/features, verificare anche diritti media YouTube</w:t>
            </w:r>
          </w:p>
        </w:tc>
        <w:tc>
          <w:tcPr>
            <w:tcW w:type="dxa" w:w="2736"/>
            <w:vAlign w:val="top"/>
          </w:tcPr>
          <w:p>
            <w:pPr>
              <w:spacing w:after="0"/>
            </w:pPr>
            <w:r/>
            <w:r>
              <w:rPr>
                <w:rFonts w:ascii="Aptos" w:hAnsi="Aptos"/>
                <w:b w:val="0"/>
                <w:sz w:val="14"/>
              </w:rPr>
              <w:t>rilevamento evento bark/noise, non intent</w:t>
            </w:r>
          </w:p>
        </w:tc>
      </w:tr>
      <w:tr>
        <w:tc>
          <w:tcPr>
            <w:tcW w:type="dxa" w:w="2088"/>
            <w:vAlign w:val="top"/>
          </w:tcPr>
          <w:p>
            <w:pPr>
              <w:spacing w:after="0"/>
            </w:pPr>
            <w:r/>
            <w:r>
              <w:rPr>
                <w:rFonts w:ascii="Aptos" w:hAnsi="Aptos"/>
                <w:b w:val="0"/>
                <w:sz w:val="14"/>
              </w:rPr>
              <w:t>Dog Emotion (Kaggle)</w:t>
            </w:r>
          </w:p>
        </w:tc>
        <w:tc>
          <w:tcPr>
            <w:tcW w:type="dxa" w:w="2376"/>
            <w:vAlign w:val="top"/>
          </w:tcPr>
          <w:p>
            <w:pPr>
              <w:spacing w:after="0"/>
            </w:pPr>
            <w:r/>
            <w:r>
              <w:rPr>
                <w:rFonts w:ascii="Aptos" w:hAnsi="Aptos"/>
                <w:b w:val="0"/>
                <w:sz w:val="14"/>
              </w:rPr>
              <w:t>immagini con etichette emotion; 4,000 immagini</w:t>
            </w:r>
          </w:p>
        </w:tc>
        <w:tc>
          <w:tcPr>
            <w:tcW w:type="dxa" w:w="1944"/>
            <w:vAlign w:val="top"/>
          </w:tcPr>
          <w:p>
            <w:pPr>
              <w:spacing w:after="0"/>
            </w:pPr>
            <w:r/>
            <w:r>
              <w:rPr>
                <w:rFonts w:ascii="Aptos" w:hAnsi="Aptos"/>
                <w:b w:val="0"/>
                <w:sz w:val="14"/>
              </w:rPr>
              <w:t>CC0 dichiarata dal dataset</w:t>
            </w:r>
          </w:p>
        </w:tc>
        <w:tc>
          <w:tcPr>
            <w:tcW w:type="dxa" w:w="2016"/>
            <w:vAlign w:val="top"/>
          </w:tcPr>
          <w:p>
            <w:pPr>
              <w:spacing w:after="0"/>
            </w:pPr>
            <w:r/>
            <w:r>
              <w:rPr>
                <w:rFonts w:ascii="Aptos" w:hAnsi="Aptos"/>
                <w:b w:val="0"/>
                <w:sz w:val="14"/>
              </w:rPr>
              <w:t>POTENZIALMENTE, ma provenance web/label quality da auditare</w:t>
            </w:r>
          </w:p>
        </w:tc>
        <w:tc>
          <w:tcPr>
            <w:tcW w:type="dxa" w:w="2736"/>
            <w:vAlign w:val="top"/>
          </w:tcPr>
          <w:p>
            <w:pPr>
              <w:spacing w:after="0"/>
            </w:pPr>
            <w:r/>
            <w:r>
              <w:rPr>
                <w:rFonts w:ascii="Aptos" w:hAnsi="Aptos"/>
                <w:b w:val="0"/>
                <w:sz w:val="14"/>
              </w:rPr>
              <w:t>solo baseline tecnica; NON fonte scientifica di emotion ground truth</w:t>
            </w:r>
          </w:p>
        </w:tc>
      </w:tr>
    </w:tbl>
    <w:p/>
    <w:p>
      <w:r>
        <w:t>Decisione: non basare il prodotto commerciale su dataset non-commerciali. Usarli come benchmark/R&amp;D se consentito; per training commerciale costruire un dataset proprietario con consenso esplicito oppure negoziare licenze separate. AudioSet può essere utile per event detection, ma la presenza di YouTube come sorgente impone una verifica legale specifica sui media prima di scaricare/riutilizzare audio grezzo.</w:t>
      </w:r>
    </w:p>
    <w:p>
      <w:pPr>
        <w:pStyle w:val="Heading1"/>
      </w:pPr>
      <w:r>
        <w:t>9. Knowledge layer digestivo e nutrizionale</w:t>
      </w:r>
    </w:p>
    <w:p>
      <w:r>
        <w:t>La componente digestiva deve essere trattata come monitoring intelligence, non diagnosi. L'immagine delle feci è una feature; la severità clinica dipende soprattutto da stato generale, idratazione, vomito, dolore, frequenza, durata e altri segni sistemici.</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53B5B"/>
            <w:vAlign w:val="center"/>
          </w:tcPr>
          <w:p>
            <w:pPr>
              <w:spacing w:after="0"/>
            </w:pPr>
            <w:r/>
            <w:r>
              <w:rPr>
                <w:rFonts w:ascii="Aptos" w:hAnsi="Aptos"/>
                <w:b/>
                <w:color w:val="FFFFFF"/>
                <w:sz w:val="16"/>
              </w:rPr>
              <w:t>Input</w:t>
            </w:r>
          </w:p>
        </w:tc>
        <w:tc>
          <w:tcPr>
            <w:tcW w:type="dxa" w:w="4608"/>
            <w:shd w:fill="153B5B"/>
            <w:vAlign w:val="center"/>
          </w:tcPr>
          <w:p>
            <w:pPr>
              <w:spacing w:after="0"/>
            </w:pPr>
            <w:r/>
            <w:r>
              <w:rPr>
                <w:rFonts w:ascii="Aptos" w:hAnsi="Aptos"/>
                <w:b/>
                <w:color w:val="FFFFFF"/>
                <w:sz w:val="16"/>
              </w:rPr>
              <w:t>Dogly può fare</w:t>
            </w:r>
          </w:p>
        </w:tc>
        <w:tc>
          <w:tcPr>
            <w:tcW w:type="dxa" w:w="3744"/>
            <w:shd w:fill="153B5B"/>
            <w:vAlign w:val="center"/>
          </w:tcPr>
          <w:p>
            <w:pPr>
              <w:spacing w:after="0"/>
            </w:pPr>
            <w:r/>
            <w:r>
              <w:rPr>
                <w:rFonts w:ascii="Aptos" w:hAnsi="Aptos"/>
                <w:b/>
                <w:color w:val="FFFFFF"/>
                <w:sz w:val="16"/>
              </w:rPr>
              <w:t>Dogly non deve fare</w:t>
            </w:r>
          </w:p>
        </w:tc>
      </w:tr>
      <w:tr>
        <w:tc>
          <w:tcPr>
            <w:tcW w:type="dxa" w:w="2016"/>
            <w:vAlign w:val="top"/>
          </w:tcPr>
          <w:p>
            <w:pPr>
              <w:spacing w:after="0"/>
            </w:pPr>
            <w:r/>
            <w:r>
              <w:rPr>
                <w:rFonts w:ascii="Aptos" w:hAnsi="Aptos"/>
                <w:b w:val="0"/>
                <w:sz w:val="16"/>
              </w:rPr>
              <w:t>Foto feci</w:t>
            </w:r>
          </w:p>
        </w:tc>
        <w:tc>
          <w:tcPr>
            <w:tcW w:type="dxa" w:w="4608"/>
            <w:vAlign w:val="top"/>
          </w:tcPr>
          <w:p>
            <w:pPr>
              <w:spacing w:after="0"/>
            </w:pPr>
            <w:r/>
            <w:r>
              <w:rPr>
                <w:rFonts w:ascii="Aptos" w:hAnsi="Aptos"/>
                <w:b w:val="0"/>
                <w:sz w:val="16"/>
              </w:rPr>
              <w:t>Stimare una fascia di consistenza e descrivere trend/variazione con uncertainty.</w:t>
            </w:r>
          </w:p>
        </w:tc>
        <w:tc>
          <w:tcPr>
            <w:tcW w:type="dxa" w:w="3744"/>
            <w:vAlign w:val="top"/>
          </w:tcPr>
          <w:p>
            <w:pPr>
              <w:spacing w:after="0"/>
            </w:pPr>
            <w:r/>
            <w:r>
              <w:rPr>
                <w:rFonts w:ascii="Aptos" w:hAnsi="Aptos"/>
                <w:b w:val="0"/>
                <w:sz w:val="16"/>
              </w:rPr>
              <w:t>Diagnosticare causa, infezione, parassiti o IBD.</w:t>
            </w:r>
          </w:p>
        </w:tc>
      </w:tr>
      <w:tr>
        <w:tc>
          <w:tcPr>
            <w:tcW w:type="dxa" w:w="2016"/>
            <w:vAlign w:val="top"/>
          </w:tcPr>
          <w:p>
            <w:pPr>
              <w:spacing w:after="0"/>
            </w:pPr>
            <w:r/>
            <w:r>
              <w:rPr>
                <w:rFonts w:ascii="Aptos" w:hAnsi="Aptos"/>
                <w:b w:val="0"/>
                <w:sz w:val="16"/>
              </w:rPr>
              <w:t>Storia temporale</w:t>
            </w:r>
          </w:p>
        </w:tc>
        <w:tc>
          <w:tcPr>
            <w:tcW w:type="dxa" w:w="4608"/>
            <w:vAlign w:val="top"/>
          </w:tcPr>
          <w:p>
            <w:pPr>
              <w:spacing w:after="0"/>
            </w:pPr>
            <w:r/>
            <w:r>
              <w:rPr>
                <w:rFonts w:ascii="Aptos" w:hAnsi="Aptos"/>
                <w:b w:val="0"/>
                <w:sz w:val="16"/>
              </w:rPr>
              <w:t>Segnalare cambiamenti rispetto al baseline personale.</w:t>
            </w:r>
          </w:p>
        </w:tc>
        <w:tc>
          <w:tcPr>
            <w:tcW w:type="dxa" w:w="3744"/>
            <w:vAlign w:val="top"/>
          </w:tcPr>
          <w:p>
            <w:pPr>
              <w:spacing w:after="0"/>
            </w:pPr>
            <w:r/>
            <w:r>
              <w:rPr>
                <w:rFonts w:ascii="Aptos" w:hAnsi="Aptos"/>
                <w:b w:val="0"/>
                <w:sz w:val="16"/>
              </w:rPr>
              <w:t>Definire terapia.</w:t>
            </w:r>
          </w:p>
        </w:tc>
      </w:tr>
      <w:tr>
        <w:tc>
          <w:tcPr>
            <w:tcW w:type="dxa" w:w="2016"/>
            <w:vAlign w:val="top"/>
          </w:tcPr>
          <w:p>
            <w:pPr>
              <w:spacing w:after="0"/>
            </w:pPr>
            <w:r/>
            <w:r>
              <w:rPr>
                <w:rFonts w:ascii="Aptos" w:hAnsi="Aptos"/>
                <w:b w:val="0"/>
                <w:sz w:val="16"/>
              </w:rPr>
              <w:t>Dieta</w:t>
            </w:r>
          </w:p>
        </w:tc>
        <w:tc>
          <w:tcPr>
            <w:tcW w:type="dxa" w:w="4608"/>
            <w:vAlign w:val="top"/>
          </w:tcPr>
          <w:p>
            <w:pPr>
              <w:spacing w:after="0"/>
            </w:pPr>
            <w:r/>
            <w:r>
              <w:rPr>
                <w:rFonts w:ascii="Aptos" w:hAnsi="Aptos"/>
                <w:b w:val="0"/>
                <w:sz w:val="16"/>
              </w:rPr>
              <w:t>Memorizzare alimento, quantità, cambi e snack come contesto.</w:t>
            </w:r>
          </w:p>
        </w:tc>
        <w:tc>
          <w:tcPr>
            <w:tcW w:type="dxa" w:w="3744"/>
            <w:vAlign w:val="top"/>
          </w:tcPr>
          <w:p>
            <w:pPr>
              <w:spacing w:after="0"/>
            </w:pPr>
            <w:r/>
            <w:r>
              <w:rPr>
                <w:rFonts w:ascii="Aptos" w:hAnsi="Aptos"/>
                <w:b w:val="0"/>
                <w:sz w:val="16"/>
              </w:rPr>
              <w:t>Prescrivere dieta terapeutica senza professionista.</w:t>
            </w:r>
          </w:p>
        </w:tc>
      </w:tr>
      <w:tr>
        <w:tc>
          <w:tcPr>
            <w:tcW w:type="dxa" w:w="2016"/>
            <w:vAlign w:val="top"/>
          </w:tcPr>
          <w:p>
            <w:pPr>
              <w:spacing w:after="0"/>
            </w:pPr>
            <w:r/>
            <w:r>
              <w:rPr>
                <w:rFonts w:ascii="Aptos" w:hAnsi="Aptos"/>
                <w:b w:val="0"/>
                <w:sz w:val="16"/>
              </w:rPr>
              <w:t>Red flags</w:t>
            </w:r>
          </w:p>
        </w:tc>
        <w:tc>
          <w:tcPr>
            <w:tcW w:type="dxa" w:w="4608"/>
            <w:vAlign w:val="top"/>
          </w:tcPr>
          <w:p>
            <w:pPr>
              <w:spacing w:after="0"/>
            </w:pPr>
            <w:r/>
            <w:r>
              <w:rPr>
                <w:rFonts w:ascii="Aptos" w:hAnsi="Aptos"/>
                <w:b w:val="0"/>
                <w:sz w:val="16"/>
              </w:rPr>
              <w:t>Mostrare escalation chiara a veterinario/urgenza quando presenti.</w:t>
            </w:r>
          </w:p>
        </w:tc>
        <w:tc>
          <w:tcPr>
            <w:tcW w:type="dxa" w:w="3744"/>
            <w:vAlign w:val="top"/>
          </w:tcPr>
          <w:p>
            <w:pPr>
              <w:spacing w:after="0"/>
            </w:pPr>
            <w:r/>
            <w:r>
              <w:rPr>
                <w:rFonts w:ascii="Aptos" w:hAnsi="Aptos"/>
                <w:b w:val="0"/>
                <w:sz w:val="16"/>
              </w:rPr>
              <w:t>Rassicurare se sono presenti segni sistemici importanti.</w:t>
            </w:r>
          </w:p>
        </w:tc>
      </w:tr>
    </w:tbl>
    <w:p/>
    <w:p>
      <w:pPr>
        <w:pStyle w:val="Heading1"/>
      </w:pPr>
      <w:r>
        <w:t>10. Architettura KB pronta per sviluppo</w:t>
      </w:r>
    </w:p>
    <w:p>
      <w:r>
        <w:t>La KB dovrebbe essere versionata come contenuto strutturato, non come PDF allegato al prompt. Il file JSON consegnato insieme a questo documento è un seed machine-readable.</w:t>
      </w:r>
    </w:p>
    <w:tbl>
      <w:tblPr>
        <w:tblStyle w:val="TableGrid"/>
        <w:tblW w:type="auto" w:w="0"/>
        <w:jc w:val="center"/>
        <w:tblLook w:firstColumn="1" w:firstRow="1" w:lastColumn="0" w:lastRow="0" w:noHBand="0" w:noVBand="1" w:val="04A0"/>
      </w:tblPr>
      <w:tblGrid>
        <w:gridCol w:w="5083"/>
        <w:gridCol w:w="5083"/>
      </w:tblGrid>
      <w:tr>
        <w:tc>
          <w:tcPr>
            <w:tcW w:type="dxa" w:w="2160"/>
            <w:shd w:fill="153B5B"/>
            <w:vAlign w:val="center"/>
          </w:tcPr>
          <w:p>
            <w:pPr>
              <w:spacing w:after="0"/>
            </w:pPr>
            <w:r/>
            <w:r>
              <w:rPr>
                <w:rFonts w:ascii="Aptos" w:hAnsi="Aptos"/>
                <w:b/>
                <w:color w:val="FFFFFF"/>
                <w:sz w:val="16"/>
              </w:rPr>
              <w:t>Campo</w:t>
            </w:r>
          </w:p>
        </w:tc>
        <w:tc>
          <w:tcPr>
            <w:tcW w:type="dxa" w:w="8208"/>
            <w:shd w:fill="153B5B"/>
            <w:vAlign w:val="center"/>
          </w:tcPr>
          <w:p>
            <w:pPr>
              <w:spacing w:after="0"/>
            </w:pPr>
            <w:r/>
            <w:r>
              <w:rPr>
                <w:rFonts w:ascii="Aptos" w:hAnsi="Aptos"/>
                <w:b/>
                <w:color w:val="FFFFFF"/>
                <w:sz w:val="16"/>
              </w:rPr>
              <w:t>Uso</w:t>
            </w:r>
          </w:p>
        </w:tc>
      </w:tr>
      <w:tr>
        <w:tc>
          <w:tcPr>
            <w:tcW w:type="dxa" w:w="2160"/>
            <w:vAlign w:val="top"/>
          </w:tcPr>
          <w:p>
            <w:pPr>
              <w:spacing w:after="0"/>
            </w:pPr>
            <w:r/>
            <w:r>
              <w:rPr>
                <w:rFonts w:ascii="Aptos" w:hAnsi="Aptos"/>
                <w:b w:val="0"/>
                <w:sz w:val="16"/>
              </w:rPr>
              <w:t>id</w:t>
            </w:r>
          </w:p>
        </w:tc>
        <w:tc>
          <w:tcPr>
            <w:tcW w:type="dxa" w:w="8208"/>
            <w:vAlign w:val="top"/>
          </w:tcPr>
          <w:p>
            <w:pPr>
              <w:spacing w:after="0"/>
            </w:pPr>
            <w:r/>
            <w:r>
              <w:rPr>
                <w:rFonts w:ascii="Aptos" w:hAnsi="Aptos"/>
                <w:b w:val="0"/>
                <w:sz w:val="16"/>
              </w:rPr>
              <w:t>Identificatore stabile, es. OBS_FACE_003</w:t>
            </w:r>
          </w:p>
        </w:tc>
      </w:tr>
      <w:tr>
        <w:tc>
          <w:tcPr>
            <w:tcW w:type="dxa" w:w="2160"/>
            <w:vAlign w:val="top"/>
          </w:tcPr>
          <w:p>
            <w:pPr>
              <w:spacing w:after="0"/>
            </w:pPr>
            <w:r/>
            <w:r>
              <w:rPr>
                <w:rFonts w:ascii="Aptos" w:hAnsi="Aptos"/>
                <w:b w:val="0"/>
                <w:sz w:val="16"/>
              </w:rPr>
              <w:t>domain</w:t>
            </w:r>
          </w:p>
        </w:tc>
        <w:tc>
          <w:tcPr>
            <w:tcW w:type="dxa" w:w="8208"/>
            <w:vAlign w:val="top"/>
          </w:tcPr>
          <w:p>
            <w:pPr>
              <w:spacing w:after="0"/>
            </w:pPr>
            <w:r/>
            <w:r>
              <w:rPr>
                <w:rFonts w:ascii="Aptos" w:hAnsi="Aptos"/>
                <w:b w:val="0"/>
                <w:sz w:val="16"/>
              </w:rPr>
              <w:t>visual_body / visual_tail / visual_ears / visual_face / audio_vocalization / context / safety / digestive / nutrition / personalization</w:t>
            </w:r>
          </w:p>
        </w:tc>
      </w:tr>
      <w:tr>
        <w:tc>
          <w:tcPr>
            <w:tcW w:type="dxa" w:w="2160"/>
            <w:vAlign w:val="top"/>
          </w:tcPr>
          <w:p>
            <w:pPr>
              <w:spacing w:after="0"/>
            </w:pPr>
            <w:r/>
            <w:r>
              <w:rPr>
                <w:rFonts w:ascii="Aptos" w:hAnsi="Aptos"/>
                <w:b w:val="0"/>
                <w:sz w:val="16"/>
              </w:rPr>
              <w:t>label</w:t>
            </w:r>
          </w:p>
        </w:tc>
        <w:tc>
          <w:tcPr>
            <w:tcW w:type="dxa" w:w="8208"/>
            <w:vAlign w:val="top"/>
          </w:tcPr>
          <w:p>
            <w:pPr>
              <w:spacing w:after="0"/>
            </w:pPr>
            <w:r/>
            <w:r>
              <w:rPr>
                <w:rFonts w:ascii="Aptos" w:hAnsi="Aptos"/>
                <w:b w:val="0"/>
                <w:sz w:val="16"/>
              </w:rPr>
              <w:t>Nome umano della regola</w:t>
            </w:r>
          </w:p>
        </w:tc>
      </w:tr>
      <w:tr>
        <w:tc>
          <w:tcPr>
            <w:tcW w:type="dxa" w:w="2160"/>
            <w:vAlign w:val="top"/>
          </w:tcPr>
          <w:p>
            <w:pPr>
              <w:spacing w:after="0"/>
            </w:pPr>
            <w:r/>
            <w:r>
              <w:rPr>
                <w:rFonts w:ascii="Aptos" w:hAnsi="Aptos"/>
                <w:b w:val="0"/>
                <w:sz w:val="16"/>
              </w:rPr>
              <w:t>observable</w:t>
            </w:r>
          </w:p>
        </w:tc>
        <w:tc>
          <w:tcPr>
            <w:tcW w:type="dxa" w:w="8208"/>
            <w:vAlign w:val="top"/>
          </w:tcPr>
          <w:p>
            <w:pPr>
              <w:spacing w:after="0"/>
            </w:pPr>
            <w:r/>
            <w:r>
              <w:rPr>
                <w:rFonts w:ascii="Aptos" w:hAnsi="Aptos"/>
                <w:b w:val="0"/>
                <w:sz w:val="16"/>
              </w:rPr>
              <w:t>Descrizione di ciò che il modello può rilevare</w:t>
            </w:r>
          </w:p>
        </w:tc>
      </w:tr>
      <w:tr>
        <w:tc>
          <w:tcPr>
            <w:tcW w:type="dxa" w:w="2160"/>
            <w:vAlign w:val="top"/>
          </w:tcPr>
          <w:p>
            <w:pPr>
              <w:spacing w:after="0"/>
            </w:pPr>
            <w:r/>
            <w:r>
              <w:rPr>
                <w:rFonts w:ascii="Aptos" w:hAnsi="Aptos"/>
                <w:b w:val="0"/>
                <w:sz w:val="16"/>
              </w:rPr>
              <w:t>compatible</w:t>
            </w:r>
          </w:p>
        </w:tc>
        <w:tc>
          <w:tcPr>
            <w:tcW w:type="dxa" w:w="8208"/>
            <w:vAlign w:val="top"/>
          </w:tcPr>
          <w:p>
            <w:pPr>
              <w:spacing w:after="0"/>
            </w:pPr>
            <w:r/>
            <w:r>
              <w:rPr>
                <w:rFonts w:ascii="Aptos" w:hAnsi="Aptos"/>
                <w:b w:val="0"/>
                <w:sz w:val="16"/>
              </w:rPr>
              <w:t>Lista di interpretazioni compatibili, mai deterministiche</w:t>
            </w:r>
          </w:p>
        </w:tc>
      </w:tr>
      <w:tr>
        <w:tc>
          <w:tcPr>
            <w:tcW w:type="dxa" w:w="2160"/>
            <w:vAlign w:val="top"/>
          </w:tcPr>
          <w:p>
            <w:pPr>
              <w:spacing w:after="0"/>
            </w:pPr>
            <w:r/>
            <w:r>
              <w:rPr>
                <w:rFonts w:ascii="Aptos" w:hAnsi="Aptos"/>
                <w:b w:val="0"/>
                <w:sz w:val="16"/>
              </w:rPr>
              <w:t>not_conclude</w:t>
            </w:r>
          </w:p>
        </w:tc>
        <w:tc>
          <w:tcPr>
            <w:tcW w:type="dxa" w:w="8208"/>
            <w:vAlign w:val="top"/>
          </w:tcPr>
          <w:p>
            <w:pPr>
              <w:spacing w:after="0"/>
            </w:pPr>
            <w:r/>
            <w:r>
              <w:rPr>
                <w:rFonts w:ascii="Aptos" w:hAnsi="Aptos"/>
                <w:b w:val="0"/>
                <w:sz w:val="16"/>
              </w:rPr>
              <w:t>Claim esplicitamente vietati</w:t>
            </w:r>
          </w:p>
        </w:tc>
      </w:tr>
      <w:tr>
        <w:tc>
          <w:tcPr>
            <w:tcW w:type="dxa" w:w="2160"/>
            <w:vAlign w:val="top"/>
          </w:tcPr>
          <w:p>
            <w:pPr>
              <w:spacing w:after="0"/>
            </w:pPr>
            <w:r/>
            <w:r>
              <w:rPr>
                <w:rFonts w:ascii="Aptos" w:hAnsi="Aptos"/>
                <w:b w:val="0"/>
                <w:sz w:val="16"/>
              </w:rPr>
              <w:t>modifiers</w:t>
            </w:r>
          </w:p>
        </w:tc>
        <w:tc>
          <w:tcPr>
            <w:tcW w:type="dxa" w:w="8208"/>
            <w:vAlign w:val="top"/>
          </w:tcPr>
          <w:p>
            <w:pPr>
              <w:spacing w:after="0"/>
            </w:pPr>
            <w:r/>
            <w:r>
              <w:rPr>
                <w:rFonts w:ascii="Aptos" w:hAnsi="Aptos"/>
                <w:b w:val="0"/>
                <w:sz w:val="16"/>
              </w:rPr>
              <w:t>Contesto, morfologia, baseline e segnali necessari</w:t>
            </w:r>
          </w:p>
        </w:tc>
      </w:tr>
      <w:tr>
        <w:tc>
          <w:tcPr>
            <w:tcW w:type="dxa" w:w="2160"/>
            <w:vAlign w:val="top"/>
          </w:tcPr>
          <w:p>
            <w:pPr>
              <w:spacing w:after="0"/>
            </w:pPr>
            <w:r/>
            <w:r>
              <w:rPr>
                <w:rFonts w:ascii="Aptos" w:hAnsi="Aptos"/>
                <w:b w:val="0"/>
                <w:sz w:val="16"/>
              </w:rPr>
              <w:t>evidence</w:t>
            </w:r>
          </w:p>
        </w:tc>
        <w:tc>
          <w:tcPr>
            <w:tcW w:type="dxa" w:w="8208"/>
            <w:vAlign w:val="top"/>
          </w:tcPr>
          <w:p>
            <w:pPr>
              <w:spacing w:after="0"/>
            </w:pPr>
            <w:r/>
            <w:r>
              <w:rPr>
                <w:rFonts w:ascii="Aptos" w:hAnsi="Aptos"/>
                <w:b w:val="0"/>
                <w:sz w:val="16"/>
              </w:rPr>
              <w:t>A/B/C/PRODUCT_RULE</w:t>
            </w:r>
          </w:p>
        </w:tc>
      </w:tr>
      <w:tr>
        <w:tc>
          <w:tcPr>
            <w:tcW w:type="dxa" w:w="2160"/>
            <w:vAlign w:val="top"/>
          </w:tcPr>
          <w:p>
            <w:pPr>
              <w:spacing w:after="0"/>
            </w:pPr>
            <w:r/>
            <w:r>
              <w:rPr>
                <w:rFonts w:ascii="Aptos" w:hAnsi="Aptos"/>
                <w:b w:val="0"/>
                <w:sz w:val="16"/>
              </w:rPr>
              <w:t>consensus</w:t>
            </w:r>
          </w:p>
        </w:tc>
        <w:tc>
          <w:tcPr>
            <w:tcW w:type="dxa" w:w="8208"/>
            <w:vAlign w:val="top"/>
          </w:tcPr>
          <w:p>
            <w:pPr>
              <w:spacing w:after="0"/>
            </w:pPr>
            <w:r/>
            <w:r>
              <w:rPr>
                <w:rFonts w:ascii="Aptos" w:hAnsi="Aptos"/>
                <w:b w:val="0"/>
                <w:sz w:val="16"/>
              </w:rPr>
              <w:t>alto/medio/basso/design</w:t>
            </w:r>
          </w:p>
        </w:tc>
      </w:tr>
      <w:tr>
        <w:tc>
          <w:tcPr>
            <w:tcW w:type="dxa" w:w="2160"/>
            <w:vAlign w:val="top"/>
          </w:tcPr>
          <w:p>
            <w:pPr>
              <w:spacing w:after="0"/>
            </w:pPr>
            <w:r/>
            <w:r>
              <w:rPr>
                <w:rFonts w:ascii="Aptos" w:hAnsi="Aptos"/>
                <w:b w:val="0"/>
                <w:sz w:val="16"/>
              </w:rPr>
              <w:t>sources</w:t>
            </w:r>
          </w:p>
        </w:tc>
        <w:tc>
          <w:tcPr>
            <w:tcW w:type="dxa" w:w="8208"/>
            <w:vAlign w:val="top"/>
          </w:tcPr>
          <w:p>
            <w:pPr>
              <w:spacing w:after="0"/>
            </w:pPr>
            <w:r/>
            <w:r>
              <w:rPr>
                <w:rFonts w:ascii="Aptos" w:hAnsi="Aptos"/>
                <w:b w:val="0"/>
                <w:sz w:val="16"/>
              </w:rPr>
              <w:t>ID delle fonti versionate</w:t>
            </w:r>
          </w:p>
        </w:tc>
      </w:tr>
    </w:tbl>
    <w:p/>
    <w:p>
      <w:pPr>
        <w:pStyle w:val="Heading2"/>
      </w:pPr>
      <w:r>
        <w:t>10.1 Retrieval suggerito</w:t>
      </w:r>
    </w:p>
    <w:p>
      <w:r>
        <w:t>Non serve un RAG generico su tutta la letteratura in runtime. V1: retrieval deterministico/semantico sulle card strutturate. Il reasoner riceve soltanto le card pertinenti alle feature osservate e al contesto. I PDF originali restano nel repository di evidenza per audit e aggiornamenti, non nel prompt consumer.</w:t>
      </w:r>
    </w:p>
    <w:p>
      <w:pPr>
        <w:pStyle w:val="Heading1"/>
      </w:pPr>
      <w:r>
        <w:t>11. Safety policy</w:t>
      </w:r>
    </w:p>
    <w:p>
      <w:pPr>
        <w:pStyle w:val="ListBullet"/>
        <w:spacing w:after="40"/>
      </w:pPr>
      <w:r>
        <w:rPr>
          <w:sz w:val="18"/>
        </w:rPr>
        <w:t>Mai suggerire di avvicinarsi, provocare, testare o togliere una risorsa a un cane che mostra tensione.</w:t>
      </w:r>
    </w:p>
    <w:p>
      <w:pPr>
        <w:pStyle w:val="ListBullet"/>
        <w:spacing w:after="40"/>
      </w:pPr>
      <w:r>
        <w:rPr>
          <w:sz w:val="18"/>
        </w:rPr>
        <w:t>Mai presentare “aggressivo” come tratto permanente del cane da un episodio.</w:t>
      </w:r>
    </w:p>
    <w:p>
      <w:pPr>
        <w:pStyle w:val="ListBullet"/>
        <w:spacing w:after="40"/>
      </w:pPr>
      <w:r>
        <w:rPr>
          <w:sz w:val="18"/>
        </w:rPr>
        <w:t>Possibile dolore/discomfort → formulazione prudente e invito a valutazione veterinaria se nuovo, intenso o persistente.</w:t>
      </w:r>
    </w:p>
    <w:p>
      <w:pPr>
        <w:pStyle w:val="ListBullet"/>
        <w:spacing w:after="40"/>
      </w:pPr>
      <w:r>
        <w:rPr>
          <w:sz w:val="18"/>
        </w:rPr>
        <w:t>Difficoltà respiratoria, collasso/non responsività, forte debolezza, addome improvvisamente gonfio/doloroso, vomito ripetuto con impossibilità a trattenere acqua, sangue o feci nere/catramose → percorso di urgenza.</w:t>
      </w:r>
    </w:p>
    <w:p>
      <w:pPr>
        <w:pStyle w:val="ListBullet"/>
        <w:spacing w:after="40"/>
      </w:pPr>
      <w:r>
        <w:rPr>
          <w:sz w:val="18"/>
        </w:rPr>
        <w:t>Nessuna diagnosi o prescrizione farmacologica.</w:t>
      </w:r>
    </w:p>
    <w:p>
      <w:pPr>
        <w:pStyle w:val="ListBullet"/>
        <w:spacing w:after="40"/>
      </w:pPr>
      <w:r>
        <w:rPr>
          <w:sz w:val="18"/>
        </w:rPr>
        <w:t>Feedback owner utile ma non ground truth assoluta; non deve retroattivamente rendere certa una previsione.</w:t>
      </w:r>
    </w:p>
    <w:p>
      <w:pPr>
        <w:pStyle w:val="ListBullet"/>
        <w:spacing w:after="40"/>
      </w:pPr>
      <w:r>
        <w:rPr>
          <w:sz w:val="18"/>
        </w:rPr>
        <w:t>Versionare KB, taxonomy, prompt, modello e score per ricostruire ogni risultato.</w:t>
      </w:r>
    </w:p>
    <w:p>
      <w:pPr>
        <w:pStyle w:val="Heading1"/>
      </w:pPr>
      <w:r>
        <w:t>12. Piano di validazione scientifica</w:t>
      </w:r>
    </w:p>
    <w:tbl>
      <w:tblPr>
        <w:tblStyle w:val="TableGrid"/>
        <w:tblW w:type="auto" w:w="0"/>
        <w:jc w:val="center"/>
        <w:tblLook w:firstColumn="1" w:firstRow="1" w:lastColumn="0" w:lastRow="0" w:noHBand="0" w:noVBand="1" w:val="04A0"/>
      </w:tblPr>
      <w:tblGrid>
        <w:gridCol w:w="5083"/>
        <w:gridCol w:w="5083"/>
      </w:tblGrid>
      <w:tr>
        <w:tc>
          <w:tcPr>
            <w:tcW w:type="dxa" w:w="2448"/>
            <w:shd w:fill="153B5B"/>
            <w:vAlign w:val="center"/>
          </w:tcPr>
          <w:p>
            <w:pPr>
              <w:spacing w:after="0"/>
            </w:pPr>
            <w:r/>
            <w:r>
              <w:rPr>
                <w:rFonts w:ascii="Aptos" w:hAnsi="Aptos"/>
                <w:b/>
                <w:color w:val="FFFFFF"/>
                <w:sz w:val="16"/>
              </w:rPr>
              <w:t>Gate</w:t>
            </w:r>
          </w:p>
        </w:tc>
        <w:tc>
          <w:tcPr>
            <w:tcW w:type="dxa" w:w="7920"/>
            <w:shd w:fill="153B5B"/>
            <w:vAlign w:val="center"/>
          </w:tcPr>
          <w:p>
            <w:pPr>
              <w:spacing w:after="0"/>
            </w:pPr>
            <w:r/>
            <w:r>
              <w:rPr>
                <w:rFonts w:ascii="Aptos" w:hAnsi="Aptos"/>
                <w:b/>
                <w:color w:val="FFFFFF"/>
                <w:sz w:val="16"/>
              </w:rPr>
              <w:t>Criterio prima del PASS</w:t>
            </w:r>
          </w:p>
        </w:tc>
      </w:tr>
      <w:tr>
        <w:tc>
          <w:tcPr>
            <w:tcW w:type="dxa" w:w="2448"/>
            <w:vAlign w:val="top"/>
          </w:tcPr>
          <w:p>
            <w:pPr>
              <w:spacing w:after="0"/>
            </w:pPr>
            <w:r/>
            <w:r>
              <w:rPr>
                <w:rFonts w:ascii="Aptos" w:hAnsi="Aptos"/>
                <w:b w:val="0"/>
                <w:sz w:val="16"/>
              </w:rPr>
              <w:t>G0 — Taxonomy</w:t>
            </w:r>
          </w:p>
        </w:tc>
        <w:tc>
          <w:tcPr>
            <w:tcW w:type="dxa" w:w="7920"/>
            <w:vAlign w:val="top"/>
          </w:tcPr>
          <w:p>
            <w:pPr>
              <w:spacing w:after="0"/>
            </w:pPr>
            <w:r/>
            <w:r>
              <w:rPr>
                <w:rFonts w:ascii="Aptos" w:hAnsi="Aptos"/>
                <w:b w:val="0"/>
                <w:sz w:val="16"/>
              </w:rPr>
              <w:t>Review di almeno 1 veterinario comportamentalista/etologo + definizioni osservabili non antropomorfiche.</w:t>
            </w:r>
          </w:p>
        </w:tc>
      </w:tr>
      <w:tr>
        <w:tc>
          <w:tcPr>
            <w:tcW w:type="dxa" w:w="2448"/>
            <w:vAlign w:val="top"/>
          </w:tcPr>
          <w:p>
            <w:pPr>
              <w:spacing w:after="0"/>
            </w:pPr>
            <w:r/>
            <w:r>
              <w:rPr>
                <w:rFonts w:ascii="Aptos" w:hAnsi="Aptos"/>
                <w:b w:val="0"/>
                <w:sz w:val="16"/>
              </w:rPr>
              <w:t>G1 — Annotation</w:t>
            </w:r>
          </w:p>
        </w:tc>
        <w:tc>
          <w:tcPr>
            <w:tcW w:type="dxa" w:w="7920"/>
            <w:vAlign w:val="top"/>
          </w:tcPr>
          <w:p>
            <w:pPr>
              <w:spacing w:after="0"/>
            </w:pPr>
            <w:r/>
            <w:r>
              <w:rPr>
                <w:rFonts w:ascii="Aptos" w:hAnsi="Aptos"/>
                <w:b w:val="0"/>
                <w:sz w:val="16"/>
              </w:rPr>
              <w:t>Affidabilità inter-annotatore accettabile su gold set; manuale di coding congelato e versionato.</w:t>
            </w:r>
          </w:p>
        </w:tc>
      </w:tr>
      <w:tr>
        <w:tc>
          <w:tcPr>
            <w:tcW w:type="dxa" w:w="2448"/>
            <w:vAlign w:val="top"/>
          </w:tcPr>
          <w:p>
            <w:pPr>
              <w:spacing w:after="0"/>
            </w:pPr>
            <w:r/>
            <w:r>
              <w:rPr>
                <w:rFonts w:ascii="Aptos" w:hAnsi="Aptos"/>
                <w:b w:val="0"/>
                <w:sz w:val="16"/>
              </w:rPr>
              <w:t>G2 — Observer</w:t>
            </w:r>
          </w:p>
        </w:tc>
        <w:tc>
          <w:tcPr>
            <w:tcW w:type="dxa" w:w="7920"/>
            <w:vAlign w:val="top"/>
          </w:tcPr>
          <w:p>
            <w:pPr>
              <w:spacing w:after="0"/>
            </w:pPr>
            <w:r/>
            <w:r>
              <w:rPr>
                <w:rFonts w:ascii="Aptos" w:hAnsi="Aptos"/>
                <w:b w:val="0"/>
                <w:sz w:val="16"/>
              </w:rPr>
              <w:t>Precision/recall per feature, stratificata per morfologia e condizioni reali.</w:t>
            </w:r>
          </w:p>
        </w:tc>
      </w:tr>
      <w:tr>
        <w:tc>
          <w:tcPr>
            <w:tcW w:type="dxa" w:w="2448"/>
            <w:vAlign w:val="top"/>
          </w:tcPr>
          <w:p>
            <w:pPr>
              <w:spacing w:after="0"/>
            </w:pPr>
            <w:r/>
            <w:r>
              <w:rPr>
                <w:rFonts w:ascii="Aptos" w:hAnsi="Aptos"/>
                <w:b w:val="0"/>
                <w:sz w:val="16"/>
              </w:rPr>
              <w:t>G3 — Interpretation</w:t>
            </w:r>
          </w:p>
        </w:tc>
        <w:tc>
          <w:tcPr>
            <w:tcW w:type="dxa" w:w="7920"/>
            <w:vAlign w:val="top"/>
          </w:tcPr>
          <w:p>
            <w:pPr>
              <w:spacing w:after="0"/>
            </w:pPr>
            <w:r/>
            <w:r>
              <w:rPr>
                <w:rFonts w:ascii="Aptos" w:hAnsi="Aptos"/>
                <w:b w:val="0"/>
                <w:sz w:val="16"/>
              </w:rPr>
              <w:t>Calibration per classe; confusion matrix; abstention quality; valutazione di alternative plausibili.</w:t>
            </w:r>
          </w:p>
        </w:tc>
      </w:tr>
      <w:tr>
        <w:tc>
          <w:tcPr>
            <w:tcW w:type="dxa" w:w="2448"/>
            <w:vAlign w:val="top"/>
          </w:tcPr>
          <w:p>
            <w:pPr>
              <w:spacing w:after="0"/>
            </w:pPr>
            <w:r/>
            <w:r>
              <w:rPr>
                <w:rFonts w:ascii="Aptos" w:hAnsi="Aptos"/>
                <w:b w:val="0"/>
                <w:sz w:val="16"/>
              </w:rPr>
              <w:t>G4 — Personalization</w:t>
            </w:r>
          </w:p>
        </w:tc>
        <w:tc>
          <w:tcPr>
            <w:tcW w:type="dxa" w:w="7920"/>
            <w:vAlign w:val="top"/>
          </w:tcPr>
          <w:p>
            <w:pPr>
              <w:spacing w:after="0"/>
            </w:pPr>
            <w:r/>
            <w:r>
              <w:rPr>
                <w:rFonts w:ascii="Aptos" w:hAnsi="Aptos"/>
                <w:b w:val="0"/>
                <w:sz w:val="16"/>
              </w:rPr>
              <w:t>Confronto general vs personal model sullo stesso cane, evitando leakage temporale.</w:t>
            </w:r>
          </w:p>
        </w:tc>
      </w:tr>
      <w:tr>
        <w:tc>
          <w:tcPr>
            <w:tcW w:type="dxa" w:w="2448"/>
            <w:vAlign w:val="top"/>
          </w:tcPr>
          <w:p>
            <w:pPr>
              <w:spacing w:after="0"/>
            </w:pPr>
            <w:r/>
            <w:r>
              <w:rPr>
                <w:rFonts w:ascii="Aptos" w:hAnsi="Aptos"/>
                <w:b w:val="0"/>
                <w:sz w:val="16"/>
              </w:rPr>
              <w:t>G5 — Safety</w:t>
            </w:r>
          </w:p>
        </w:tc>
        <w:tc>
          <w:tcPr>
            <w:tcW w:type="dxa" w:w="7920"/>
            <w:vAlign w:val="top"/>
          </w:tcPr>
          <w:p>
            <w:pPr>
              <w:spacing w:after="0"/>
            </w:pPr>
            <w:r/>
            <w:r>
              <w:rPr>
                <w:rFonts w:ascii="Aptos" w:hAnsi="Aptos"/>
                <w:b w:val="0"/>
                <w:sz w:val="16"/>
              </w:rPr>
              <w:t>Recall elevato su red-flag scenarios; zero copy che induca interazioni rischiose.</w:t>
            </w:r>
          </w:p>
        </w:tc>
      </w:tr>
      <w:tr>
        <w:tc>
          <w:tcPr>
            <w:tcW w:type="dxa" w:w="2448"/>
            <w:vAlign w:val="top"/>
          </w:tcPr>
          <w:p>
            <w:pPr>
              <w:spacing w:after="0"/>
            </w:pPr>
            <w:r/>
            <w:r>
              <w:rPr>
                <w:rFonts w:ascii="Aptos" w:hAnsi="Aptos"/>
                <w:b w:val="0"/>
                <w:sz w:val="16"/>
              </w:rPr>
              <w:t>G6 — Consumer comprehension</w:t>
            </w:r>
          </w:p>
        </w:tc>
        <w:tc>
          <w:tcPr>
            <w:tcW w:type="dxa" w:w="7920"/>
            <w:vAlign w:val="top"/>
          </w:tcPr>
          <w:p>
            <w:pPr>
              <w:spacing w:after="0"/>
            </w:pPr>
            <w:r/>
            <w:r>
              <w:rPr>
                <w:rFonts w:ascii="Aptos" w:hAnsi="Aptos"/>
                <w:b w:val="0"/>
                <w:sz w:val="16"/>
              </w:rPr>
              <w:t>Utenti comprendono probabilità, alternative e “non so”; nessuna falsa percezione di traduzione letterale.</w:t>
            </w:r>
          </w:p>
        </w:tc>
      </w:tr>
    </w:tbl>
    <w:p/>
    <w:p>
      <w:pPr>
        <w:pStyle w:val="Heading2"/>
      </w:pPr>
      <w:r>
        <w:t>12.1 Metriche minime</w:t>
      </w:r>
    </w:p>
    <w:p>
      <w:pPr>
        <w:pStyle w:val="ListBullet"/>
        <w:spacing w:after="40"/>
      </w:pPr>
      <w:r>
        <w:rPr>
          <w:sz w:val="18"/>
        </w:rPr>
        <w:t>Observer: per-feature precision, recall, F1; missing/unknown rate; robustness a luce, blur, occlusione e audio noise.</w:t>
      </w:r>
    </w:p>
    <w:p>
      <w:pPr>
        <w:pStyle w:val="ListBullet"/>
        <w:spacing w:after="40"/>
      </w:pPr>
      <w:r>
        <w:rPr>
          <w:sz w:val="18"/>
        </w:rPr>
        <w:t>Reasoner: macro-F1 solo dove esiste ground truth, calibration error/Brier score, abstention precision, unsafe-overconfidence rate.</w:t>
      </w:r>
    </w:p>
    <w:p>
      <w:pPr>
        <w:pStyle w:val="ListBullet"/>
        <w:spacing w:after="40"/>
      </w:pPr>
      <w:r>
        <w:rPr>
          <w:sz w:val="18"/>
        </w:rPr>
        <w:t>Personalization: delta utility/calibration vs general model, contradiction rate, time-to-stable-pattern.</w:t>
      </w:r>
    </w:p>
    <w:p>
      <w:pPr>
        <w:pStyle w:val="ListBullet"/>
        <w:spacing w:after="40"/>
      </w:pPr>
      <w:r>
        <w:rPr>
          <w:sz w:val="18"/>
        </w:rPr>
        <w:t>Fairness: performance per morfologia/taglia/età/pelo/orecchie/coda e device.</w:t>
      </w:r>
    </w:p>
    <w:p>
      <w:pPr>
        <w:pStyle w:val="ListBullet"/>
        <w:spacing w:after="40"/>
      </w:pPr>
      <w:r>
        <w:rPr>
          <w:sz w:val="18"/>
        </w:rPr>
        <w:t>Human factors: comprensione del risultato, trust appropriato, tasso di escalation corretta.</w:t>
      </w:r>
    </w:p>
    <w:p>
      <w:pPr>
        <w:pStyle w:val="Heading1"/>
      </w:pPr>
      <w:r>
        <w:t>13. Gap scientifici e backlog di ricerca</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53B5B"/>
            <w:vAlign w:val="center"/>
          </w:tcPr>
          <w:p>
            <w:pPr>
              <w:spacing w:after="0"/>
            </w:pPr>
            <w:r/>
            <w:r>
              <w:rPr>
                <w:rFonts w:ascii="Aptos" w:hAnsi="Aptos"/>
                <w:b/>
                <w:color w:val="FFFFFF"/>
                <w:sz w:val="16"/>
              </w:rPr>
              <w:t>Gap</w:t>
            </w:r>
          </w:p>
        </w:tc>
        <w:tc>
          <w:tcPr>
            <w:tcW w:type="dxa" w:w="4608"/>
            <w:shd w:fill="153B5B"/>
            <w:vAlign w:val="center"/>
          </w:tcPr>
          <w:p>
            <w:pPr>
              <w:spacing w:after="0"/>
            </w:pPr>
            <w:r/>
            <w:r>
              <w:rPr>
                <w:rFonts w:ascii="Aptos" w:hAnsi="Aptos"/>
                <w:b/>
                <w:color w:val="FFFFFF"/>
                <w:sz w:val="16"/>
              </w:rPr>
              <w:t>Evidenza</w:t>
            </w:r>
          </w:p>
        </w:tc>
        <w:tc>
          <w:tcPr>
            <w:tcW w:type="dxa" w:w="3600"/>
            <w:shd w:fill="153B5B"/>
            <w:vAlign w:val="center"/>
          </w:tcPr>
          <w:p>
            <w:pPr>
              <w:spacing w:after="0"/>
            </w:pPr>
            <w:r/>
            <w:r>
              <w:rPr>
                <w:rFonts w:ascii="Aptos" w:hAnsi="Aptos"/>
                <w:b/>
                <w:color w:val="FFFFFF"/>
                <w:sz w:val="16"/>
              </w:rPr>
              <w:t>Decisione</w:t>
            </w:r>
          </w:p>
        </w:tc>
      </w:tr>
      <w:tr>
        <w:tc>
          <w:tcPr>
            <w:tcW w:type="dxa" w:w="2160"/>
            <w:vAlign w:val="top"/>
          </w:tcPr>
          <w:p>
            <w:pPr>
              <w:spacing w:after="0"/>
            </w:pPr>
            <w:r/>
            <w:r>
              <w:rPr>
                <w:rFonts w:ascii="Aptos" w:hAnsi="Aptos"/>
                <w:b w:val="0"/>
                <w:sz w:val="16"/>
              </w:rPr>
              <w:t>Emotion ground truth</w:t>
            </w:r>
          </w:p>
        </w:tc>
        <w:tc>
          <w:tcPr>
            <w:tcW w:type="dxa" w:w="4608"/>
            <w:vAlign w:val="top"/>
          </w:tcPr>
          <w:p>
            <w:pPr>
              <w:spacing w:after="0"/>
            </w:pPr>
            <w:r/>
            <w:r>
              <w:rPr>
                <w:rFonts w:ascii="Aptos" w:hAnsi="Aptos"/>
                <w:b w:val="0"/>
                <w:sz w:val="16"/>
              </w:rPr>
              <w:t>Non esiste una lingua canina con significati univoci; molte etichette affective derivano da contesti sperimentali o giudizi umani.</w:t>
            </w:r>
          </w:p>
        </w:tc>
        <w:tc>
          <w:tcPr>
            <w:tcW w:type="dxa" w:w="3600"/>
            <w:vAlign w:val="top"/>
          </w:tcPr>
          <w:p>
            <w:pPr>
              <w:spacing w:after="0"/>
            </w:pPr>
            <w:r/>
            <w:r>
              <w:rPr>
                <w:rFonts w:ascii="Aptos" w:hAnsi="Aptos"/>
                <w:b w:val="0"/>
                <w:sz w:val="16"/>
              </w:rPr>
              <w:t>Mantenere livelli osservabile→compatibile, non fact.</w:t>
            </w:r>
          </w:p>
        </w:tc>
      </w:tr>
      <w:tr>
        <w:tc>
          <w:tcPr>
            <w:tcW w:type="dxa" w:w="2160"/>
            <w:vAlign w:val="top"/>
          </w:tcPr>
          <w:p>
            <w:pPr>
              <w:spacing w:after="0"/>
            </w:pPr>
            <w:r/>
            <w:r>
              <w:rPr>
                <w:rFonts w:ascii="Aptos" w:hAnsi="Aptos"/>
                <w:b w:val="0"/>
                <w:sz w:val="16"/>
              </w:rPr>
              <w:t>Generalizzazione facciale</w:t>
            </w:r>
          </w:p>
        </w:tc>
        <w:tc>
          <w:tcPr>
            <w:tcW w:type="dxa" w:w="4608"/>
            <w:vAlign w:val="top"/>
          </w:tcPr>
          <w:p>
            <w:pPr>
              <w:spacing w:after="0"/>
            </w:pPr>
            <w:r/>
            <w:r>
              <w:rPr>
                <w:rFonts w:ascii="Aptos" w:hAnsi="Aptos"/>
                <w:b w:val="0"/>
                <w:sz w:val="16"/>
              </w:rPr>
              <w:t>Morfologie molto diverse rendono difficile generalizzare da Labrador o subset stretti.</w:t>
            </w:r>
          </w:p>
        </w:tc>
        <w:tc>
          <w:tcPr>
            <w:tcW w:type="dxa" w:w="3600"/>
            <w:vAlign w:val="top"/>
          </w:tcPr>
          <w:p>
            <w:pPr>
              <w:spacing w:after="0"/>
            </w:pPr>
            <w:r/>
            <w:r>
              <w:rPr>
                <w:rFonts w:ascii="Aptos" w:hAnsi="Aptos"/>
                <w:b w:val="0"/>
                <w:sz w:val="16"/>
              </w:rPr>
              <w:t>Dataset proprietario stratificato + landmark/feature robusti.</w:t>
            </w:r>
          </w:p>
        </w:tc>
      </w:tr>
      <w:tr>
        <w:tc>
          <w:tcPr>
            <w:tcW w:type="dxa" w:w="2160"/>
            <w:vAlign w:val="top"/>
          </w:tcPr>
          <w:p>
            <w:pPr>
              <w:spacing w:after="0"/>
            </w:pPr>
            <w:r/>
            <w:r>
              <w:rPr>
                <w:rFonts w:ascii="Aptos" w:hAnsi="Aptos"/>
                <w:b w:val="0"/>
                <w:sz w:val="16"/>
              </w:rPr>
              <w:t>Vocalizzazione</w:t>
            </w:r>
          </w:p>
        </w:tc>
        <w:tc>
          <w:tcPr>
            <w:tcW w:type="dxa" w:w="4608"/>
            <w:vAlign w:val="top"/>
          </w:tcPr>
          <w:p>
            <w:pPr>
              <w:spacing w:after="0"/>
            </w:pPr>
            <w:r/>
            <w:r>
              <w:rPr>
                <w:rFonts w:ascii="Aptos" w:hAnsi="Aptos"/>
                <w:b w:val="0"/>
                <w:sz w:val="16"/>
              </w:rPr>
              <w:t>Contesto e identità sono classificabili sopra chance, ma dataset pubblici contestuali restano limitati.</w:t>
            </w:r>
          </w:p>
        </w:tc>
        <w:tc>
          <w:tcPr>
            <w:tcW w:type="dxa" w:w="3600"/>
            <w:vAlign w:val="top"/>
          </w:tcPr>
          <w:p>
            <w:pPr>
              <w:spacing w:after="0"/>
            </w:pPr>
            <w:r/>
            <w:r>
              <w:rPr>
                <w:rFonts w:ascii="Aptos" w:hAnsi="Aptos"/>
                <w:b w:val="0"/>
                <w:sz w:val="16"/>
              </w:rPr>
              <w:t>Raccogliere video+audio+context, non audio isolato.</w:t>
            </w:r>
          </w:p>
        </w:tc>
      </w:tr>
      <w:tr>
        <w:tc>
          <w:tcPr>
            <w:tcW w:type="dxa" w:w="2160"/>
            <w:vAlign w:val="top"/>
          </w:tcPr>
          <w:p>
            <w:pPr>
              <w:spacing w:after="0"/>
            </w:pPr>
            <w:r/>
            <w:r>
              <w:rPr>
                <w:rFonts w:ascii="Aptos" w:hAnsi="Aptos"/>
                <w:b w:val="0"/>
                <w:sz w:val="16"/>
              </w:rPr>
              <w:t>Owner feedback</w:t>
            </w:r>
          </w:p>
        </w:tc>
        <w:tc>
          <w:tcPr>
            <w:tcW w:type="dxa" w:w="4608"/>
            <w:vAlign w:val="top"/>
          </w:tcPr>
          <w:p>
            <w:pPr>
              <w:spacing w:after="0"/>
            </w:pPr>
            <w:r/>
            <w:r>
              <w:rPr>
                <w:rFonts w:ascii="Aptos" w:hAnsi="Aptos"/>
                <w:b w:val="0"/>
                <w:sz w:val="16"/>
              </w:rPr>
              <w:t>Utile per contesto e personalizzazione ma soggetto a bias.</w:t>
            </w:r>
          </w:p>
        </w:tc>
        <w:tc>
          <w:tcPr>
            <w:tcW w:type="dxa" w:w="3600"/>
            <w:vAlign w:val="top"/>
          </w:tcPr>
          <w:p>
            <w:pPr>
              <w:spacing w:after="0"/>
            </w:pPr>
            <w:r/>
            <w:r>
              <w:rPr>
                <w:rFonts w:ascii="Aptos" w:hAnsi="Aptos"/>
                <w:b w:val="0"/>
                <w:sz w:val="16"/>
              </w:rPr>
              <w:t>Pesare come weak label, non ground truth.</w:t>
            </w:r>
          </w:p>
        </w:tc>
      </w:tr>
      <w:tr>
        <w:tc>
          <w:tcPr>
            <w:tcW w:type="dxa" w:w="2160"/>
            <w:vAlign w:val="top"/>
          </w:tcPr>
          <w:p>
            <w:pPr>
              <w:spacing w:after="0"/>
            </w:pPr>
            <w:r/>
            <w:r>
              <w:rPr>
                <w:rFonts w:ascii="Aptos" w:hAnsi="Aptos"/>
                <w:b w:val="0"/>
                <w:sz w:val="16"/>
              </w:rPr>
              <w:t>Pain</w:t>
            </w:r>
          </w:p>
        </w:tc>
        <w:tc>
          <w:tcPr>
            <w:tcW w:type="dxa" w:w="4608"/>
            <w:vAlign w:val="top"/>
          </w:tcPr>
          <w:p>
            <w:pPr>
              <w:spacing w:after="0"/>
            </w:pPr>
            <w:r/>
            <w:r>
              <w:rPr>
                <w:rFonts w:ascii="Aptos" w:hAnsi="Aptos"/>
                <w:b w:val="0"/>
                <w:sz w:val="16"/>
              </w:rPr>
              <w:t>Segnali comportamentali/facciali possono supportare sospetto, non diagnosi automatica.</w:t>
            </w:r>
          </w:p>
        </w:tc>
        <w:tc>
          <w:tcPr>
            <w:tcW w:type="dxa" w:w="3600"/>
            <w:vAlign w:val="top"/>
          </w:tcPr>
          <w:p>
            <w:pPr>
              <w:spacing w:after="0"/>
            </w:pPr>
            <w:r/>
            <w:r>
              <w:rPr>
                <w:rFonts w:ascii="Aptos" w:hAnsi="Aptos"/>
                <w:b w:val="0"/>
                <w:sz w:val="16"/>
              </w:rPr>
              <w:t>Safety escalation + partnership veterinaria.</w:t>
            </w:r>
          </w:p>
        </w:tc>
      </w:tr>
      <w:tr>
        <w:tc>
          <w:tcPr>
            <w:tcW w:type="dxa" w:w="2160"/>
            <w:vAlign w:val="top"/>
          </w:tcPr>
          <w:p>
            <w:pPr>
              <w:spacing w:after="0"/>
            </w:pPr>
            <w:r/>
            <w:r>
              <w:rPr>
                <w:rFonts w:ascii="Aptos" w:hAnsi="Aptos"/>
                <w:b w:val="0"/>
                <w:sz w:val="16"/>
              </w:rPr>
              <w:t>Digestive vision</w:t>
            </w:r>
          </w:p>
        </w:tc>
        <w:tc>
          <w:tcPr>
            <w:tcW w:type="dxa" w:w="4608"/>
            <w:vAlign w:val="top"/>
          </w:tcPr>
          <w:p>
            <w:pPr>
              <w:spacing w:after="0"/>
            </w:pPr>
            <w:r/>
            <w:r>
              <w:rPr>
                <w:rFonts w:ascii="Aptos" w:hAnsi="Aptos"/>
                <w:b w:val="0"/>
                <w:sz w:val="16"/>
              </w:rPr>
              <w:t>Fecal score umano ha variabilità inter-observer.</w:t>
            </w:r>
          </w:p>
        </w:tc>
        <w:tc>
          <w:tcPr>
            <w:tcW w:type="dxa" w:w="3600"/>
            <w:vAlign w:val="top"/>
          </w:tcPr>
          <w:p>
            <w:pPr>
              <w:spacing w:after="0"/>
            </w:pPr>
            <w:r/>
            <w:r>
              <w:rPr>
                <w:rFonts w:ascii="Aptos" w:hAnsi="Aptos"/>
                <w:b w:val="0"/>
                <w:sz w:val="16"/>
              </w:rPr>
              <w:t>Band qualitative + trend + red flags, non precisione numerica falsa.</w:t>
            </w:r>
          </w:p>
        </w:tc>
      </w:tr>
    </w:tbl>
    <w:p/>
    <w:p>
      <w:pPr>
        <w:pStyle w:val="Heading1"/>
      </w:pPr>
      <w:r>
        <w:t>14. Roadmap operativa 6 settimane</w:t>
      </w:r>
    </w:p>
    <w:tbl>
      <w:tblPr>
        <w:tblStyle w:val="TableGrid"/>
        <w:tblW w:type="auto" w:w="0"/>
        <w:jc w:val="center"/>
        <w:tblLook w:firstColumn="1" w:firstRow="1" w:lastColumn="0" w:lastRow="0" w:noHBand="0" w:noVBand="1" w:val="04A0"/>
      </w:tblPr>
      <w:tblGrid>
        <w:gridCol w:w="5083"/>
        <w:gridCol w:w="5083"/>
      </w:tblGrid>
      <w:tr>
        <w:tc>
          <w:tcPr>
            <w:tcW w:type="dxa" w:w="1728"/>
            <w:shd w:fill="153B5B"/>
            <w:vAlign w:val="center"/>
          </w:tcPr>
          <w:p>
            <w:pPr>
              <w:spacing w:after="0"/>
            </w:pPr>
            <w:r/>
            <w:r>
              <w:rPr>
                <w:rFonts w:ascii="Aptos" w:hAnsi="Aptos"/>
                <w:b/>
                <w:color w:val="FFFFFF"/>
                <w:sz w:val="16"/>
              </w:rPr>
              <w:t>Settimana</w:t>
            </w:r>
          </w:p>
        </w:tc>
        <w:tc>
          <w:tcPr>
            <w:tcW w:type="dxa" w:w="8640"/>
            <w:shd w:fill="153B5B"/>
            <w:vAlign w:val="center"/>
          </w:tcPr>
          <w:p>
            <w:pPr>
              <w:spacing w:after="0"/>
            </w:pPr>
            <w:r/>
            <w:r>
              <w:rPr>
                <w:rFonts w:ascii="Aptos" w:hAnsi="Aptos"/>
                <w:b/>
                <w:color w:val="FFFFFF"/>
                <w:sz w:val="16"/>
              </w:rPr>
              <w:t>Output</w:t>
            </w:r>
          </w:p>
        </w:tc>
      </w:tr>
      <w:tr>
        <w:tc>
          <w:tcPr>
            <w:tcW w:type="dxa" w:w="1728"/>
            <w:vAlign w:val="top"/>
          </w:tcPr>
          <w:p>
            <w:pPr>
              <w:spacing w:after="0"/>
            </w:pPr>
            <w:r/>
            <w:r>
              <w:rPr>
                <w:rFonts w:ascii="Aptos" w:hAnsi="Aptos"/>
                <w:b w:val="0"/>
                <w:sz w:val="16"/>
              </w:rPr>
              <w:t>1</w:t>
            </w:r>
          </w:p>
        </w:tc>
        <w:tc>
          <w:tcPr>
            <w:tcW w:type="dxa" w:w="8640"/>
            <w:vAlign w:val="top"/>
          </w:tcPr>
          <w:p>
            <w:pPr>
              <w:spacing w:after="0"/>
            </w:pPr>
            <w:r/>
            <w:r>
              <w:rPr>
                <w:rFonts w:ascii="Aptos" w:hAnsi="Aptos"/>
                <w:b w:val="0"/>
                <w:sz w:val="16"/>
              </w:rPr>
              <w:t>Freeze Taxonomy V1 + manuale osservabili + schema JSON + source registry.</w:t>
            </w:r>
          </w:p>
        </w:tc>
      </w:tr>
      <w:tr>
        <w:tc>
          <w:tcPr>
            <w:tcW w:type="dxa" w:w="1728"/>
            <w:vAlign w:val="top"/>
          </w:tcPr>
          <w:p>
            <w:pPr>
              <w:spacing w:after="0"/>
            </w:pPr>
            <w:r/>
            <w:r>
              <w:rPr>
                <w:rFonts w:ascii="Aptos" w:hAnsi="Aptos"/>
                <w:b w:val="0"/>
                <w:sz w:val="16"/>
              </w:rPr>
              <w:t>2</w:t>
            </w:r>
          </w:p>
        </w:tc>
        <w:tc>
          <w:tcPr>
            <w:tcW w:type="dxa" w:w="8640"/>
            <w:vAlign w:val="top"/>
          </w:tcPr>
          <w:p>
            <w:pPr>
              <w:spacing w:after="0"/>
            </w:pPr>
            <w:r/>
            <w:r>
              <w:rPr>
                <w:rFonts w:ascii="Aptos" w:hAnsi="Aptos"/>
                <w:b w:val="0"/>
                <w:sz w:val="16"/>
              </w:rPr>
              <w:t>Review advisory (veterinary behavior/ethology) + correzioni safety/terminologia.</w:t>
            </w:r>
          </w:p>
        </w:tc>
      </w:tr>
      <w:tr>
        <w:tc>
          <w:tcPr>
            <w:tcW w:type="dxa" w:w="1728"/>
            <w:vAlign w:val="top"/>
          </w:tcPr>
          <w:p>
            <w:pPr>
              <w:spacing w:after="0"/>
            </w:pPr>
            <w:r/>
            <w:r>
              <w:rPr>
                <w:rFonts w:ascii="Aptos" w:hAnsi="Aptos"/>
                <w:b w:val="0"/>
                <w:sz w:val="16"/>
              </w:rPr>
              <w:t>3</w:t>
            </w:r>
          </w:p>
        </w:tc>
        <w:tc>
          <w:tcPr>
            <w:tcW w:type="dxa" w:w="8640"/>
            <w:vAlign w:val="top"/>
          </w:tcPr>
          <w:p>
            <w:pPr>
              <w:spacing w:after="0"/>
            </w:pPr>
            <w:r/>
            <w:r>
              <w:rPr>
                <w:rFonts w:ascii="Aptos" w:hAnsi="Aptos"/>
                <w:b w:val="0"/>
                <w:sz w:val="16"/>
              </w:rPr>
              <w:t>Pilot annotation 100–200 clip; training annotatori; reliability check.</w:t>
            </w:r>
          </w:p>
        </w:tc>
      </w:tr>
      <w:tr>
        <w:tc>
          <w:tcPr>
            <w:tcW w:type="dxa" w:w="1728"/>
            <w:vAlign w:val="top"/>
          </w:tcPr>
          <w:p>
            <w:pPr>
              <w:spacing w:after="0"/>
            </w:pPr>
            <w:r/>
            <w:r>
              <w:rPr>
                <w:rFonts w:ascii="Aptos" w:hAnsi="Aptos"/>
                <w:b w:val="0"/>
                <w:sz w:val="16"/>
              </w:rPr>
              <w:t>4</w:t>
            </w:r>
          </w:p>
        </w:tc>
        <w:tc>
          <w:tcPr>
            <w:tcW w:type="dxa" w:w="8640"/>
            <w:vAlign w:val="top"/>
          </w:tcPr>
          <w:p>
            <w:pPr>
              <w:spacing w:after="0"/>
            </w:pPr>
            <w:r/>
            <w:r>
              <w:rPr>
                <w:rFonts w:ascii="Aptos" w:hAnsi="Aptos"/>
                <w:b w:val="0"/>
                <w:sz w:val="16"/>
              </w:rPr>
              <w:t>Gold set iniziale + benchmark Gemini observer per feature.</w:t>
            </w:r>
          </w:p>
        </w:tc>
      </w:tr>
      <w:tr>
        <w:tc>
          <w:tcPr>
            <w:tcW w:type="dxa" w:w="1728"/>
            <w:vAlign w:val="top"/>
          </w:tcPr>
          <w:p>
            <w:pPr>
              <w:spacing w:after="0"/>
            </w:pPr>
            <w:r/>
            <w:r>
              <w:rPr>
                <w:rFonts w:ascii="Aptos" w:hAnsi="Aptos"/>
                <w:b w:val="0"/>
                <w:sz w:val="16"/>
              </w:rPr>
              <w:t>5</w:t>
            </w:r>
          </w:p>
        </w:tc>
        <w:tc>
          <w:tcPr>
            <w:tcW w:type="dxa" w:w="8640"/>
            <w:vAlign w:val="top"/>
          </w:tcPr>
          <w:p>
            <w:pPr>
              <w:spacing w:after="0"/>
            </w:pPr>
            <w:r/>
            <w:r>
              <w:rPr>
                <w:rFonts w:ascii="Aptos" w:hAnsi="Aptos"/>
                <w:b w:val="0"/>
                <w:sz w:val="16"/>
              </w:rPr>
              <w:t>Reasoner con retrieval KB + calibration/abstention tests + owner question policy.</w:t>
            </w:r>
          </w:p>
        </w:tc>
      </w:tr>
      <w:tr>
        <w:tc>
          <w:tcPr>
            <w:tcW w:type="dxa" w:w="1728"/>
            <w:vAlign w:val="top"/>
          </w:tcPr>
          <w:p>
            <w:pPr>
              <w:spacing w:after="0"/>
            </w:pPr>
            <w:r/>
            <w:r>
              <w:rPr>
                <w:rFonts w:ascii="Aptos" w:hAnsi="Aptos"/>
                <w:b w:val="0"/>
                <w:sz w:val="16"/>
              </w:rPr>
              <w:t>6</w:t>
            </w:r>
          </w:p>
        </w:tc>
        <w:tc>
          <w:tcPr>
            <w:tcW w:type="dxa" w:w="8640"/>
            <w:vAlign w:val="top"/>
          </w:tcPr>
          <w:p>
            <w:pPr>
              <w:spacing w:after="0"/>
            </w:pPr>
            <w:r/>
            <w:r>
              <w:rPr>
                <w:rFonts w:ascii="Aptos" w:hAnsi="Aptos"/>
                <w:b w:val="0"/>
                <w:sz w:val="16"/>
              </w:rPr>
              <w:t>Closed E2E: video → observables → KB → interpretation → feedback → personal memory; report Go/No-Go.</w:t>
            </w:r>
          </w:p>
        </w:tc>
      </w:tr>
    </w:tbl>
    <w:p/>
    <w:p>
      <w:pPr>
        <w:pStyle w:val="Heading1"/>
      </w:pPr>
      <w:r>
        <w:t>15. Cosa cambia rispetto al codice AI attuale</w:t>
      </w:r>
    </w:p>
    <w:p>
      <w:r>
        <w:t>Nel codice attuale, Gemini osserva il video con un prompt che impone fatti osservabili; OpenAI riceve ObservationContract, context bucket e memoria eleggibile. Questa è una buona separazione dei ruoli, ma manca ancora un knowledge payload scientifico recuperato da una base versionata. La modifica concettuale è quindi aggiungere tra Observation e Reasoner un Evidence Retrieval Layer.</w:t>
      </w:r>
    </w:p>
    <w:p>
      <w:pPr>
        <w:pStyle w:val="DoglyCallout"/>
      </w:pPr>
      <w:r>
        <w:t>CURRENT: Observation + Context + Memory → Reasoner</w:t>
        <w:br/>
        <w:t>TARGET: Observation + Context + Retrieved Evidence Cards + Memory → Reasoner</w:t>
      </w:r>
    </w:p>
    <w:p>
      <w:pPr>
        <w:pStyle w:val="Heading1"/>
      </w:pPr>
      <w:r>
        <w:t>16. Decisioni definitive V1</w:t>
      </w:r>
    </w:p>
    <w:p>
      <w:pPr>
        <w:pStyle w:val="ListBullet"/>
        <w:spacing w:after="40"/>
      </w:pPr>
      <w:r>
        <w:rPr>
          <w:sz w:val="18"/>
        </w:rPr>
        <w:t>Il documento Product Spec non è il corpus scientifico: resta governance e product contract.</w:t>
      </w:r>
    </w:p>
    <w:p>
      <w:pPr>
        <w:pStyle w:val="ListBullet"/>
        <w:spacing w:after="40"/>
      </w:pPr>
      <w:r>
        <w:rPr>
          <w:sz w:val="18"/>
        </w:rPr>
        <w:t>La KB scientifica V1 è strutturata in card; le fonti originali sono evidence registry/audit.</w:t>
      </w:r>
    </w:p>
    <w:p>
      <w:pPr>
        <w:pStyle w:val="ListBullet"/>
        <w:spacing w:after="40"/>
      </w:pPr>
      <w:r>
        <w:rPr>
          <w:sz w:val="18"/>
        </w:rPr>
        <w:t>Gemini = observer; OpenAI = reasoner; nessuno dei due deve affidarsi solo alla propria conoscenza pre-addestrata per claim Dogly.</w:t>
      </w:r>
    </w:p>
    <w:p>
      <w:pPr>
        <w:pStyle w:val="ListBullet"/>
        <w:spacing w:after="40"/>
      </w:pPr>
      <w:r>
        <w:rPr>
          <w:sz w:val="18"/>
        </w:rPr>
        <w:t>DogFACS è riferimento per feature anatomiche, non dizionario emotivo.</w:t>
      </w:r>
    </w:p>
    <w:p>
      <w:pPr>
        <w:pStyle w:val="ListBullet"/>
        <w:spacing w:after="40"/>
      </w:pPr>
      <w:r>
        <w:rPr>
          <w:sz w:val="18"/>
        </w:rPr>
        <w:t>Razza pesa poco e mai come determinante individuale.</w:t>
      </w:r>
    </w:p>
    <w:p>
      <w:pPr>
        <w:pStyle w:val="ListBullet"/>
        <w:spacing w:after="40"/>
      </w:pPr>
      <w:r>
        <w:rPr>
          <w:sz w:val="18"/>
        </w:rPr>
        <w:t>Audio è modalità interna al video; no traduzione parola-per-parola.</w:t>
      </w:r>
    </w:p>
    <w:p>
      <w:pPr>
        <w:pStyle w:val="ListBullet"/>
        <w:spacing w:after="40"/>
      </w:pPr>
      <w:r>
        <w:rPr>
          <w:sz w:val="18"/>
        </w:rPr>
        <w:t>Personal Intelligence richiede ripetizione e coerenza, non un singolo feedback.</w:t>
      </w:r>
    </w:p>
    <w:p>
      <w:pPr>
        <w:pStyle w:val="ListBullet"/>
        <w:spacing w:after="40"/>
      </w:pPr>
      <w:r>
        <w:rPr>
          <w:sz w:val="18"/>
        </w:rPr>
        <w:t>Abstention e safety override sono obbligatori.</w:t>
      </w:r>
    </w:p>
    <w:p>
      <w:pPr>
        <w:pStyle w:val="ListBullet"/>
        <w:spacing w:after="40"/>
      </w:pPr>
      <w:r>
        <w:rPr>
          <w:sz w:val="18"/>
        </w:rPr>
        <w:t>Dataset non-commerciali non entrano nel training commerciale senza licenza separata.</w:t>
      </w:r>
    </w:p>
    <w:p>
      <w:pPr>
        <w:pStyle w:val="ListBullet"/>
        <w:spacing w:after="40"/>
      </w:pPr>
      <w:r>
        <w:rPr>
          <w:sz w:val="18"/>
        </w:rPr>
        <w:t>Per la beta scientifica serve advisory review esterna prima di claim di validazione.</w:t>
      </w:r>
    </w:p>
    <w:p>
      <w:pPr>
        <w:pStyle w:val="Heading1"/>
      </w:pPr>
      <w:r>
        <w:t>17. Evidence Registry</w:t>
      </w:r>
    </w:p>
    <w:p>
      <w:pPr>
        <w:spacing w:after="80"/>
      </w:pPr>
      <w:r>
        <w:rPr>
          <w:b/>
          <w:color w:val="153B5B"/>
        </w:rPr>
        <w:t>S01 • A • Siniscalchi M. et al. (2018). Communication in Dogs. Animals, 8(8), 131.</w:t>
      </w:r>
      <w:r>
        <w:br/>
        <w:t>Core review for visual, acoustic, tactile and olfactory canine communication; context dependence.</w:t>
      </w:r>
      <w:r>
        <w:rPr>
          <w:i/>
        </w:rPr>
        <w:br/>
        <w:t>https://pmc.ncbi.nlm.nih.gov/articles/PMC6116041/</w:t>
      </w:r>
    </w:p>
    <w:p>
      <w:pPr>
        <w:spacing w:after="80"/>
      </w:pPr>
      <w:r>
        <w:rPr>
          <w:b/>
          <w:color w:val="153B5B"/>
        </w:rPr>
        <w:t>S02 • A • Waller B.M. et al. (2013). Paedomorphic Facial Expressions Give Dogs a Selective Advantage. PLOS ONE 8(12):e82686.</w:t>
      </w:r>
      <w:r>
        <w:br/>
        <w:t>DogFACS development; anatomically grounded facial movement coding. Use movements as observables, not emotion labels.</w:t>
      </w:r>
      <w:r>
        <w:rPr>
          <w:i/>
        </w:rPr>
        <w:br/>
        <w:t>https://journals.plos.org/plosone/article?id=10.1371/journal.pone.0082686</w:t>
      </w:r>
    </w:p>
    <w:p>
      <w:pPr>
        <w:spacing w:after="80"/>
      </w:pPr>
      <w:r>
        <w:rPr>
          <w:b/>
          <w:color w:val="153B5B"/>
        </w:rPr>
        <w:t>S03 • B • Kaminski J. et al. (2017). Human attention affects facial expressions in domestic dogs. Scientific Reports.</w:t>
      </w:r>
      <w:r>
        <w:br/>
        <w:t>Facial movements are affected by human attention; warning against context-free emotion reading.</w:t>
      </w:r>
      <w:r>
        <w:rPr>
          <w:i/>
        </w:rPr>
        <w:br/>
        <w:t>https://pmc.ncbi.nlm.nih.gov/articles/PMC5648750/</w:t>
      </w:r>
    </w:p>
    <w:p>
      <w:pPr>
        <w:spacing w:after="80"/>
      </w:pPr>
      <w:r>
        <w:rPr>
          <w:b/>
          <w:color w:val="153B5B"/>
        </w:rPr>
        <w:t>S04 • B • Caeiro C.C. et al. (2017). Dogs and humans respond to emotionally competent stimuli by producing different facial actions. Scientific Reports.</w:t>
      </w:r>
      <w:r>
        <w:br/>
        <w:t>Distinct facial-action patterns across experimental contexts; supports feature-level coding.</w:t>
      </w:r>
      <w:r>
        <w:rPr>
          <w:i/>
        </w:rPr>
        <w:br/>
        <w:t>https://pmc.ncbi.nlm.nih.gov/articles/PMC5686192/</w:t>
      </w:r>
    </w:p>
    <w:p>
      <w:pPr>
        <w:spacing w:after="80"/>
      </w:pPr>
      <w:r>
        <w:rPr>
          <w:b/>
          <w:color w:val="153B5B"/>
        </w:rPr>
        <w:t>S05 • B • Bremhorst A. et al. (2022). Evaluating the accuracy of facial expressions as emotion indicators across contexts in dogs. Animal Cognition.</w:t>
      </w:r>
      <w:r>
        <w:br/>
        <w:t>Facial indicators can fail to generalize across contexts; reinforces abstention and context weighting.</w:t>
      </w:r>
      <w:r>
        <w:rPr>
          <w:i/>
        </w:rPr>
        <w:br/>
        <w:t>https://pmc.ncbi.nlm.nih.gov/articles/PMC8904359/</w:t>
      </w:r>
    </w:p>
    <w:p>
      <w:pPr>
        <w:spacing w:after="80"/>
      </w:pPr>
      <w:r>
        <w:rPr>
          <w:b/>
          <w:color w:val="153B5B"/>
        </w:rPr>
        <w:t>S06 • B • Bremhorst A. et al. (2023). Explainable automated recognition of emotional states from canine facial expressions. Scientific Reports.</w:t>
      </w:r>
      <w:r>
        <w:br/>
        <w:t>Controlled-state automated classification evidence; narrow population/context, not universal emotion decoder.</w:t>
      </w:r>
      <w:r>
        <w:rPr>
          <w:i/>
        </w:rPr>
        <w:br/>
        <w:t>https://pmc.ncbi.nlm.nih.gov/articles/PMC9803655/</w:t>
      </w:r>
    </w:p>
    <w:p>
      <w:pPr>
        <w:spacing w:after="80"/>
      </w:pPr>
      <w:r>
        <w:rPr>
          <w:b/>
          <w:color w:val="153B5B"/>
        </w:rPr>
        <w:t>S07 • B • Martvel G. et al. (2025). Dog facial landmarks detection and its applications for facial analysis. Scientific Reports 15, 21886.</w:t>
      </w:r>
      <w:r>
        <w:br/>
        <w:t>DogFLW landmarks and DogFACS-related facial analysis; dataset is CC BY-NC 4.0.</w:t>
      </w:r>
      <w:r>
        <w:rPr>
          <w:i/>
        </w:rPr>
        <w:br/>
        <w:t>https://pmc.ncbi.nlm.nih.gov/articles/PMC12218811/</w:t>
      </w:r>
    </w:p>
    <w:p>
      <w:pPr>
        <w:spacing w:after="80"/>
      </w:pPr>
      <w:r>
        <w:rPr>
          <w:b/>
          <w:color w:val="153B5B"/>
        </w:rPr>
        <w:t>S08 • A • Morrill K. et al. (2022). Ancestry-inclusive dog genomics challenges popular breed stereotypes. Science 376:eabk0639.</w:t>
      </w:r>
      <w:r>
        <w:br/>
        <w:t>Breed explains about 9% of individual behavioral variation; breed is a weak prior, not a behavioral verdict.</w:t>
      </w:r>
      <w:r>
        <w:rPr>
          <w:i/>
        </w:rPr>
        <w:br/>
        <w:t>https://pmc.ncbi.nlm.nih.gov/articles/PMC9675396/</w:t>
      </w:r>
    </w:p>
    <w:p>
      <w:pPr>
        <w:spacing w:after="80"/>
      </w:pPr>
      <w:r>
        <w:rPr>
          <w:b/>
          <w:color w:val="153B5B"/>
        </w:rPr>
        <w:t>S09 • A • Mellor-related state-of-the-art review: Where Do We Stand in the Domestic Dog Positive-Emotion Assessment? Frontiers in Psychology (2020).</w:t>
      </w:r>
      <w:r>
        <w:br/>
        <w:t>Positive/negative affect indicators overlap; individual variability and multimodal assessment are essential.</w:t>
      </w:r>
      <w:r>
        <w:rPr>
          <w:i/>
        </w:rPr>
        <w:br/>
        <w:t>https://www.frontiersin.org/journals/psychology/articles/10.3389/fpsyg.2020.02131/full</w:t>
      </w:r>
    </w:p>
    <w:p>
      <w:pPr>
        <w:spacing w:after="80"/>
      </w:pPr>
      <w:r>
        <w:rPr>
          <w:b/>
          <w:color w:val="153B5B"/>
        </w:rPr>
        <w:t>S10 • A • AAHA Canine and Feline Behavior Management Guidelines — Common Signs of Anxiety/Distress.</w:t>
      </w:r>
      <w:r>
        <w:br/>
        <w:t>Clinical list of nonspecific anxiety/distress signs; use for safety escalation, not diagnosis.</w:t>
      </w:r>
      <w:r>
        <w:rPr>
          <w:i/>
        </w:rPr>
        <w:br/>
        <w:t>https://www.aaha.org/resources/2015-aaha-canine-and-feline-behavior-management-guidelines/common-signs-of-anxietydistress/</w:t>
      </w:r>
    </w:p>
    <w:p>
      <w:pPr>
        <w:spacing w:after="80"/>
      </w:pPr>
      <w:r>
        <w:rPr>
          <w:b/>
          <w:color w:val="153B5B"/>
        </w:rPr>
        <w:t>S11 • A • Mota-Rojas D. et al. (2021). Current Advances in Assessment of Dog’s Emotions, Facial Expressions, and Their Use for Clinical Recognition of Pain. Animals 11, 3334.</w:t>
      </w:r>
      <w:r>
        <w:br/>
        <w:t>Pain-related behavioral/facial changes exist but no single facial trait is diagnostic; combine signals and history.</w:t>
      </w:r>
      <w:r>
        <w:rPr>
          <w:i/>
        </w:rPr>
        <w:br/>
        <w:t>https://pmc.ncbi.nlm.nih.gov/articles/PMC8614696/</w:t>
      </w:r>
    </w:p>
    <w:p>
      <w:pPr>
        <w:spacing w:after="80"/>
      </w:pPr>
      <w:r>
        <w:rPr>
          <w:b/>
          <w:color w:val="153B5B"/>
        </w:rPr>
        <w:t>S12 • A • AAHA/AAFP Pain Management Guidelines for Dogs and Cats.</w:t>
      </w:r>
      <w:r>
        <w:br/>
        <w:t>Behavioral change is central to pain assessment; validated scales and veterinary evaluation required.</w:t>
      </w:r>
      <w:r>
        <w:rPr>
          <w:i/>
        </w:rPr>
        <w:br/>
        <w:t>https://pmc.ncbi.nlm.nih.gov/articles/PMC10911498/</w:t>
      </w:r>
    </w:p>
    <w:p>
      <w:pPr>
        <w:spacing w:after="80"/>
      </w:pPr>
      <w:r>
        <w:rPr>
          <w:b/>
          <w:color w:val="153B5B"/>
        </w:rPr>
        <w:t>S13 • A • Brady K. et al. (2018). Systematic Review of Reliability and Validity of Behavioural Tests in Working Dogs. Frontiers in Veterinary Science 5:103.</w:t>
      </w:r>
      <w:r>
        <w:br/>
        <w:t>Behavior tests vary in reliability/validity; test context and repeatability matter.</w:t>
      </w:r>
      <w:r>
        <w:rPr>
          <w:i/>
        </w:rPr>
        <w:br/>
        <w:t>https://www.frontiersin.org/journals/veterinary-science/articles/10.3389/fvets.2018.00103/full</w:t>
      </w:r>
    </w:p>
    <w:p>
      <w:pPr>
        <w:spacing w:after="80"/>
      </w:pPr>
      <w:r>
        <w:rPr>
          <w:b/>
          <w:color w:val="153B5B"/>
        </w:rPr>
        <w:t>S14 • A • Methods of behavioral testing in dogs: a scoping review and analysis of test stimuli. Frontiers in Veterinary Science (2024).</w:t>
      </w:r>
      <w:r>
        <w:br/>
        <w:t>392 publications / 2,362 tests; supports standardized context taxonomy and low-stress testing.</w:t>
      </w:r>
      <w:r>
        <w:rPr>
          <w:i/>
        </w:rPr>
        <w:br/>
        <w:t>https://www.frontiersin.org/journals/veterinary-science/articles/10.3389/fvets.2024.1455574/full</w:t>
      </w:r>
    </w:p>
    <w:p>
      <w:pPr>
        <w:spacing w:after="80"/>
      </w:pPr>
      <w:r>
        <w:rPr>
          <w:b/>
          <w:color w:val="153B5B"/>
        </w:rPr>
        <w:t>S15 • B • Yin S., McCowan B. (2004). Barking in domestic dogs: context specificity and individual identification. Animal Behaviour.</w:t>
      </w:r>
      <w:r>
        <w:br/>
        <w:t>Barks differ acoustically by context and individual; context classification is probabilistic.</w:t>
      </w:r>
      <w:r>
        <w:rPr>
          <w:i/>
        </w:rPr>
        <w:br/>
        <w:t>https://www.sciencedirect.com/science/article/pii/S000334720400123X</w:t>
      </w:r>
    </w:p>
    <w:p>
      <w:pPr>
        <w:spacing w:after="80"/>
      </w:pPr>
      <w:r>
        <w:rPr>
          <w:b/>
          <w:color w:val="153B5B"/>
        </w:rPr>
        <w:t>S16 • B • Faragó T. et al. (2017). Dog growls express various contextual and affective content for human listeners. Royal Society Open Science.</w:t>
      </w:r>
      <w:r>
        <w:br/>
        <w:t>Growls vary by social context; human interpretation is above chance but imperfect.</w:t>
      </w:r>
      <w:r>
        <w:rPr>
          <w:i/>
        </w:rPr>
        <w:br/>
        <w:t>https://pmc.ncbi.nlm.nih.gov/articles/PMC5451822/</w:t>
      </w:r>
    </w:p>
    <w:p>
      <w:pPr>
        <w:spacing w:after="80"/>
      </w:pPr>
      <w:r>
        <w:rPr>
          <w:b/>
          <w:color w:val="153B5B"/>
        </w:rPr>
        <w:t>S17 • B • Abzaliev A., Pérez-Espinosa H., Mihalcea R. (2024). Towards Dog Bark Decoding: Leveraging Human Speech Processing for Automated Bark Classification. LREC-COLING.</w:t>
      </w:r>
      <w:r>
        <w:br/>
        <w:t>Human speech embeddings support dog bark classification for individual, breed, sex and context; limited dataset.</w:t>
      </w:r>
      <w:r>
        <w:rPr>
          <w:i/>
        </w:rPr>
        <w:br/>
        <w:t>https://aclanthology.org/2024.lrec-main.1432/</w:t>
      </w:r>
    </w:p>
    <w:p>
      <w:pPr>
        <w:spacing w:after="80"/>
      </w:pPr>
      <w:r>
        <w:rPr>
          <w:b/>
          <w:color w:val="153B5B"/>
        </w:rPr>
        <w:t>S18 • B • University of Michigan Engineering (2024). Using AI to decode dog vocalizations.</w:t>
      </w:r>
      <w:r>
        <w:br/>
        <w:t>Accessible summary of 74-dog dataset and up-to-70% classification results.</w:t>
      </w:r>
      <w:r>
        <w:rPr>
          <w:i/>
        </w:rPr>
        <w:br/>
        <w:t>https://ece.engin.umich.edu/stories/using-ai-to-decode-dog-vocalizations</w:t>
      </w:r>
    </w:p>
    <w:p>
      <w:pPr>
        <w:spacing w:after="80"/>
      </w:pPr>
      <w:r>
        <w:rPr>
          <w:b/>
          <w:color w:val="153B5B"/>
        </w:rPr>
        <w:t>S19 • B • Google AudioSet — Dog/Bark ontology and dataset.</w:t>
      </w:r>
      <w:r>
        <w:br/>
        <w:t>Large weakly contextual audio-event corpus; dataset CC BY 4.0, ontology CC BY-SA 4.0. Good for bark/noise detection, not intent labels.</w:t>
      </w:r>
      <w:r>
        <w:rPr>
          <w:i/>
        </w:rPr>
        <w:br/>
        <w:t>https://research.google.com/audioset/download.html</w:t>
      </w:r>
    </w:p>
    <w:p>
      <w:pPr>
        <w:spacing w:after="80"/>
      </w:pPr>
      <w:r>
        <w:rPr>
          <w:b/>
          <w:color w:val="153B5B"/>
        </w:rPr>
        <w:t>S20 • C • DogSpeak Dataset (ACM MM 2025 release / Hugging Face).</w:t>
      </w:r>
      <w:r>
        <w:br/>
        <w:t>Large canine vocalization corpus for representation learning; CC BY-NC-SA 4.0, therefore not suitable for commercial training without separate permission.</w:t>
      </w:r>
      <w:r>
        <w:rPr>
          <w:i/>
        </w:rPr>
        <w:br/>
        <w:t>https://huggingface.co/datasets/ArlingtonCL2/DogSpeak_Dataset</w:t>
      </w:r>
    </w:p>
    <w:p>
      <w:pPr>
        <w:spacing w:after="80"/>
      </w:pPr>
      <w:r>
        <w:rPr>
          <w:b/>
          <w:color w:val="153B5B"/>
        </w:rPr>
        <w:t>S21 • C • Canine Age Transition Vocalization Dataset (Hugging Face).</w:t>
      </w:r>
      <w:r>
        <w:br/>
        <w:t>Longitudinal bark units with age/breed metadata; CC BY-NC-SA 4.0, research/benchmark only unless relicensed.</w:t>
      </w:r>
      <w:r>
        <w:rPr>
          <w:i/>
        </w:rPr>
        <w:br/>
        <w:t>https://huggingface.co/datasets/ArlingtonCL2/Canine-Age-Transition-Vocalization-Dataset</w:t>
      </w:r>
    </w:p>
    <w:p>
      <w:pPr>
        <w:spacing w:after="80"/>
      </w:pPr>
      <w:r>
        <w:rPr>
          <w:b/>
          <w:color w:val="153B5B"/>
        </w:rPr>
        <w:t>S22 • A • BORIS — Behavioral Observation Research Interactive Software.</w:t>
      </w:r>
      <w:r>
        <w:br/>
        <w:t>Open-source GPLv3 annotation/logging tool; suitable annotation workflow utility.</w:t>
      </w:r>
      <w:r>
        <w:rPr>
          <w:i/>
        </w:rPr>
        <w:br/>
        <w:t>https://www.boris.unito.it/</w:t>
      </w:r>
    </w:p>
    <w:p>
      <w:pPr>
        <w:spacing w:after="80"/>
      </w:pPr>
      <w:r>
        <w:rPr>
          <w:b/>
          <w:color w:val="153B5B"/>
        </w:rPr>
        <w:t>S23 • A • WSAVA Global Nutrition Guidelines and Toolkit.</w:t>
      </w:r>
      <w:r>
        <w:br/>
        <w:t>Nutrition assessment must be individualized and tied to veterinary context; supports data model for diet history and body condition.</w:t>
      </w:r>
      <w:r>
        <w:rPr>
          <w:i/>
        </w:rPr>
        <w:br/>
        <w:t>https://wsava.org/global-guidelines/global-nutrition-guidelines/</w:t>
      </w:r>
    </w:p>
    <w:p>
      <w:pPr>
        <w:spacing w:after="80"/>
      </w:pPr>
      <w:r>
        <w:rPr>
          <w:b/>
          <w:color w:val="153B5B"/>
        </w:rPr>
        <w:t>S24 • B • Consistency of faecal scoring using two canine faecal scoring systems (2021). Journal of Small Animal Practice.</w:t>
      </w:r>
      <w:r>
        <w:br/>
        <w:t>Fecal scoring has inter-observer variability; image model should expose uncertainty and trend, not false precision.</w:t>
      </w:r>
      <w:r>
        <w:rPr>
          <w:i/>
        </w:rPr>
        <w:br/>
        <w:t>https://pubmed.ncbi.nlm.nih.gov/33491796/</w:t>
      </w:r>
    </w:p>
    <w:p>
      <w:pPr>
        <w:spacing w:after="80"/>
      </w:pPr>
      <w:r>
        <w:rPr>
          <w:b/>
          <w:color w:val="153B5B"/>
        </w:rPr>
        <w:t>S25 • A • WSAVA/ENOVAT Canine Acute Diarrhea Treatment Summary (2025).</w:t>
      </w:r>
      <w:r>
        <w:br/>
        <w:t>Systemic clinical signs matter more than stool appearance alone for severity; supports escalation logic.</w:t>
      </w:r>
      <w:r>
        <w:rPr>
          <w:i/>
        </w:rPr>
        <w:br/>
        <w:t>https://wsava.org/wp-content/uploads/2025/02/Canine-acute-diarrhea_V11.pdf</w:t>
      </w:r>
    </w:p>
    <w:p>
      <w:pPr>
        <w:spacing w:after="80"/>
      </w:pPr>
      <w:r>
        <w:rPr>
          <w:b/>
          <w:color w:val="153B5B"/>
        </w:rPr>
        <w:t>S26 • A • AAHA — Help! Is This a Pet Emergency? (2024).</w:t>
      </w:r>
      <w:r>
        <w:br/>
        <w:t>Emergency red flags for persistent vomiting/diarrhea, breathing difficulty, collapse, severe weakness, sudden behavior change.</w:t>
      </w:r>
      <w:r>
        <w:rPr>
          <w:i/>
        </w:rPr>
        <w:br/>
        <w:t>https://www.aaha.org/resources/help-is-this-a-pet-emergency/</w:t>
      </w:r>
    </w:p>
    <w:p>
      <w:pPr>
        <w:spacing w:after="80"/>
      </w:pPr>
      <w:r>
        <w:rPr>
          <w:b/>
          <w:color w:val="153B5B"/>
        </w:rPr>
        <w:t>S27 • A • AAHA (2026). Why is my Dog throwing up? Vets explain when it's serious.</w:t>
      </w:r>
      <w:r>
        <w:br/>
        <w:t>GI red flags: repeated vomiting, inability to keep water down, blood, black/tarry stool, lethargy/collapse, painful/bloated abdomen.</w:t>
      </w:r>
      <w:r>
        <w:rPr>
          <w:i/>
        </w:rPr>
        <w:br/>
        <w:t>https://www.aaha.org/resources/why-is-my-dog-throwing-up-vets-explain-when-its-serious/</w:t>
      </w:r>
    </w:p>
    <w:p>
      <w:pPr>
        <w:pStyle w:val="Heading1"/>
      </w:pPr>
      <w:r>
        <w:t>18. Nota metodologica e legale</w:t>
      </w:r>
    </w:p>
    <w:p>
      <w:r>
        <w:t>Questo documento sintetizza fonti scientifiche e cliniche per la progettazione di un sistema consumer. Non costituisce parere veterinario, legale o licenza d'uso di dataset. Le licenze indicate devono essere ricontrollate al momento dell'acquisizione e, per uso commerciale, vanno verificati anche provenance, diritti sui media sottostanti, termini della piattaforma e consenso dei soggetti umani eventualmente presenti.</w:t>
      </w:r>
    </w:p>
    <w:p>
      <w:r>
        <w:t>Le soglie di Personal Pattern e alcune policy di prodotto sono raccomandazioni progettuali da validare empiricamente; sono marcate come PRODUCT_RULE e non come evidenza scientifica.</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8797"/>
        <w:sz w:val="16"/>
      </w:rPr>
      <w:t>DOGLY • Scientific Knowledge Base V1 • 6 settembre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B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F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B64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B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glyCallout">
    <w:name w:val="Dogly Callout"/>
    <w:pPr>
      <w:spacing w:before="120" w:after="120"/>
      <w:ind w:left="259"/>
    </w:pPr>
    <w:rPr>
      <w:rFonts w:ascii="Aptos" w:hAnsi="Aptos"/>
      <w:b/>
      <w:color w:val="153B5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