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b/>
          <w:sz w:val="48"/>
        </w:rPr>
        <w:t>滨州市惠州市 线路投递环节时限对标下钻分析报告</w:t>
      </w:r>
    </w:p>
    <w:p>
      <w:r>
        <w:rPr>
          <w:rFonts w:ascii="微软雅黑" w:hAnsi="微软雅黑"/>
          <w:sz w:val="24"/>
        </w:rPr>
        <w:t>分析日期: 2026年05月02日</w:t>
      </w:r>
    </w:p>
    <w:p>
      <w:pPr>
        <w:pStyle w:val="Heading1"/>
      </w:pPr>
      <w:r>
        <w:rPr>
          <w:rFonts w:ascii="微软雅黑" w:hAnsi="微软雅黑"/>
          <w:b/>
        </w:rPr>
        <w:t>一、全程时限对标</w:t>
      </w:r>
    </w:p>
    <w:p>
      <w:r>
        <w:rPr>
          <w:rFonts w:ascii="微软雅黑" w:hAnsi="微软雅黑"/>
          <w:sz w:val="24"/>
        </w:rPr>
        <w:t>以滨州市至惠州市线路为例，特快及竞品主要轨迹相同，均为滨州市-济南市-东莞市-惠州市，特快比竞品慢24.6小时。其中投递环节特快时限为8.1小时，竞品为3.7小时</w:t>
      </w:r>
    </w:p>
    <w:p>
      <w:pPr>
        <w:pStyle w:val="Heading1"/>
      </w:pPr>
      <w:r>
        <w:rPr>
          <w:rFonts w:ascii="微软雅黑" w:hAnsi="微软雅黑"/>
          <w:b/>
        </w:rPr>
        <w:t>二、投递环节对标</w:t>
      </w:r>
    </w:p>
    <w:p>
      <w:r>
        <w:rPr>
          <w:rFonts w:ascii="微软雅黑" w:hAnsi="微软雅黑"/>
          <w:sz w:val="24"/>
        </w:rPr>
        <w:t>投递环节方面，特快投递时限为8.1小时，竞品为3.7小时。投递环节特慢于竞品4.4小时，是需要重点优化的环节。</w:t>
      </w:r>
    </w:p>
    <w:p>
      <w:pPr>
        <w:pStyle w:val="Heading1"/>
      </w:pPr>
      <w:r>
        <w:rPr>
          <w:rFonts w:ascii="微软雅黑" w:hAnsi="微软雅黑"/>
          <w:b/>
        </w:rPr>
        <w:t>三、投递机构下钻分析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投递机构名称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样本量（件）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下段时间（小时）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妥投时间（小时）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投递时间（小时）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b/>
                <w:sz w:val="20"/>
              </w:rPr>
              <w:t>多次投递占比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永湖站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2.33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46.09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富祥站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283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6.25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9.86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2.8%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红岭站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3.54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9.34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石湾揽投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136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2.62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8.28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2.2%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黄埠站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119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5.12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8.11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/>
                <w:sz w:val="20"/>
              </w:rPr>
              <w:t>5.9%</w:t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</w:rPr>
        <w:t>四、问题机构48小时分布分析</w:t>
      </w:r>
    </w:p>
    <w:p>
      <w:pPr>
        <w:pStyle w:val="Heading2"/>
      </w:pPr>
      <w:r>
        <w:rPr>
          <w:rFonts w:ascii="微软雅黑" w:hAnsi="微软雅黑"/>
          <w:b/>
        </w:rPr>
        <w:t>永湖站 下钻分析</w:t>
      </w:r>
    </w:p>
    <w:p>
      <w:r>
        <w:rPr>
          <w:rFonts w:ascii="微软雅黑" w:hAnsi="微软雅黑"/>
          <w:sz w:val="24"/>
        </w:rPr>
        <w:t>该机构投递环节数据：样本量48件，下段时间43.75小时，妥投时间2.33小时，投递时间46.09小时，多次投递占比0.0%。</w:t>
      </w:r>
    </w:p>
    <w:p/>
    <w:p>
      <w:r>
        <w:t>永湖站 48小时到达/下段/投递分布图：</w:t>
      </w:r>
    </w:p>
    <w:p>
      <w:r>
        <w:drawing>
          <wp:inline xmlns:a="http://schemas.openxmlformats.org/drawingml/2006/main" xmlns:pic="http://schemas.openxmlformats.org/drawingml/2006/picture">
            <wp:extent cx="5486400" cy="2709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h_永湖站_综合分布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sz w:val="24"/>
        </w:rPr>
        <w:t>波峰分析：到达关键波峰在9点，占比54.2%；下段关键波峰在10点，占比6.2%；投递关键波峰在13点，占比4.2%。</w:t>
      </w:r>
    </w:p>
    <w:p>
      <w:pPr>
        <w:pStyle w:val="Heading3"/>
      </w:pPr>
      <w:r>
        <w:rPr>
          <w:rFonts w:ascii="微软雅黑" w:hAnsi="微软雅黑"/>
          <w:b/>
        </w:rPr>
        <w:t>问题诊断</w:t>
      </w:r>
    </w:p>
    <w:p>
      <w:r>
        <w:rPr>
          <w:rFonts w:ascii="微软雅黑" w:hAnsi="微软雅黑"/>
          <w:sz w:val="24"/>
        </w:rPr>
        <w:t>永湖站投递时间长达46.09小时，主要原因分析：</w:t>
      </w:r>
    </w:p>
    <w:p>
      <w:r>
        <w:rPr>
          <w:rFonts w:ascii="微软雅黑" w:hAnsi="微软雅黑"/>
          <w:sz w:val="24"/>
        </w:rPr>
        <w:t>4.16666666666666%的投递集中在13点完成，但妥投时间长达2.33小时，说明投递过程耗时过长。</w:t>
      </w:r>
    </w:p>
    <w:p>
      <w:r>
        <w:rPr>
          <w:rFonts w:ascii="微软雅黑" w:hAnsi="微软雅黑"/>
          <w:sz w:val="24"/>
        </w:rPr>
        <w:t>0.0%的邮件需要多次投递，进一步拉长整体时限。</w:t>
      </w:r>
    </w:p>
    <w:p>
      <w:r>
        <w:rPr>
          <w:rFonts w:ascii="微软雅黑" w:hAnsi="微软雅黑"/>
          <w:sz w:val="24"/>
        </w:rPr>
        <w:t>下段时间较短（43.75小时），说明问题不在下段环节，而在妥投环节。</w:t>
      </w:r>
    </w:p>
    <w:p>
      <w:pPr>
        <w:pStyle w:val="Heading3"/>
      </w:pPr>
      <w:r>
        <w:rPr>
          <w:rFonts w:ascii="微软雅黑" w:hAnsi="微软雅黑"/>
          <w:b/>
        </w:rPr>
        <w:t>优化建议</w:t>
      </w:r>
    </w:p>
    <w:p>
      <w:r>
        <w:rPr>
          <w:rFonts w:ascii="微软雅黑" w:hAnsi="微软雅黑"/>
          <w:sz w:val="24"/>
        </w:rPr>
        <w:t>1. 优化投递路线，提高首次投递成功率，减少多次投递占比</w:t>
      </w:r>
    </w:p>
    <w:p>
      <w:r>
        <w:rPr>
          <w:rFonts w:ascii="微软雅黑" w:hAnsi="微软雅黑"/>
          <w:sz w:val="24"/>
        </w:rPr>
        <w:t>2. 加强客户联系确认，提前预约投递时间，避免无效投递</w:t>
      </w:r>
    </w:p>
    <w:p>
      <w:r>
        <w:rPr>
          <w:rFonts w:ascii="微软雅黑" w:hAnsi="微软雅黑"/>
          <w:sz w:val="24"/>
        </w:rPr>
        <w:t>3. 增加投递人员配置，提高单位时间投递效率</w:t>
      </w:r>
    </w:p>
    <w:p>
      <w:r>
        <w:rPr>
          <w:rFonts w:ascii="微软雅黑" w:hAnsi="微软雅黑"/>
          <w:sz w:val="24"/>
        </w:rPr>
        <w:t>4. 优化投递时间段安排，避开客户工作繁忙时段</w:t>
      </w:r>
    </w:p>
    <w:p>
      <w:pPr>
        <w:pStyle w:val="Heading1"/>
      </w:pPr>
      <w:r>
        <w:rPr>
          <w:rFonts w:ascii="微软雅黑" w:hAnsi="微软雅黑"/>
          <w:b/>
        </w:rPr>
        <w:t>五、分析总结</w:t>
      </w:r>
    </w:p>
    <w:p>
      <w:r>
        <w:rPr>
          <w:rFonts w:ascii="微软雅黑" w:hAnsi="微软雅黑"/>
          <w:sz w:val="24"/>
        </w:rPr>
        <w:t>滨州市至惠州市线路特快全程时限为77.7小时，竞品为53.1小时。特快比竞品慢24.6小时。投递环节特快为8.1小时，竞品为3.7小时。投递环节慢于竞品4.4小时。需重点关注投递环节优化，提升整体时效表现。。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