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480"/>
              <w:left w:type="dxa" w:w="600"/>
              <w:bottom w:type="dxa" w:w="480"/>
              <w:right w:type="dxa" w:w="600"/>
            </w:tcMar>
          </w:tcPr>
          <w:p>
            <w:pPr>
              <w:spacing w:before="0" w:after="120"/>
              <w:jc w:val="left"/>
            </w:pPr>
            <w:r>
              <w:rPr>
                <w:rFonts w:ascii="Arial" w:cs="Arial" w:eastAsia="Arial" w:hAnsi="Arial"/>
                <w:b/>
                <w:bCs/>
                <w:color w:val="FFFFFF"/>
                <w:sz w:val="64"/>
                <w:szCs w:val="64"/>
              </w:rPr>
              <w:t xml:space="preserve">ALERT-TO-NARRATIVE</w:t>
            </w:r>
          </w:p>
          <w:p>
            <w:pPr>
              <w:spacing w:before="0" w:after="200"/>
              <w:jc w:val="left"/>
            </w:pPr>
            <w:r>
              <w:rPr>
                <w:rFonts w:ascii="Arial" w:cs="Arial" w:eastAsia="Arial" w:hAnsi="Arial"/>
                <w:color w:val="00B4D8"/>
                <w:sz w:val="28"/>
                <w:szCs w:val="28"/>
              </w:rPr>
              <w:t xml:space="preserve">AI-Powered Incident Intelligence &amp; Stakeholder Briefing Tool</w:t>
            </w:r>
          </w:p>
          <w:p>
            <w:pPr>
              <w:spacing w:before="0" w:after="80"/>
              <w:jc w:val="left"/>
            </w:pPr>
            <w:r>
              <w:rPr>
                <w:rFonts w:ascii="Arial" w:cs="Arial" w:eastAsia="Arial" w:hAnsi="Arial"/>
                <w:color w:val="B0C4CE"/>
                <w:sz w:val="20"/>
                <w:szCs w:val="20"/>
              </w:rPr>
              <w:t xml:space="preserve">Product Requirements Document  ·  v1.0  ·  March 2026</w:t>
            </w:r>
          </w:p>
          <w:p>
            <w:pPr>
              <w:spacing w:before="0" w:after="0"/>
              <w:jc w:val="left"/>
            </w:pPr>
            <w:r>
              <w:rPr>
                <w:rFonts w:ascii="Arial" w:cs="Arial" w:eastAsia="Arial" w:hAnsi="Arial"/>
                <w:i/>
                <w:iCs/>
                <w:color w:val="B0C4CE"/>
                <w:sz w:val="19"/>
                <w:szCs w:val="19"/>
              </w:rPr>
              <w:t xml:space="preserve">Prepared for: Claude Code  ·  Primary Users: CTI Analyst (Purple / SOC / Red / D&amp;R Support)</w:t>
            </w:r>
          </w:p>
        </w:tc>
      </w:tr>
    </w:tbl>
    <w:p>
      <w:pPr>
        <w:spacing w:before="0" w:after="240"/>
      </w:pPr>
    </w:p>
    <w:p>
      <w:pPr>
        <w:pStyle w:val="Heading1"/>
        <w:spacing w:before="360" w:after="160"/>
      </w:pPr>
      <w:r>
        <w:rPr>
          <w:rFonts w:ascii="Arial" w:cs="Arial" w:eastAsia="Arial" w:hAnsi="Arial"/>
          <w:b/>
          <w:bCs/>
          <w:color w:val="0D1B2A"/>
          <w:sz w:val="36"/>
          <w:szCs w:val="36"/>
        </w:rPr>
        <w:t xml:space="preserve">1. Executive Summary</w:t>
      </w:r>
    </w:p>
    <w:p>
      <w:pPr>
        <w:spacing w:before="60" w:after="100"/>
      </w:pPr>
      <w:r>
        <w:rPr>
          <w:rFonts w:ascii="Arial" w:cs="Arial" w:eastAsia="Arial" w:hAnsi="Arial"/>
          <w:color w:val="1A1A2E"/>
          <w:sz w:val="20"/>
          <w:szCs w:val="20"/>
        </w:rPr>
        <w:t xml:space="preserve">Alert-to-Narrative (A2N) is a lightweight, self-hostable intelligence tool that transforms raw security data — SIEM alerts, log bundles, and freeform text — into structured, audience-tuned intelligence products. Built specifically for CTI analysts who serve cross-functional security teams (Purple Team, SOC, Red Team, and Detection &amp; Response), A2N eliminates the manual translation layer between technical alert data and the consumable outputs each audience requires.</w:t>
      </w:r>
    </w:p>
    <w:p>
      <w:pPr>
        <w:spacing w:before="0" w:after="80"/>
      </w:pPr>
    </w:p>
    <w:p>
      <w:pPr>
        <w:spacing w:before="60" w:after="100"/>
      </w:pPr>
      <w:r>
        <w:rPr>
          <w:rFonts w:ascii="Arial" w:cs="Arial" w:eastAsia="Arial" w:hAnsi="Arial"/>
          <w:color w:val="1A1A2E"/>
          <w:sz w:val="20"/>
          <w:szCs w:val="20"/>
        </w:rPr>
        <w:t xml:space="preserve">Powered by Claude (Anthropic), A2N produces three core outputs per analysis run:</w:t>
      </w:r>
    </w:p>
    <w:p>
      <w:pPr>
        <w:pStyle w:val="ListParagraph"/>
        <w:numPr>
          <w:ilvl w:val="0"/>
          <w:numId w:val="2"/>
        </w:numPr>
        <w:spacing w:before="40" w:after="40"/>
      </w:pPr>
      <w:r>
        <w:rPr>
          <w:rFonts w:ascii="Arial" w:cs="Arial" w:eastAsia="Arial" w:hAnsi="Arial"/>
          <w:color w:val="1A1A2E"/>
          <w:sz w:val="20"/>
          <w:szCs w:val="20"/>
        </w:rPr>
        <w:t xml:space="preserve">A MITRE ATT&amp;CK technique chain with confidence scoring and evidence tracing</w:t>
      </w:r>
    </w:p>
    <w:p>
      <w:pPr>
        <w:pStyle w:val="ListParagraph"/>
        <w:numPr>
          <w:ilvl w:val="0"/>
          <w:numId w:val="2"/>
        </w:numPr>
        <w:spacing w:before="40" w:after="40"/>
      </w:pPr>
      <w:r>
        <w:rPr>
          <w:rFonts w:ascii="Arial" w:cs="Arial" w:eastAsia="Arial" w:hAnsi="Arial"/>
          <w:color w:val="1A1A2E"/>
          <w:sz w:val="20"/>
          <w:szCs w:val="20"/>
        </w:rPr>
        <w:t xml:space="preserve">A STIX 2.1 bundle capturing threat actors, indicators, TTPs, and relationships</w:t>
      </w:r>
    </w:p>
    <w:p>
      <w:pPr>
        <w:pStyle w:val="ListParagraph"/>
        <w:numPr>
          <w:ilvl w:val="0"/>
          <w:numId w:val="2"/>
        </w:numPr>
        <w:spacing w:before="40" w:after="40"/>
      </w:pPr>
      <w:r>
        <w:rPr>
          <w:rFonts w:ascii="Arial" w:cs="Arial" w:eastAsia="Arial" w:hAnsi="Arial"/>
          <w:color w:val="1A1A2E"/>
          <w:sz w:val="20"/>
          <w:szCs w:val="20"/>
        </w:rPr>
        <w:t xml:space="preserve">A pre-formatted stakeholder email (.eml) scoped to the appropriate audience tier</w:t>
      </w:r>
    </w:p>
    <w:p>
      <w:pPr>
        <w:spacing w:before="0" w:after="80"/>
      </w:pPr>
    </w:p>
    <w:p>
      <w:pPr>
        <w:spacing w:before="60" w:after="100"/>
      </w:pPr>
      <w:r>
        <w:rPr>
          <w:rFonts w:ascii="Arial" w:cs="Arial" w:eastAsia="Arial" w:hAnsi="Arial"/>
          <w:color w:val="1A1A2E"/>
          <w:sz w:val="20"/>
          <w:szCs w:val="20"/>
        </w:rPr>
        <w:t xml:space="preserve">The tool is designed to run as a single Node.js application with no mandatory cloud dependencies beyond the Anthropic API, making it suitable for enterprise deployment behind a firewall or in air-gapped environments with a local LLM fallback.</w:t>
      </w:r>
    </w:p>
    <w:p>
      <w:pPr>
        <w:pBdr>
          <w:bottom w:val="single" w:color="00B4D8" w:sz="4" w:space="1"/>
        </w:pBdr>
        <w:spacing w:before="160" w:after="160"/>
      </w:pPr>
    </w:p>
    <w:p>
      <w:pPr>
        <w:pStyle w:val="Heading1"/>
        <w:spacing w:before="360" w:after="160"/>
      </w:pPr>
      <w:r>
        <w:rPr>
          <w:rFonts w:ascii="Arial" w:cs="Arial" w:eastAsia="Arial" w:hAnsi="Arial"/>
          <w:b/>
          <w:bCs/>
          <w:color w:val="0D1B2A"/>
          <w:sz w:val="36"/>
          <w:szCs w:val="36"/>
        </w:rPr>
        <w:t xml:space="preserve">2. Problem Statement</w:t>
      </w:r>
    </w:p>
    <w:p>
      <w:pPr>
        <w:spacing w:before="60" w:after="100"/>
      </w:pPr>
      <w:r>
        <w:rPr>
          <w:rFonts w:ascii="Arial" w:cs="Arial" w:eastAsia="Arial" w:hAnsi="Arial"/>
          <w:color w:val="1A1A2E"/>
          <w:sz w:val="20"/>
          <w:szCs w:val="20"/>
        </w:rPr>
        <w:t xml:space="preserve">CTI analysts supporting multiple internal teams face a compounding translation problem: the same incident must be communicated at different levels of technical depth, with different recommended actions, to different stakeholders — often within the same hour the alert fires.</w:t>
      </w:r>
    </w:p>
    <w:p>
      <w:pPr>
        <w:spacing w:before="0" w:after="80"/>
      </w:pPr>
    </w:p>
    <w:p>
      <w:pPr>
        <w:spacing w:before="60" w:after="100"/>
      </w:pPr>
      <w:r>
        <w:rPr>
          <w:rFonts w:ascii="Arial" w:cs="Arial" w:eastAsia="Arial" w:hAnsi="Arial"/>
          <w:color w:val="1A1A2E"/>
          <w:sz w:val="20"/>
          <w:szCs w:val="20"/>
        </w:rPr>
        <w:t xml:space="preserve">Current friction points:</w:t>
      </w:r>
    </w:p>
    <w:p>
      <w:pPr>
        <w:pStyle w:val="ListParagraph"/>
        <w:numPr>
          <w:ilvl w:val="0"/>
          <w:numId w:val="2"/>
        </w:numPr>
        <w:spacing w:before="40" w:after="40"/>
      </w:pPr>
      <w:r>
        <w:rPr>
          <w:rFonts w:ascii="Arial" w:cs="Arial" w:eastAsia="Arial" w:hAnsi="Arial"/>
          <w:b/>
          <w:bCs/>
          <w:color w:val="1A1A2E"/>
          <w:sz w:val="20"/>
          <w:szCs w:val="20"/>
        </w:rPr>
        <w:t xml:space="preserve">Manual ATT&amp;CK mapping: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Analysts read raw alerts, cross-reference ATT&amp;CK, and build technique chains by hand. A moderately complex alert can take 30–90 minutes to map accurately.</w:t>
      </w:r>
    </w:p>
    <w:p>
      <w:pPr>
        <w:pStyle w:val="ListParagraph"/>
        <w:numPr>
          <w:ilvl w:val="0"/>
          <w:numId w:val="2"/>
        </w:numPr>
        <w:spacing w:before="40" w:after="40"/>
      </w:pPr>
      <w:r>
        <w:rPr>
          <w:rFonts w:ascii="Arial" w:cs="Arial" w:eastAsia="Arial" w:hAnsi="Arial"/>
          <w:b/>
          <w:bCs/>
          <w:color w:val="1A1A2E"/>
          <w:sz w:val="20"/>
          <w:szCs w:val="20"/>
        </w:rPr>
        <w:t xml:space="preserve">Audience switching overhead: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A SOC analyst brief, a Purple Team TTP mapping, and a leadership executive summary are three separate documents written from scratch for the same event.</w:t>
      </w:r>
    </w:p>
    <w:p>
      <w:pPr>
        <w:pStyle w:val="ListParagraph"/>
        <w:numPr>
          <w:ilvl w:val="0"/>
          <w:numId w:val="2"/>
        </w:numPr>
        <w:spacing w:before="40" w:after="40"/>
      </w:pPr>
      <w:r>
        <w:rPr>
          <w:rFonts w:ascii="Arial" w:cs="Arial" w:eastAsia="Arial" w:hAnsi="Arial"/>
          <w:b/>
          <w:bCs/>
          <w:color w:val="1A1A2E"/>
          <w:sz w:val="20"/>
          <w:szCs w:val="20"/>
        </w:rPr>
        <w:t xml:space="preserve">STIX fragmentation: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Most orgs produce STIX bundles only for major incidents because the manual authoring cost is too high for routine alerts.</w:t>
      </w:r>
    </w:p>
    <w:p>
      <w:pPr>
        <w:pStyle w:val="ListParagraph"/>
        <w:numPr>
          <w:ilvl w:val="0"/>
          <w:numId w:val="2"/>
        </w:numPr>
        <w:spacing w:before="40" w:after="40"/>
      </w:pPr>
      <w:r>
        <w:rPr>
          <w:rFonts w:ascii="Arial" w:cs="Arial" w:eastAsia="Arial" w:hAnsi="Arial"/>
          <w:b/>
          <w:bCs/>
          <w:color w:val="1A1A2E"/>
          <w:sz w:val="20"/>
          <w:szCs w:val="20"/>
        </w:rPr>
        <w:t xml:space="preserve">Stakeholder email latency: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By the time a draft email is written, reviewed, and sent, the intelligence value has degraded. Stakeholders are often informed hours after initial detection.</w:t>
      </w:r>
    </w:p>
    <w:p>
      <w:pPr>
        <w:spacing w:before="0" w:after="80"/>
      </w:pPr>
    </w:p>
    <w:p>
      <w:pPr>
        <w:spacing w:before="60" w:after="100"/>
      </w:pPr>
      <w:r>
        <w:rPr>
          <w:rFonts w:ascii="Arial" w:cs="Arial" w:eastAsia="Arial" w:hAnsi="Arial"/>
          <w:color w:val="1A1A2E"/>
          <w:sz w:val="20"/>
          <w:szCs w:val="20"/>
        </w:rPr>
        <w:t xml:space="preserve">A2N directly addresses all four pain points by automating the first-pass analysis and generating all outputs simultaneously, leaving the analyst to verify, annotate, and send — rather than author from zero.</w:t>
      </w:r>
    </w:p>
    <w:p>
      <w:pPr>
        <w:pBdr>
          <w:bottom w:val="single" w:color="00B4D8" w:sz="4" w:space="1"/>
        </w:pBdr>
        <w:spacing w:before="160" w:after="160"/>
      </w:pPr>
    </w:p>
    <w:p>
      <w:pPr>
        <w:pStyle w:val="Heading1"/>
        <w:spacing w:before="360" w:after="160"/>
      </w:pPr>
      <w:r>
        <w:rPr>
          <w:rFonts w:ascii="Arial" w:cs="Arial" w:eastAsia="Arial" w:hAnsi="Arial"/>
          <w:b/>
          <w:bCs/>
          <w:color w:val="0D1B2A"/>
          <w:sz w:val="36"/>
          <w:szCs w:val="36"/>
        </w:rPr>
        <w:t xml:space="preserve">3. User Personas &amp; Audience Tiers</w:t>
      </w:r>
    </w:p>
    <w:p>
      <w:pPr>
        <w:spacing w:before="60" w:after="100"/>
      </w:pPr>
      <w:r>
        <w:rPr>
          <w:rFonts w:ascii="Arial" w:cs="Arial" w:eastAsia="Arial" w:hAnsi="Arial"/>
          <w:color w:val="1A1A2E"/>
          <w:sz w:val="20"/>
          <w:szCs w:val="20"/>
        </w:rPr>
        <w:t xml:space="preserve">A2N has one primary operator (the CTI analyst) and four output audiences. The system must understand who it is writing FOR when generating stakeholder emails, even though the analyst is the one running every analysis.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Audience</w:t>
            </w:r>
          </w:p>
        </w:tc>
        <w:tc>
          <w:tcPr>
            <w:tcW w:type="dxa" w:w="2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Technical Level</w:t>
            </w:r>
          </w:p>
        </w:tc>
        <w:tc>
          <w:tcPr>
            <w:tcW w:type="dxa" w:w="28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What They Need</w:t>
            </w:r>
          </w:p>
        </w:tc>
        <w:tc>
          <w:tcPr>
            <w:tcW w:type="dxa" w:w="27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Email Tone</w:t>
            </w:r>
          </w:p>
        </w:tc>
      </w:tr>
      <w:tr>
        <w:tc>
          <w:tcPr>
            <w:tcW w:type="dxa" w:w="16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A1A2E"/>
                <w:sz w:val="20"/>
                <w:szCs w:val="20"/>
              </w:rPr>
              <w:t xml:space="preserve">Purple Team</w:t>
            </w:r>
          </w:p>
        </w:tc>
        <w:tc>
          <w:tcPr>
            <w:tcW w:type="dxa" w:w="22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20"/>
                <w:szCs w:val="20"/>
              </w:rPr>
              <w:t xml:space="preserve">High</w:t>
            </w:r>
          </w:p>
        </w:tc>
        <w:tc>
          <w:tcPr>
            <w:tcW w:type="dxa" w:w="2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Full TTP chain, detection gap analysis, emulation recommendations</w:t>
            </w:r>
          </w:p>
        </w:tc>
        <w:tc>
          <w:tcPr>
            <w:tcW w:type="dxa" w:w="27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Technical, action-oriented, collaborative</w:t>
            </w:r>
          </w:p>
        </w:tc>
      </w:tr>
      <w:tr>
        <w:tc>
          <w:tcPr>
            <w:tcW w:type="dxa" w:w="16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A1A2E"/>
                <w:sz w:val="20"/>
                <w:szCs w:val="20"/>
              </w:rPr>
              <w:t xml:space="preserve">SOC</w:t>
            </w:r>
          </w:p>
        </w:tc>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20"/>
                <w:szCs w:val="20"/>
              </w:rPr>
              <w:t xml:space="preserve">Medium–High</w:t>
            </w:r>
          </w:p>
        </w:tc>
        <w:tc>
          <w:tcPr>
            <w:tcW w:type="dxa" w:w="28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IOCs, affected hosts, triage steps, containment priority</w:t>
            </w:r>
          </w:p>
        </w:tc>
        <w:tc>
          <w:tcPr>
            <w:tcW w:type="dxa" w:w="27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Direct, prioritized, process-oriented</w:t>
            </w:r>
          </w:p>
        </w:tc>
      </w:tr>
      <w:tr>
        <w:tc>
          <w:tcPr>
            <w:tcW w:type="dxa" w:w="16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A1A2E"/>
                <w:sz w:val="20"/>
                <w:szCs w:val="20"/>
              </w:rPr>
              <w:t xml:space="preserve">Red Team</w:t>
            </w:r>
          </w:p>
        </w:tc>
        <w:tc>
          <w:tcPr>
            <w:tcW w:type="dxa" w:w="22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20"/>
                <w:szCs w:val="20"/>
              </w:rPr>
              <w:t xml:space="preserve">High</w:t>
            </w:r>
          </w:p>
        </w:tc>
        <w:tc>
          <w:tcPr>
            <w:tcW w:type="dxa" w:w="2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Adversary TTPs, tooling, C2 patterns, exploitation paths for validation</w:t>
            </w:r>
          </w:p>
        </w:tc>
        <w:tc>
          <w:tcPr>
            <w:tcW w:type="dxa" w:w="27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Peer-level, adversary-focused, hypothesis-driven</w:t>
            </w:r>
          </w:p>
        </w:tc>
      </w:tr>
      <w:tr>
        <w:tc>
          <w:tcPr>
            <w:tcW w:type="dxa" w:w="16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A1A2E"/>
                <w:sz w:val="20"/>
                <w:szCs w:val="20"/>
              </w:rPr>
              <w:t xml:space="preserve">D&amp;R (Detection &amp; Response)</w:t>
            </w:r>
          </w:p>
        </w:tc>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20"/>
                <w:szCs w:val="20"/>
              </w:rPr>
              <w:t xml:space="preserve">Medium–High</w:t>
            </w:r>
          </w:p>
        </w:tc>
        <w:tc>
          <w:tcPr>
            <w:tcW w:type="dxa" w:w="28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Detection coverage gaps, Sigma/YARA rule recommendations, forensic pivots</w:t>
            </w:r>
          </w:p>
        </w:tc>
        <w:tc>
          <w:tcPr>
            <w:tcW w:type="dxa" w:w="27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Evidence-first, gap-focused, systematic</w:t>
            </w:r>
          </w:p>
        </w:tc>
      </w:tr>
    </w:tbl>
    <w:p>
      <w:pPr>
        <w:spacing w:before="0" w:after="160"/>
      </w:pPr>
    </w:p>
    <w:p>
      <w:pPr>
        <w:spacing w:before="200" w:after="80"/>
      </w:pPr>
      <w:r>
        <w:rPr>
          <w:rFonts w:ascii="Arial" w:cs="Arial" w:eastAsia="Arial" w:hAnsi="Arial"/>
          <w:b/>
          <w:bCs/>
          <w:color w:val="1B2A3B"/>
          <w:sz w:val="22"/>
          <w:szCs w:val="22"/>
        </w:rPr>
        <w:t xml:space="preserve">Primary Operator: CTI Analyst</w:t>
      </w:r>
    </w:p>
    <w:p>
      <w:pPr>
        <w:spacing w:before="60" w:after="100"/>
      </w:pPr>
      <w:r>
        <w:rPr>
          <w:rFonts w:ascii="Arial" w:cs="Arial" w:eastAsia="Arial" w:hAnsi="Arial"/>
          <w:color w:val="1A1A2E"/>
          <w:sz w:val="20"/>
          <w:szCs w:val="20"/>
        </w:rPr>
        <w:t xml:space="preserve">The analyst uses A2N to ingest raw data, review AI-generated outputs, annotate or correct findings, select an audience tier, and dispatch the stakeholder email. The analyst is the trust boundary — A2N generates a draft, the analyst approves and sends.</w:t>
      </w:r>
    </w:p>
    <w:p>
      <w:pPr>
        <w:pBdr>
          <w:bottom w:val="single" w:color="00B4D8" w:sz="4" w:space="1"/>
        </w:pBdr>
        <w:spacing w:before="160" w:after="160"/>
      </w:pPr>
    </w:p>
    <w:p>
      <w:pPr>
        <w:pStyle w:val="Heading1"/>
        <w:spacing w:before="360" w:after="160"/>
      </w:pPr>
      <w:r>
        <w:rPr>
          <w:rFonts w:ascii="Arial" w:cs="Arial" w:eastAsia="Arial" w:hAnsi="Arial"/>
          <w:b/>
          <w:bCs/>
          <w:color w:val="0D1B2A"/>
          <w:sz w:val="36"/>
          <w:szCs w:val="36"/>
        </w:rPr>
        <w:t xml:space="preserve">4. Core Feature Requirements</w:t>
      </w:r>
    </w:p>
    <w:p>
      <w:pPr>
        <w:pStyle w:val="Heading2"/>
        <w:spacing w:before="280" w:after="120"/>
      </w:pPr>
      <w:r>
        <w:rPr>
          <w:rFonts w:ascii="Arial" w:cs="Arial" w:eastAsia="Arial" w:hAnsi="Arial"/>
          <w:b/>
          <w:bCs/>
          <w:color w:val="0077A8"/>
          <w:sz w:val="28"/>
          <w:szCs w:val="28"/>
        </w:rPr>
        <w:t xml:space="preserve">4.1  Input Ingestion Engine</w:t>
      </w:r>
    </w:p>
    <w:p>
      <w:pPr>
        <w:spacing w:before="60" w:after="100"/>
      </w:pPr>
      <w:r>
        <w:rPr>
          <w:rFonts w:ascii="Arial" w:cs="Arial" w:eastAsia="Arial" w:hAnsi="Arial"/>
          <w:color w:val="1A1A2E"/>
          <w:sz w:val="20"/>
          <w:szCs w:val="20"/>
        </w:rPr>
        <w:t xml:space="preserve">A2N must accept intelligence data in three modalities simultaneously. The analyst may combine input types in a single analysis session (e.g., paste a SIEM alert and attach a CSV log bundle for the same incident).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Feature</w:t>
            </w:r>
          </w:p>
        </w:tc>
        <w:tc>
          <w:tcPr>
            <w:tcW w:type="dxa" w:w="61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Description / Acceptance Criteria</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SIEM Alert Paste</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Accept raw text or JSON from any SIEM (Splunk, Sentinel, QRadar, Elastic). Must tolerate malformed JSON, mixed key-value pairs, and truncated payloads. Display a normalized preview before analysis.</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Log Bundle Upload</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Accept .csv, .txt, .log, and .json file uploads up to 10 MB. Parse columns automatically. For CSV, allow the analyst to tag which columns are timestamps, hostnames, usernames, IPs, and event IDs before sending to analysis.</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Freeform Text Paste</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Accept unstructured incident notes, threat report snippets, or threat intel email body text. No preprocessing required — feed directly to Claude with appropriate prompting.</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Multi-source Session</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Allow the analyst to combine two or more input types in one session. Claude receives all inputs as a unified context block with source labels (e.g., [SIEM], [LOG], [NOTES]).</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Input Preview &amp; Edit</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Before analysis, display a parsed preview of all inputs with character/token count. Allow the analyst to redact sensitive strings (e.g., internal hostnames) with a click-to-mask UI before the data reaches the API.</w:t>
            </w:r>
          </w:p>
        </w:tc>
      </w:tr>
    </w:tbl>
    <w:p>
      <w:pPr>
        <w:spacing w:before="0" w:after="160"/>
      </w:pPr>
    </w:p>
    <w:p>
      <w:pPr>
        <w:pStyle w:val="Heading2"/>
        <w:spacing w:before="280" w:after="120"/>
      </w:pPr>
      <w:r>
        <w:rPr>
          <w:rFonts w:ascii="Arial" w:cs="Arial" w:eastAsia="Arial" w:hAnsi="Arial"/>
          <w:b/>
          <w:bCs/>
          <w:color w:val="0077A8"/>
          <w:sz w:val="28"/>
          <w:szCs w:val="28"/>
        </w:rPr>
        <w:t xml:space="preserve">4.2  MITRE ATT&amp;CK Chain Generator</w:t>
      </w:r>
    </w:p>
    <w:p>
      <w:pPr>
        <w:spacing w:before="60" w:after="100"/>
      </w:pPr>
      <w:r>
        <w:rPr>
          <w:rFonts w:ascii="Arial" w:cs="Arial" w:eastAsia="Arial" w:hAnsi="Arial"/>
          <w:color w:val="1A1A2E"/>
          <w:sz w:val="20"/>
          <w:szCs w:val="20"/>
        </w:rPr>
        <w:t xml:space="preserve">The ATT&amp;CK chain is the analytical core of A2N. It must map observed behaviors to ATT&amp;CK techniques with traceable evidence, not just label matching.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Feature</w:t>
            </w:r>
          </w:p>
        </w:tc>
        <w:tc>
          <w:tcPr>
            <w:tcW w:type="dxa" w:w="61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Description / Acceptance Criteria</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Technique Extraction</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Claude identifies techniques and sub-techniques (e.g., T1059.001 — PowerShell) from input data. Each technique must cite specific evidence from the input (quoted string or log line reference).</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Tactic Sequencing</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Techniques are ordered by ATT&amp;CK tactic phase (Reconnaissance → Initial Access → Execution → … → Impact). Present as a horizontal chain diagram (React Flow or similar) with tactic headers.</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Confidence Scoring</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Each technique node displays a confidence rating: High / Medium / Low. Claude assigns confidence based on evidence directness. Include rationale tooltip on hover.</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Sub-technique Drill-down</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Clicking a technique node expands to show: ATT&amp;CK description, the evidence extracted from input, data sources that would detect this, and recommended detection logic (plain English).</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Gap Annotation</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For each technique, Claude assesses whether a "typical enterprise" detection stack would catch it. Annotate nodes with a coverage badge: Likely Detected / Detection Gap / Unknown.</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Export: ATT&amp;CK Navigator Layer</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Export a valid ATT&amp;CK Navigator JSON layer file (.json) that can be drag-and-dropped into the MITRE ATT&amp;CK Navigator web app. Populate heat/color by confidence.</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Chain Edit Mode</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Allow the analyst to manually add, remove, or reclassify technique nodes before exporting. Changes are tracked with an "analyst override" flag in the STIX bundle.</w:t>
            </w:r>
          </w:p>
        </w:tc>
      </w:tr>
    </w:tbl>
    <w:p>
      <w:pPr>
        <w:spacing w:before="0" w:after="160"/>
      </w:pPr>
    </w:p>
    <w:p>
      <w:pPr>
        <w:pStyle w:val="Heading2"/>
        <w:spacing w:before="280" w:after="120"/>
      </w:pPr>
      <w:r>
        <w:rPr>
          <w:rFonts w:ascii="Arial" w:cs="Arial" w:eastAsia="Arial" w:hAnsi="Arial"/>
          <w:b/>
          <w:bCs/>
          <w:color w:val="0077A8"/>
          <w:sz w:val="28"/>
          <w:szCs w:val="28"/>
        </w:rPr>
        <w:t xml:space="preserve">4.3  STIX 2.1 Bundle Generator</w:t>
      </w:r>
    </w:p>
    <w:p>
      <w:pPr>
        <w:spacing w:before="60" w:after="100"/>
      </w:pPr>
      <w:r>
        <w:rPr>
          <w:rFonts w:ascii="Arial" w:cs="Arial" w:eastAsia="Arial" w:hAnsi="Arial"/>
          <w:color w:val="1A1A2E"/>
          <w:sz w:val="20"/>
          <w:szCs w:val="20"/>
        </w:rPr>
        <w:t xml:space="preserve">Every analysis run produces a standards-compliant STIX 2.1 bundle. This enables downstream ingestion into threat intel platforms (MISP, OpenCTI, ThreatConnect, etc.) without reformatting.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Feature</w:t>
            </w:r>
          </w:p>
        </w:tc>
        <w:tc>
          <w:tcPr>
            <w:tcW w:type="dxa" w:w="61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Description / Acceptance Criteria</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Bundle Composition</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Each bundle includes: identity (source org), threat-actor (if attributable), malware / tool objects (if identified), attack-pattern objects (one per ATT&amp;CK technique), indicator objects (IP, hash, domain, URL, email), observed-data, and relationships linking all objects.</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TLP Marking</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Apply TLP 2.0 markings to each object. Analyst selects bundle-level TLP (CLEAR, GREEN, AMBER, AMBER+STRICT, RED) before export. Default: TLP:AMBER.</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IOC Auto-extraction</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Claude automatically extracts and structures IOCs from inputs: IPv4/IPv6, MD5/SHA1/SHA256 hashes, domains, URLs, email addresses, file names, registry keys, user-agent strings. Tag each with source context.</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Relationship Mapping</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Generate uses, indicates, attributed-to, targets relationships automatically. Show a relationship graph preview in the UI before export.</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STIX Validation</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Run the exported bundle through a local stix2-validator check before offering the download. Display validation results (pass / warnings / errors) to the analyst.</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Export Format</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Export as .json (STIX 2.1 compliant). Filename format: A2N-STIX-{incident_id}-{YYYY-MM-DD}.json</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Analyst Annotations</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Analyst-added notes or corrections are included as note STIX objects attributed to the analyst identity, not mixed into AI-generated objects.</w:t>
            </w:r>
          </w:p>
        </w:tc>
      </w:tr>
    </w:tbl>
    <w:p>
      <w:pPr>
        <w:spacing w:before="0" w:after="160"/>
      </w:pPr>
    </w:p>
    <w:p>
      <w:pPr>
        <w:pStyle w:val="Heading2"/>
        <w:spacing w:before="280" w:after="120"/>
      </w:pPr>
      <w:r>
        <w:rPr>
          <w:rFonts w:ascii="Arial" w:cs="Arial" w:eastAsia="Arial" w:hAnsi="Arial"/>
          <w:b/>
          <w:bCs/>
          <w:color w:val="0077A8"/>
          <w:sz w:val="28"/>
          <w:szCs w:val="28"/>
        </w:rPr>
        <w:t xml:space="preserve">4.4  Stakeholder Briefing Email (.eml) Generator</w:t>
      </w:r>
    </w:p>
    <w:p>
      <w:pPr>
        <w:spacing w:before="60" w:after="100"/>
      </w:pPr>
      <w:r>
        <w:rPr>
          <w:rFonts w:ascii="Arial" w:cs="Arial" w:eastAsia="Arial" w:hAnsi="Arial"/>
          <w:color w:val="1A1A2E"/>
          <w:sz w:val="20"/>
          <w:szCs w:val="20"/>
        </w:rPr>
        <w:t xml:space="preserve">The email output is the highest-visibility deliverable — it reaches leadership, peers, and partner teams. A2N must generate audience-scoped emails that are ready to send after a 60-second analyst review, not a 20-minute rewrite.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Feature</w:t>
            </w:r>
          </w:p>
        </w:tc>
        <w:tc>
          <w:tcPr>
            <w:tcW w:type="dxa" w:w="61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Description / Acceptance Criteria</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Audience Selection</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Before generating the email, analyst selects target audience: Purple Team, SOC, Red Team, or D&amp;R. This selection gates tone, technical depth, recommended actions, and which IOCs/TTPs are included.</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Structured Email Body</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Every email follows a consistent structure: (1) Incident Summary, (2) What We Observed, (3) ATT&amp;CK Techniques Identified, (4) Affected Assets, (5) Recommended Actions for [Audience], (6) IOC Table, (7) Next Steps / Owner. Sections are labeled and scannable.</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Subject Line Generation</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Claude generates a draft subject line: [TLP:AMBER] [A2N] {ThreatCategory} | {Severity} | {YYYY-MM-DD}. Analyst can override before export.</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Severity Classification</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Claude assigns a severity level (Critical / High / Medium / Low / Informational) with rationale. Severity is embedded in the subject line and highlighted in the email header block.</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Audience-Tuned Language</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Purple Team emails include full TTP chains and emulation recommendations. SOC emails lead with containment steps and IOC watchlists. Red Team emails frame findings as adversary behavior hypotheses. D&amp;R emails lead with detection gaps and rule-writing recommendations.</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.eml Export</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Export as a standards-compliant RFC 2822 .eml file. The To: field is left blank (analyst fills in recipients). From: field is pre-populated from a configurable analyst identity in settings. MIME type: text/html with a plain-text fallback. Opens in any email client (Outlook, Thunderbird, Apple Mail).</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CC Templates</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Configurable CC/BCC lists per audience tier (e.g., always CC the SOC lead when audience = SOC). Stored in local config, not hardcoded.</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Attachments</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Optionally attach the STIX .json bundle and/or ATT&amp;CK Navigator .json layer to the .eml. Analyst toggles attachment inclusion before export.</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HTML Email Styling</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The email HTML uses an inline-CSS, dark-header table layout compatible with Outlook 2016+, Gmail, and Apple Mail. TLP color band at top (color-coded by TLP level). Severity badge. Collapsible IOC table for long lists.</w:t>
            </w:r>
          </w:p>
        </w:tc>
      </w:tr>
    </w:tbl>
    <w:p>
      <w:pPr>
        <w:spacing w:before="0" w:after="160"/>
      </w:pPr>
    </w:p>
    <w:p>
      <w:pPr>
        <w:pStyle w:val="Heading2"/>
        <w:spacing w:before="280" w:after="120"/>
      </w:pPr>
      <w:r>
        <w:rPr>
          <w:rFonts w:ascii="Arial" w:cs="Arial" w:eastAsia="Arial" w:hAnsi="Arial"/>
          <w:b/>
          <w:bCs/>
          <w:color w:val="0077A8"/>
          <w:sz w:val="28"/>
          <w:szCs w:val="28"/>
        </w:rPr>
        <w:t xml:space="preserve">4.5  Analyst Workspace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Feature</w:t>
            </w:r>
          </w:p>
        </w:tc>
        <w:tc>
          <w:tcPr>
            <w:tcW w:type="dxa" w:w="61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Description / Acceptance Criteria</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Analysis Sessions</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Each analysis run creates a named session stored in a local SQLite database. Sessions persist across app restarts. Analyst can name sessions by incident ID or free text.</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Session History</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Left-panel session list showing recent analyses with timestamp, incident name, severity badge, and audience. Click to reload any prior session.</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Diff &amp; Compare</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Select two sessions to run a side-by-side diff of ATT&amp;CK chains. Highlights new techniques, dropped techniques, and changed confidence levels. Useful for tracking campaign evolution.</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Analyst Notes</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Freeform note field per session. Notes are included in STIX note objects on export.</w:t>
            </w:r>
          </w:p>
        </w:tc>
      </w:tr>
      <w:tr>
        <w:tc>
          <w:tcPr>
            <w:tcW w:type="dxa" w:w="3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Re-run with Edits</w:t>
            </w:r>
          </w:p>
        </w:tc>
        <w:tc>
          <w:tcPr>
            <w:tcW w:type="dxa" w:w="6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Analyst can modify inputs and re-run analysis on an existing session, creating a new version (v1, v2, …) within the same session record.</w:t>
            </w:r>
          </w:p>
        </w:tc>
      </w:tr>
      <w:tr>
        <w:tc>
          <w:tcPr>
            <w:tcW w:type="dxa" w:w="3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19"/>
                <w:szCs w:val="19"/>
              </w:rPr>
              <w:t xml:space="preserve">Export Package</w:t>
            </w:r>
          </w:p>
        </w:tc>
        <w:tc>
          <w:tcPr>
            <w:tcW w:type="dxa" w:w="6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One-click "Export All" packages the ATT&amp;CK Navigator layer, STIX bundle, and .eml file into a single timestamped .zip for case management ingestion.</w:t>
            </w:r>
          </w:p>
        </w:tc>
      </w:tr>
    </w:tbl>
    <w:p>
      <w:pPr>
        <w:pBdr>
          <w:bottom w:val="single" w:color="00B4D8" w:sz="4" w:space="1"/>
        </w:pBdr>
        <w:spacing w:before="160" w:after="160"/>
      </w:pPr>
    </w:p>
    <w:p>
      <w:pPr>
        <w:pStyle w:val="Heading1"/>
        <w:spacing w:before="360" w:after="160"/>
      </w:pPr>
      <w:r>
        <w:rPr>
          <w:rFonts w:ascii="Arial" w:cs="Arial" w:eastAsia="Arial" w:hAnsi="Arial"/>
          <w:b/>
          <w:bCs/>
          <w:color w:val="0D1B2A"/>
          <w:sz w:val="36"/>
          <w:szCs w:val="36"/>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Category</w:t>
            </w:r>
          </w:p>
        </w:tc>
        <w:tc>
          <w:tcPr>
            <w:tcW w:type="dxa" w:w="71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Requirement</w:t>
            </w:r>
          </w:p>
        </w:tc>
      </w:tr>
      <w:tr>
        <w:tc>
          <w:tcPr>
            <w:tcW w:type="dxa" w:w="2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Performance</w:t>
            </w:r>
          </w:p>
        </w:tc>
        <w:tc>
          <w:tcPr>
            <w:tcW w:type="dxa" w:w="7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Analysis of a single SIEM alert (&lt; 5 KB) must complete end-to-end (API call + render) in under 30 seconds on a standard enterprise laptop. Log bundles up to 10 MB must complete within 90 seconds.</w:t>
            </w:r>
          </w:p>
        </w:tc>
      </w:tr>
      <w:tr>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Security</w:t>
            </w:r>
          </w:p>
        </w:tc>
        <w:tc>
          <w:tcPr>
            <w:tcW w:type="dxa" w:w="7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No input data is logged to disk in cleartext. API key stored in .env, never in the DB or UI. Redacted strings from the mask UI must not appear in API payloads. No analytics, telemetry, or external calls beyond the Anthropic API.</w:t>
            </w:r>
          </w:p>
        </w:tc>
      </w:tr>
      <w:tr>
        <w:tc>
          <w:tcPr>
            <w:tcW w:type="dxa" w:w="2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Privacy</w:t>
            </w:r>
          </w:p>
        </w:tc>
        <w:tc>
          <w:tcPr>
            <w:tcW w:type="dxa" w:w="7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The analyst redact tool (section 4.1) must operate client-side before any data leaves the application. Hostname, username, and IP masking must be regex-based with analyst-configurable patterns.</w:t>
            </w:r>
          </w:p>
        </w:tc>
      </w:tr>
      <w:tr>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Portability</w:t>
            </w:r>
          </w:p>
        </w:tc>
        <w:tc>
          <w:tcPr>
            <w:tcW w:type="dxa" w:w="7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Runs on Windows 10+, macOS 12+, and Ubuntu 22.04+ via Node.js 18+. Optional Docker Compose file provided for containerized deployment. No cloud hosting required.</w:t>
            </w:r>
          </w:p>
        </w:tc>
      </w:tr>
      <w:tr>
        <w:tc>
          <w:tcPr>
            <w:tcW w:type="dxa" w:w="2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Offline / Air-gap</w:t>
            </w:r>
          </w:p>
        </w:tc>
        <w:tc>
          <w:tcPr>
            <w:tcW w:type="dxa" w:w="7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The app must detect Anthropic API unavailability and offer an Ollama/LM Studio fallback for local LLM inference. Core UI and session history must be functional without any network connectivity.</w:t>
            </w:r>
          </w:p>
        </w:tc>
      </w:tr>
      <w:tr>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Accessibility</w:t>
            </w:r>
          </w:p>
        </w:tc>
        <w:tc>
          <w:tcPr>
            <w:tcW w:type="dxa" w:w="7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WCAG 2.1 AA compliance for all UI components. All ATT&amp;CK chain nodes must be keyboard-navigable. Color-coded severity badges must include text labels (not color alone).</w:t>
            </w:r>
          </w:p>
        </w:tc>
      </w:tr>
      <w:tr>
        <w:tc>
          <w:tcPr>
            <w:tcW w:type="dxa" w:w="2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Reliability</w:t>
            </w:r>
          </w:p>
        </w:tc>
        <w:tc>
          <w:tcPr>
            <w:tcW w:type="dxa" w:w="71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API call failures must be caught and surfaced with user-readable error messages. The app must never lose a session due to an API timeout — input data is preserved in the session DB before the API call is made.</w:t>
            </w:r>
          </w:p>
        </w:tc>
      </w:tr>
      <w:tr>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Auditability</w:t>
            </w:r>
          </w:p>
        </w:tc>
        <w:tc>
          <w:tcPr>
            <w:tcW w:type="dxa" w:w="71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Every analysis run is logged to a local audit table: timestamp, analyst username (from config), input hash, output filenames generated, ATT&amp;CK techniques identified. This log is append-only and not deletable from the UI.</w:t>
            </w:r>
          </w:p>
        </w:tc>
      </w:tr>
    </w:tbl>
    <w:p>
      <w:pPr>
        <w:pBdr>
          <w:bottom w:val="single" w:color="00B4D8" w:sz="4" w:space="1"/>
        </w:pBdr>
        <w:spacing w:before="160" w:after="160"/>
      </w:pPr>
    </w:p>
    <w:p>
      <w:pPr>
        <w:pStyle w:val="Heading1"/>
        <w:spacing w:before="360" w:after="160"/>
      </w:pPr>
      <w:r>
        <w:rPr>
          <w:rFonts w:ascii="Arial" w:cs="Arial" w:eastAsia="Arial" w:hAnsi="Arial"/>
          <w:b/>
          <w:bCs/>
          <w:color w:val="0D1B2A"/>
          <w:sz w:val="36"/>
          <w:szCs w:val="36"/>
        </w:rPr>
        <w:t xml:space="preserve">6. Recommended Technical Stack</w:t>
      </w:r>
    </w:p>
    <w:p>
      <w:pPr>
        <w:spacing w:before="60" w:after="100"/>
      </w:pPr>
      <w:r>
        <w:rPr>
          <w:rFonts w:ascii="Arial" w:cs="Arial" w:eastAsia="Arial" w:hAnsi="Arial"/>
          <w:color w:val="1A1A2E"/>
          <w:sz w:val="20"/>
          <w:szCs w:val="20"/>
        </w:rPr>
        <w:t xml:space="preserve">The following stack is recommended for Claude Code implementation. It balances enterprise deployability, minimal dependency surface, and speed of development.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Layer</w:t>
            </w:r>
          </w:p>
        </w:tc>
        <w:tc>
          <w:tcPr>
            <w:tcW w:type="dxa" w:w="3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Technology</w:t>
            </w:r>
          </w:p>
        </w:tc>
        <w:tc>
          <w:tcPr>
            <w:tcW w:type="dxa" w:w="39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Rationale</w:t>
            </w:r>
          </w:p>
        </w:tc>
      </w:tr>
      <w:tr>
        <w:tc>
          <w:tcPr>
            <w:tcW w:type="dxa" w:w="2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Frontend</w:t>
            </w:r>
          </w:p>
        </w:tc>
        <w:tc>
          <w:tcPr>
            <w:tcW w:type="dxa" w:w="32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React 18 + TypeScript + Vite</w:t>
            </w:r>
          </w:p>
        </w:tc>
        <w:tc>
          <w:tcPr>
            <w:tcW w:type="dxa" w:w="39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Fast dev server, TSX for type safety, small bundle</w:t>
            </w:r>
          </w:p>
        </w:tc>
      </w:tr>
      <w:tr>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UI Components</w:t>
            </w:r>
          </w:p>
        </w:tc>
        <w:tc>
          <w:tcPr>
            <w:tcW w:type="dxa" w:w="320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shadcn/ui + Tailwind CSS</w:t>
            </w:r>
          </w:p>
        </w:tc>
        <w:tc>
          <w:tcPr>
            <w:tcW w:type="dxa" w:w="39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Enterprise-appropriate aesthetics, accessible by default</w:t>
            </w:r>
          </w:p>
        </w:tc>
      </w:tr>
      <w:tr>
        <w:tc>
          <w:tcPr>
            <w:tcW w:type="dxa" w:w="2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Flow Diagram</w:t>
            </w:r>
          </w:p>
        </w:tc>
        <w:tc>
          <w:tcPr>
            <w:tcW w:type="dxa" w:w="32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React Flow (reactflow)</w:t>
            </w:r>
          </w:p>
        </w:tc>
        <w:tc>
          <w:tcPr>
            <w:tcW w:type="dxa" w:w="39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Interactive ATT&amp;CK chain visualization, keyboard nav</w:t>
            </w:r>
          </w:p>
        </w:tc>
      </w:tr>
      <w:tr>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Backend</w:t>
            </w:r>
          </w:p>
        </w:tc>
        <w:tc>
          <w:tcPr>
            <w:tcW w:type="dxa" w:w="320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Express.js (Node 18+)</w:t>
            </w:r>
          </w:p>
        </w:tc>
        <w:tc>
          <w:tcPr>
            <w:tcW w:type="dxa" w:w="39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Lightweight proxy server, rate limiting, SSRF protection</w:t>
            </w:r>
          </w:p>
        </w:tc>
      </w:tr>
      <w:tr>
        <w:tc>
          <w:tcPr>
            <w:tcW w:type="dxa" w:w="2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Database</w:t>
            </w:r>
          </w:p>
        </w:tc>
        <w:tc>
          <w:tcPr>
            <w:tcW w:type="dxa" w:w="32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SQLite via better-sqlite3</w:t>
            </w:r>
          </w:p>
        </w:tc>
        <w:tc>
          <w:tcPr>
            <w:tcW w:type="dxa" w:w="39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Zero config, file-based, no server process required</w:t>
            </w:r>
          </w:p>
        </w:tc>
      </w:tr>
      <w:tr>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AI Engine</w:t>
            </w:r>
          </w:p>
        </w:tc>
        <w:tc>
          <w:tcPr>
            <w:tcW w:type="dxa" w:w="320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Anthropic SDK (@anthropic-ai/sdk)</w:t>
            </w:r>
          </w:p>
        </w:tc>
        <w:tc>
          <w:tcPr>
            <w:tcW w:type="dxa" w:w="39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Claude claude-sonnet-4-5 for analysis; streaming for real-time render</w:t>
            </w:r>
          </w:p>
        </w:tc>
      </w:tr>
      <w:tr>
        <w:tc>
          <w:tcPr>
            <w:tcW w:type="dxa" w:w="2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STIX</w:t>
            </w:r>
          </w:p>
        </w:tc>
        <w:tc>
          <w:tcPr>
            <w:tcW w:type="dxa" w:w="32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stix2 (Python) or custom JS builder</w:t>
            </w:r>
          </w:p>
        </w:tc>
        <w:tc>
          <w:tcPr>
            <w:tcW w:type="dxa" w:w="39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Validate bundle output; stix2-validator for schema check</w:t>
            </w:r>
          </w:p>
        </w:tc>
      </w:tr>
      <w:tr>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Email Export</w:t>
            </w:r>
          </w:p>
        </w:tc>
        <w:tc>
          <w:tcPr>
            <w:tcW w:type="dxa" w:w="320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Custom .eml builder (RFC 2822)</w:t>
            </w:r>
          </w:p>
        </w:tc>
        <w:tc>
          <w:tcPr>
            <w:tcW w:type="dxa" w:w="39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No email-sending dependency; pure file generation</w:t>
            </w:r>
          </w:p>
        </w:tc>
      </w:tr>
      <w:tr>
        <w:tc>
          <w:tcPr>
            <w:tcW w:type="dxa" w:w="22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ATT&amp;CK Data</w:t>
            </w:r>
          </w:p>
        </w:tc>
        <w:tc>
          <w:tcPr>
            <w:tcW w:type="dxa" w:w="32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MITRE ATT&amp;CK STIX bundle (local cache)</w:t>
            </w:r>
          </w:p>
        </w:tc>
        <w:tc>
          <w:tcPr>
            <w:tcW w:type="dxa" w:w="39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Embed technique descriptions offline; update via CLI command</w:t>
            </w:r>
          </w:p>
        </w:tc>
      </w:tr>
      <w:tr>
        <w:tc>
          <w:tcPr>
            <w:tcW w:type="dxa" w:w="22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Packaging</w:t>
            </w:r>
          </w:p>
        </w:tc>
        <w:tc>
          <w:tcPr>
            <w:tcW w:type="dxa" w:w="320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Docker Compose (optional)</w:t>
            </w:r>
          </w:p>
        </w:tc>
        <w:tc>
          <w:tcPr>
            <w:tcW w:type="dxa" w:w="39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Single-command enterprise deployment</w:t>
            </w:r>
          </w:p>
        </w:tc>
      </w:tr>
    </w:tbl>
    <w:p>
      <w:pPr>
        <w:pBdr>
          <w:bottom w:val="single" w:color="00B4D8" w:sz="4" w:space="1"/>
        </w:pBdr>
        <w:spacing w:before="160" w:after="160"/>
      </w:pPr>
    </w:p>
    <w:p>
      <w:pPr>
        <w:pStyle w:val="Heading1"/>
        <w:spacing w:before="360" w:after="160"/>
      </w:pPr>
      <w:r>
        <w:rPr>
          <w:rFonts w:ascii="Arial" w:cs="Arial" w:eastAsia="Arial" w:hAnsi="Arial"/>
          <w:b/>
          <w:bCs/>
          <w:color w:val="0D1B2A"/>
          <w:sz w:val="36"/>
          <w:szCs w:val="36"/>
        </w:rPr>
        <w:t xml:space="preserve">7. Phased Build Roadmap &amp; Prioritization</w:t>
      </w:r>
    </w:p>
    <w:p>
      <w:pPr>
        <w:spacing w:before="60" w:after="100"/>
      </w:pPr>
      <w:r>
        <w:rPr>
          <w:rFonts w:ascii="Arial" w:cs="Arial" w:eastAsia="Arial" w:hAnsi="Arial"/>
          <w:color w:val="1A1A2E"/>
          <w:sz w:val="20"/>
          <w:szCs w:val="20"/>
        </w:rPr>
        <w:t xml:space="preserve">Features are organized into three build phases. Phase 1 produces a functional MVP in 1–2 weeks. Phases 2 and 3 add depth and enterprise integrations.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200"/>
        <w:gridCol w:w="1400"/>
        <w:gridCol w:w="1400"/>
        <w:gridCol w:w="1800"/>
      </w:tblGrid>
      <w:tr>
        <w:tc>
          <w:tcPr>
            <w:tcW w:type="dxa" w:w="35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Feature</w:t>
            </w:r>
          </w:p>
        </w:tc>
        <w:tc>
          <w:tcPr>
            <w:tcW w:type="dxa" w:w="12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Priority</w:t>
            </w:r>
          </w:p>
        </w:tc>
        <w:tc>
          <w:tcPr>
            <w:tcW w:type="dxa" w:w="14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Effort</w:t>
            </w:r>
          </w:p>
        </w:tc>
        <w:tc>
          <w:tcPr>
            <w:tcW w:type="dxa" w:w="14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Audience</w:t>
            </w:r>
          </w:p>
        </w:tc>
        <w:tc>
          <w:tcPr>
            <w:tcW w:type="dxa" w:w="18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Phase</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SIEM alert paste input</w:t>
            </w:r>
          </w:p>
        </w:tc>
        <w:tc>
          <w:tcPr>
            <w:tcW w:type="dxa" w:w="1200"/>
            <w:gridSpan w:val="1"/>
            <w:tcBorders>
              <w:top w:val="single" w:color="B0C4CE" w:sz="1"/>
              <w:left w:val="single" w:color="B0C4CE" w:sz="1"/>
              <w:bottom w:val="single" w:color="B0C4CE" w:sz="1"/>
              <w:right w:val="single" w:color="B0C4CE" w:sz="1"/>
            </w:tcBorders>
            <w:shd w:fill="D62828"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P0</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(1d)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All</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1 — MVP</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Freeform text paste input</w:t>
            </w:r>
          </w:p>
        </w:tc>
        <w:tc>
          <w:tcPr>
            <w:tcW w:type="dxa" w:w="1200"/>
            <w:gridSpan w:val="1"/>
            <w:tcBorders>
              <w:top w:val="single" w:color="B0C4CE" w:sz="1"/>
              <w:left w:val="single" w:color="B0C4CE" w:sz="1"/>
              <w:bottom w:val="single" w:color="B0C4CE" w:sz="1"/>
              <w:right w:val="single" w:color="B0C4CE" w:sz="1"/>
            </w:tcBorders>
            <w:shd w:fill="D62828"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P0</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(1d)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All</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1 — MVP</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ATT&amp;CK technique extraction + chain view</w:t>
            </w:r>
          </w:p>
        </w:tc>
        <w:tc>
          <w:tcPr>
            <w:tcW w:type="dxa" w:w="1200"/>
            <w:gridSpan w:val="1"/>
            <w:tcBorders>
              <w:top w:val="single" w:color="B0C4CE" w:sz="1"/>
              <w:left w:val="single" w:color="B0C4CE" w:sz="1"/>
              <w:bottom w:val="single" w:color="B0C4CE" w:sz="1"/>
              <w:right w:val="single" w:color="B0C4CE" w:sz="1"/>
            </w:tcBorders>
            <w:shd w:fill="D62828"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P0</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M (3d)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All</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1 — MVP</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Confidence scoring per technique</w:t>
            </w:r>
          </w:p>
        </w:tc>
        <w:tc>
          <w:tcPr>
            <w:tcW w:type="dxa" w:w="1200"/>
            <w:gridSpan w:val="1"/>
            <w:tcBorders>
              <w:top w:val="single" w:color="B0C4CE" w:sz="1"/>
              <w:left w:val="single" w:color="B0C4CE" w:sz="1"/>
              <w:bottom w:val="single" w:color="B0C4CE" w:sz="1"/>
              <w:right w:val="single" w:color="B0C4CE" w:sz="1"/>
            </w:tcBorders>
            <w:shd w:fill="D62828"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P0</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(1d)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All</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1 — MVP</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IOC auto-extraction</w:t>
            </w:r>
          </w:p>
        </w:tc>
        <w:tc>
          <w:tcPr>
            <w:tcW w:type="dxa" w:w="1200"/>
            <w:gridSpan w:val="1"/>
            <w:tcBorders>
              <w:top w:val="single" w:color="B0C4CE" w:sz="1"/>
              <w:left w:val="single" w:color="B0C4CE" w:sz="1"/>
              <w:bottom w:val="single" w:color="B0C4CE" w:sz="1"/>
              <w:right w:val="single" w:color="B0C4CE" w:sz="1"/>
            </w:tcBorders>
            <w:shd w:fill="D62828"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P0</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M (2d)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SOC / D&amp;R</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1 — MVP</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Stakeholder .eml export (all 4 audiences)</w:t>
            </w:r>
          </w:p>
        </w:tc>
        <w:tc>
          <w:tcPr>
            <w:tcW w:type="dxa" w:w="1200"/>
            <w:gridSpan w:val="1"/>
            <w:tcBorders>
              <w:top w:val="single" w:color="B0C4CE" w:sz="1"/>
              <w:left w:val="single" w:color="B0C4CE" w:sz="1"/>
              <w:bottom w:val="single" w:color="B0C4CE" w:sz="1"/>
              <w:right w:val="single" w:color="B0C4CE" w:sz="1"/>
            </w:tcBorders>
            <w:shd w:fill="D62828"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P0</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M (3d)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All</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1 — MVP</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STIX 2.1 bundle export</w:t>
            </w:r>
          </w:p>
        </w:tc>
        <w:tc>
          <w:tcPr>
            <w:tcW w:type="dxa" w:w="1200"/>
            <w:gridSpan w:val="1"/>
            <w:tcBorders>
              <w:top w:val="single" w:color="B0C4CE" w:sz="1"/>
              <w:left w:val="single" w:color="B0C4CE" w:sz="1"/>
              <w:bottom w:val="single" w:color="B0C4CE" w:sz="1"/>
              <w:right w:val="single" w:color="B0C4CE" w:sz="1"/>
            </w:tcBorders>
            <w:shd w:fill="D62828"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P0</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M (3d)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CTI / D&amp;R</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1 — MVP</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SQLite session persistence</w:t>
            </w:r>
          </w:p>
        </w:tc>
        <w:tc>
          <w:tcPr>
            <w:tcW w:type="dxa" w:w="1200"/>
            <w:gridSpan w:val="1"/>
            <w:tcBorders>
              <w:top w:val="single" w:color="B0C4CE" w:sz="1"/>
              <w:left w:val="single" w:color="B0C4CE" w:sz="1"/>
              <w:bottom w:val="single" w:color="B0C4CE" w:sz="1"/>
              <w:right w:val="single" w:color="B0C4CE" w:sz="1"/>
            </w:tcBorders>
            <w:shd w:fill="D62828"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P0</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(1d)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Analyst</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1 — MVP</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Log bundle upload (CSV/JSON/txt)</w:t>
            </w:r>
          </w:p>
        </w:tc>
        <w:tc>
          <w:tcPr>
            <w:tcW w:type="dxa" w:w="1200"/>
            <w:gridSpan w:val="1"/>
            <w:tcBorders>
              <w:top w:val="single" w:color="B0C4CE" w:sz="1"/>
              <w:left w:val="single" w:color="B0C4CE" w:sz="1"/>
              <w:bottom w:val="single" w:color="B0C4CE" w:sz="1"/>
              <w:right w:val="single" w:color="B0C4CE" w:sz="1"/>
            </w:tcBorders>
            <w:shd w:fill="F77F00"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P1</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M (2d)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SOC / D&amp;R</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2 — Full</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Input redact / mask UI</w:t>
            </w:r>
          </w:p>
        </w:tc>
        <w:tc>
          <w:tcPr>
            <w:tcW w:type="dxa" w:w="1200"/>
            <w:gridSpan w:val="1"/>
            <w:tcBorders>
              <w:top w:val="single" w:color="B0C4CE" w:sz="1"/>
              <w:left w:val="single" w:color="B0C4CE" w:sz="1"/>
              <w:bottom w:val="single" w:color="B0C4CE" w:sz="1"/>
              <w:right w:val="single" w:color="B0C4CE" w:sz="1"/>
            </w:tcBorders>
            <w:shd w:fill="F77F00"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P1</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M (2d)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All</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2 — Full</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ATT&amp;CK Navigator layer export</w:t>
            </w:r>
          </w:p>
        </w:tc>
        <w:tc>
          <w:tcPr>
            <w:tcW w:type="dxa" w:w="1200"/>
            <w:gridSpan w:val="1"/>
            <w:tcBorders>
              <w:top w:val="single" w:color="B0C4CE" w:sz="1"/>
              <w:left w:val="single" w:color="B0C4CE" w:sz="1"/>
              <w:bottom w:val="single" w:color="B0C4CE" w:sz="1"/>
              <w:right w:val="single" w:color="B0C4CE" w:sz="1"/>
            </w:tcBorders>
            <w:shd w:fill="F77F00"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P1</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(1d)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Purple / D&amp;R</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2 — Full</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Detection gap annotation</w:t>
            </w:r>
          </w:p>
        </w:tc>
        <w:tc>
          <w:tcPr>
            <w:tcW w:type="dxa" w:w="1200"/>
            <w:gridSpan w:val="1"/>
            <w:tcBorders>
              <w:top w:val="single" w:color="B0C4CE" w:sz="1"/>
              <w:left w:val="single" w:color="B0C4CE" w:sz="1"/>
              <w:bottom w:val="single" w:color="B0C4CE" w:sz="1"/>
              <w:right w:val="single" w:color="B0C4CE" w:sz="1"/>
            </w:tcBorders>
            <w:shd w:fill="F77F00"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P1</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M (2d)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Purple / D&amp;R</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2 — Full</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Chain edit mode (add/remove nodes)</w:t>
            </w:r>
          </w:p>
        </w:tc>
        <w:tc>
          <w:tcPr>
            <w:tcW w:type="dxa" w:w="1200"/>
            <w:gridSpan w:val="1"/>
            <w:tcBorders>
              <w:top w:val="single" w:color="B0C4CE" w:sz="1"/>
              <w:left w:val="single" w:color="B0C4CE" w:sz="1"/>
              <w:bottom w:val="single" w:color="B0C4CE" w:sz="1"/>
              <w:right w:val="single" w:color="B0C4CE" w:sz="1"/>
            </w:tcBorders>
            <w:shd w:fill="F77F00"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P1</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M (2d)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Analyst</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2 — Full</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STIX TLP marking + validation</w:t>
            </w:r>
          </w:p>
        </w:tc>
        <w:tc>
          <w:tcPr>
            <w:tcW w:type="dxa" w:w="1200"/>
            <w:gridSpan w:val="1"/>
            <w:tcBorders>
              <w:top w:val="single" w:color="B0C4CE" w:sz="1"/>
              <w:left w:val="single" w:color="B0C4CE" w:sz="1"/>
              <w:bottom w:val="single" w:color="B0C4CE" w:sz="1"/>
              <w:right w:val="single" w:color="B0C4CE" w:sz="1"/>
            </w:tcBorders>
            <w:shd w:fill="F77F00"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P1</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(1d)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CTI</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2 — Full</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Export All (.zip package)</w:t>
            </w:r>
          </w:p>
        </w:tc>
        <w:tc>
          <w:tcPr>
            <w:tcW w:type="dxa" w:w="1200"/>
            <w:gridSpan w:val="1"/>
            <w:tcBorders>
              <w:top w:val="single" w:color="B0C4CE" w:sz="1"/>
              <w:left w:val="single" w:color="B0C4CE" w:sz="1"/>
              <w:bottom w:val="single" w:color="B0C4CE" w:sz="1"/>
              <w:right w:val="single" w:color="B0C4CE" w:sz="1"/>
            </w:tcBorders>
            <w:shd w:fill="F77F00"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P1</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(0.5d)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Analyst</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2 — Full</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Email attachment toggle (STIX / Navigator)</w:t>
            </w:r>
          </w:p>
        </w:tc>
        <w:tc>
          <w:tcPr>
            <w:tcW w:type="dxa" w:w="1200"/>
            <w:gridSpan w:val="1"/>
            <w:tcBorders>
              <w:top w:val="single" w:color="B0C4CE" w:sz="1"/>
              <w:left w:val="single" w:color="B0C4CE" w:sz="1"/>
              <w:bottom w:val="single" w:color="B0C4CE" w:sz="1"/>
              <w:right w:val="single" w:color="B0C4CE" w:sz="1"/>
            </w:tcBorders>
            <w:shd w:fill="F77F00"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P1</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(0.5d)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Analyst</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2 — Full</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Session diff &amp; compare</w:t>
            </w:r>
          </w:p>
        </w:tc>
        <w:tc>
          <w:tcPr>
            <w:tcW w:type="dxa" w:w="1200"/>
            <w:gridSpan w:val="1"/>
            <w:tcBorders>
              <w:top w:val="single" w:color="B0C4CE" w:sz="1"/>
              <w:left w:val="single" w:color="B0C4CE" w:sz="1"/>
              <w:bottom w:val="single" w:color="B0C4CE" w:sz="1"/>
              <w:right w:val="single" w:color="B0C4CE" w:sz="1"/>
            </w:tcBorders>
            <w:shd w:fill="2D6A4F"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P2</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L (3d)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CTI</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3 — Advanced</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Ollama / LM Studio fallback</w:t>
            </w:r>
          </w:p>
        </w:tc>
        <w:tc>
          <w:tcPr>
            <w:tcW w:type="dxa" w:w="1200"/>
            <w:gridSpan w:val="1"/>
            <w:tcBorders>
              <w:top w:val="single" w:color="B0C4CE" w:sz="1"/>
              <w:left w:val="single" w:color="B0C4CE" w:sz="1"/>
              <w:bottom w:val="single" w:color="B0C4CE" w:sz="1"/>
              <w:right w:val="single" w:color="B0C4CE" w:sz="1"/>
            </w:tcBorders>
            <w:shd w:fill="2D6A4F"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P2</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M (2d)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All</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3 — Advanced</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MISP / OpenCTI push integration</w:t>
            </w:r>
          </w:p>
        </w:tc>
        <w:tc>
          <w:tcPr>
            <w:tcW w:type="dxa" w:w="1200"/>
            <w:gridSpan w:val="1"/>
            <w:tcBorders>
              <w:top w:val="single" w:color="B0C4CE" w:sz="1"/>
              <w:left w:val="single" w:color="B0C4CE" w:sz="1"/>
              <w:bottom w:val="single" w:color="B0C4CE" w:sz="1"/>
              <w:right w:val="single" w:color="B0C4CE" w:sz="1"/>
            </w:tcBorders>
            <w:shd w:fill="2D6A4F"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P2</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L (4d)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CTI</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3 — Advanced</w:t>
            </w:r>
          </w:p>
        </w:tc>
      </w:tr>
      <w:tr>
        <w:tc>
          <w:tcPr>
            <w:tcW w:type="dxa" w:w="356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Configurable CC/BCC per audience</w:t>
            </w:r>
          </w:p>
        </w:tc>
        <w:tc>
          <w:tcPr>
            <w:tcW w:type="dxa" w:w="1200"/>
            <w:gridSpan w:val="1"/>
            <w:tcBorders>
              <w:top w:val="single" w:color="B0C4CE" w:sz="1"/>
              <w:left w:val="single" w:color="B0C4CE" w:sz="1"/>
              <w:bottom w:val="single" w:color="B0C4CE" w:sz="1"/>
              <w:right w:val="single" w:color="B0C4CE" w:sz="1"/>
            </w:tcBorders>
            <w:shd w:fill="2D6A4F"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P2</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(0.5d)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Analyst</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3 — Advanced</w:t>
            </w:r>
          </w:p>
        </w:tc>
      </w:tr>
      <w:tr>
        <w:tc>
          <w:tcPr>
            <w:tcW w:type="dxa" w:w="356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Audit log viewer UI</w:t>
            </w:r>
          </w:p>
        </w:tc>
        <w:tc>
          <w:tcPr>
            <w:tcW w:type="dxa" w:w="1200"/>
            <w:gridSpan w:val="1"/>
            <w:tcBorders>
              <w:top w:val="single" w:color="B0C4CE" w:sz="1"/>
              <w:left w:val="single" w:color="B0C4CE" w:sz="1"/>
              <w:bottom w:val="single" w:color="B0C4CE" w:sz="1"/>
              <w:right w:val="single" w:color="B0C4CE" w:sz="1"/>
            </w:tcBorders>
            <w:shd w:fill="2D6A4F"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18"/>
                <w:szCs w:val="18"/>
              </w:rPr>
              <w:t xml:space="preserve">P2</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S (1d)</w:t>
            </w:r>
          </w:p>
        </w:tc>
        <w:tc>
          <w:tcPr>
            <w:tcW w:type="dxa" w:w="14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Analyst</w:t>
            </w:r>
          </w:p>
        </w:tc>
        <w:tc>
          <w:tcPr>
            <w:tcW w:type="dxa" w:w="18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1A1A2E"/>
                <w:sz w:val="18"/>
                <w:szCs w:val="18"/>
              </w:rPr>
              <w:t xml:space="preserve">Phase 3 — Advanced</w:t>
            </w:r>
          </w:p>
        </w:tc>
      </w:tr>
    </w:tbl>
    <w:p>
      <w:pPr>
        <w:pBdr>
          <w:bottom w:val="single" w:color="00B4D8" w:sz="4" w:space="1"/>
        </w:pBdr>
        <w:spacing w:before="160" w:after="160"/>
      </w:pPr>
    </w:p>
    <w:p>
      <w:pPr>
        <w:pStyle w:val="Heading1"/>
        <w:spacing w:before="360" w:after="160"/>
      </w:pPr>
      <w:r>
        <w:rPr>
          <w:rFonts w:ascii="Arial" w:cs="Arial" w:eastAsia="Arial" w:hAnsi="Arial"/>
          <w:b/>
          <w:bCs/>
          <w:color w:val="0D1B2A"/>
          <w:sz w:val="36"/>
          <w:szCs w:val="36"/>
        </w:rPr>
        <w:t xml:space="preserve">8. Claude Prompting Specification</w:t>
      </w:r>
    </w:p>
    <w:p>
      <w:pPr>
        <w:spacing w:before="60" w:after="100"/>
      </w:pPr>
      <w:r>
        <w:rPr>
          <w:rFonts w:ascii="Arial" w:cs="Arial" w:eastAsia="Arial" w:hAnsi="Arial"/>
          <w:color w:val="1A1A2E"/>
          <w:sz w:val="20"/>
          <w:szCs w:val="20"/>
        </w:rPr>
        <w:t xml:space="preserve">This section defines the prompting architecture Claude Code should implement. These are not UI strings — they are system-level prompt templates that drive A2N's analysis quality.</w:t>
      </w:r>
    </w:p>
    <w:p>
      <w:pPr>
        <w:spacing w:before="0" w:after="120"/>
      </w:pPr>
    </w:p>
    <w:p>
      <w:pPr>
        <w:spacing w:before="200" w:after="80"/>
      </w:pPr>
      <w:r>
        <w:rPr>
          <w:rFonts w:ascii="Arial" w:cs="Arial" w:eastAsia="Arial" w:hAnsi="Arial"/>
          <w:b/>
          <w:bCs/>
          <w:color w:val="1B2A3B"/>
          <w:sz w:val="22"/>
          <w:szCs w:val="22"/>
        </w:rPr>
        <w:t xml:space="preserve">8.1  System Prompt (all analysis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4CE" w:sz="1"/>
              <w:left w:val="single" w:color="B0C4CE" w:sz="1"/>
              <w:bottom w:val="single" w:color="B0C4CE" w:sz="1"/>
              <w:right w:val="single" w:color="B0C4CE" w:sz="1"/>
            </w:tcBorders>
            <w:shd w:fill="0D1B2A" w:val="clear"/>
            <w:tcMar>
              <w:top w:type="dxa" w:w="200"/>
              <w:left w:type="dxa" w:w="240"/>
              <w:bottom w:type="dxa" w:w="200"/>
              <w:right w:type="dxa" w:w="240"/>
            </w:tcMar>
          </w:tcPr>
          <w:p>
            <w:r>
              <w:rPr>
                <w:rFonts w:ascii="Courier New" w:cs="Courier New" w:eastAsia="Courier New" w:hAnsi="Courier New"/>
                <w:color w:val="00B4D8"/>
                <w:sz w:val="19"/>
                <w:szCs w:val="19"/>
              </w:rPr>
              <w:t xml:space="preserve">You are a senior cyber threat intelligence analyst with deep expertise in the MITRE ATT&amp;CK framework, STIX 2.1, and enterprise security operations. You support Purple Team, SOC, Red Team, and Detection &amp; Response functions.</w:t>
            </w:r>
          </w:p>
          <w:p>
            <w:r>
              <w:rPr>
                <w:rFonts w:ascii="Courier New" w:cs="Courier New" w:eastAsia="Courier New" w:hAnsi="Courier New"/>
                <w:sz w:val="16"/>
                <w:szCs w:val="16"/>
              </w:rPr>
              <w:t xml:space="preserve"> </w:t>
            </w:r>
          </w:p>
          <w:p>
            <w:r>
              <w:rPr>
                <w:rFonts w:ascii="Courier New" w:cs="Courier New" w:eastAsia="Courier New" w:hAnsi="Courier New"/>
                <w:color w:val="FFFFFF"/>
                <w:sz w:val="19"/>
                <w:szCs w:val="19"/>
              </w:rPr>
              <w:t xml:space="preserve">When analyzing security data, you:</w:t>
            </w:r>
          </w:p>
          <w:p>
            <w:r>
              <w:rPr>
                <w:rFonts w:ascii="Courier New" w:cs="Courier New" w:eastAsia="Courier New" w:hAnsi="Courier New"/>
                <w:color w:val="B0C4CE"/>
                <w:sz w:val="19"/>
                <w:szCs w:val="19"/>
              </w:rPr>
              <w:t xml:space="preserve">  1. Extract observable behaviors and map them to ATT&amp;CK techniques with specific evidence citations</w:t>
            </w:r>
          </w:p>
          <w:p>
            <w:r>
              <w:rPr>
                <w:rFonts w:ascii="Courier New" w:cs="Courier New" w:eastAsia="Courier New" w:hAnsi="Courier New"/>
                <w:color w:val="B0C4CE"/>
                <w:sz w:val="19"/>
                <w:szCs w:val="19"/>
              </w:rPr>
              <w:t xml:space="preserve">  2. Assign confidence levels (High/Medium/Low) based on evidence directness</w:t>
            </w:r>
          </w:p>
          <w:p>
            <w:r>
              <w:rPr>
                <w:rFonts w:ascii="Courier New" w:cs="Courier New" w:eastAsia="Courier New" w:hAnsi="Courier New"/>
                <w:color w:val="B0C4CE"/>
                <w:sz w:val="19"/>
                <w:szCs w:val="19"/>
              </w:rPr>
              <w:t xml:space="preserve">  3. Extract and structure all IOCs</w:t>
            </w:r>
          </w:p>
          <w:p>
            <w:r>
              <w:rPr>
                <w:rFonts w:ascii="Courier New" w:cs="Courier New" w:eastAsia="Courier New" w:hAnsi="Courier New"/>
                <w:color w:val="B0C4CE"/>
                <w:sz w:val="19"/>
                <w:szCs w:val="19"/>
              </w:rPr>
              <w:t xml:space="preserve">  4. Assess detection coverage gaps</w:t>
            </w:r>
          </w:p>
          <w:p>
            <w:r>
              <w:rPr>
                <w:rFonts w:ascii="Courier New" w:cs="Courier New" w:eastAsia="Courier New" w:hAnsi="Courier New"/>
                <w:color w:val="B0C4CE"/>
                <w:sz w:val="19"/>
                <w:szCs w:val="19"/>
              </w:rPr>
              <w:t xml:space="preserve">  5. Generate audience-appropriate communications</w:t>
            </w:r>
          </w:p>
          <w:p>
            <w:r>
              <w:rPr>
                <w:rFonts w:ascii="Courier New" w:cs="Courier New" w:eastAsia="Courier New" w:hAnsi="Courier New"/>
                <w:sz w:val="16"/>
                <w:szCs w:val="16"/>
              </w:rPr>
              <w:t xml:space="preserve"> </w:t>
            </w:r>
          </w:p>
          <w:p>
            <w:r>
              <w:rPr>
                <w:rFonts w:ascii="Courier New" w:cs="Courier New" w:eastAsia="Courier New" w:hAnsi="Courier New"/>
                <w:color w:val="F77F00"/>
                <w:sz w:val="19"/>
                <w:szCs w:val="19"/>
              </w:rPr>
              <w:t xml:space="preserve">Always respond in valid JSON matching the schema provided. Never hallucinate technique IDs — if uncertain, use Low confidence and note the ambiguity.</w:t>
            </w:r>
          </w:p>
        </w:tc>
      </w:tr>
    </w:tbl>
    <w:p>
      <w:pPr>
        <w:spacing w:before="0" w:after="160"/>
      </w:pPr>
    </w:p>
    <w:p>
      <w:pPr>
        <w:spacing w:before="200" w:after="80"/>
      </w:pPr>
      <w:r>
        <w:rPr>
          <w:rFonts w:ascii="Arial" w:cs="Arial" w:eastAsia="Arial" w:hAnsi="Arial"/>
          <w:b/>
          <w:bCs/>
          <w:color w:val="1B2A3B"/>
          <w:sz w:val="22"/>
          <w:szCs w:val="22"/>
        </w:rPr>
        <w:t xml:space="preserve">8.2  Analysis Output JSON Schema</w:t>
      </w:r>
    </w:p>
    <w:p>
      <w:pPr>
        <w:spacing w:before="60" w:after="100"/>
      </w:pPr>
      <w:r>
        <w:rPr>
          <w:rFonts w:ascii="Arial" w:cs="Arial" w:eastAsia="Arial" w:hAnsi="Arial"/>
          <w:color w:val="1A1A2E"/>
          <w:sz w:val="20"/>
          <w:szCs w:val="20"/>
        </w:rPr>
        <w:t xml:space="preserve">Claude Code must implement a structured output schema for Claude responses. All analysis calls return a single JSON object with the following top-level keys:</w:t>
      </w:r>
    </w:p>
    <w:p>
      <w:pPr>
        <w:spacing w:before="0" w:after="80"/>
      </w:pPr>
    </w:p>
    <w:p>
      <w:pPr>
        <w:pStyle w:val="ListParagraph"/>
        <w:numPr>
          <w:ilvl w:val="0"/>
          <w:numId w:val="2"/>
        </w:numPr>
        <w:spacing w:before="40" w:after="40"/>
      </w:pPr>
      <w:r>
        <w:rPr>
          <w:rFonts w:ascii="Arial" w:cs="Arial" w:eastAsia="Arial" w:hAnsi="Arial"/>
          <w:b/>
          <w:bCs/>
          <w:color w:val="1A1A2E"/>
          <w:sz w:val="20"/>
          <w:szCs w:val="20"/>
        </w:rPr>
        <w:t xml:space="preserve">incident_summary: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 title, severity, confidence, description, analyst_notes }</w:t>
      </w:r>
    </w:p>
    <w:p>
      <w:pPr>
        <w:pStyle w:val="ListParagraph"/>
        <w:numPr>
          <w:ilvl w:val="0"/>
          <w:numId w:val="2"/>
        </w:numPr>
        <w:spacing w:before="40" w:after="40"/>
      </w:pPr>
      <w:r>
        <w:rPr>
          <w:rFonts w:ascii="Arial" w:cs="Arial" w:eastAsia="Arial" w:hAnsi="Arial"/>
          <w:b/>
          <w:bCs/>
          <w:color w:val="1A1A2E"/>
          <w:sz w:val="20"/>
          <w:szCs w:val="20"/>
        </w:rPr>
        <w:t xml:space="preserve">attack_chain: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Array of { technique_id, technique_name, tactic, sub_technique_id, sub_technique_name, evidence, confidence, detection_coverage, detection_recommendation }</w:t>
      </w:r>
    </w:p>
    <w:p>
      <w:pPr>
        <w:pStyle w:val="ListParagraph"/>
        <w:numPr>
          <w:ilvl w:val="0"/>
          <w:numId w:val="2"/>
        </w:numPr>
        <w:spacing w:before="40" w:after="40"/>
      </w:pPr>
      <w:r>
        <w:rPr>
          <w:rFonts w:ascii="Arial" w:cs="Arial" w:eastAsia="Arial" w:hAnsi="Arial"/>
          <w:b/>
          <w:bCs/>
          <w:color w:val="1A1A2E"/>
          <w:sz w:val="20"/>
          <w:szCs w:val="20"/>
        </w:rPr>
        <w:t xml:space="preserve">iocs: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Array of { type, value, context, first_seen, confidence }  — type: ipv4 | ipv6 | domain | url | md5 | sha1 | sha256 | email | filename | registry | user_agent</w:t>
      </w:r>
    </w:p>
    <w:p>
      <w:pPr>
        <w:pStyle w:val="ListParagraph"/>
        <w:numPr>
          <w:ilvl w:val="0"/>
          <w:numId w:val="2"/>
        </w:numPr>
        <w:spacing w:before="40" w:after="40"/>
      </w:pPr>
      <w:r>
        <w:rPr>
          <w:rFonts w:ascii="Arial" w:cs="Arial" w:eastAsia="Arial" w:hAnsi="Arial"/>
          <w:b/>
          <w:bCs/>
          <w:color w:val="1A1A2E"/>
          <w:sz w:val="20"/>
          <w:szCs w:val="20"/>
        </w:rPr>
        <w:t xml:space="preserve">threat_actor: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 name, aliases, motivation, attribution_confidence }  — nullable if unknown</w:t>
      </w:r>
    </w:p>
    <w:p>
      <w:pPr>
        <w:pStyle w:val="ListParagraph"/>
        <w:numPr>
          <w:ilvl w:val="0"/>
          <w:numId w:val="2"/>
        </w:numPr>
        <w:spacing w:before="40" w:after="40"/>
      </w:pPr>
      <w:r>
        <w:rPr>
          <w:rFonts w:ascii="Arial" w:cs="Arial" w:eastAsia="Arial" w:hAnsi="Arial"/>
          <w:b/>
          <w:bCs/>
          <w:color w:val="1A1A2E"/>
          <w:sz w:val="20"/>
          <w:szCs w:val="20"/>
        </w:rPr>
        <w:t xml:space="preserve">affected_assets: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Array of { hostname, ip, role, compromise_confidence }</w:t>
      </w:r>
    </w:p>
    <w:p>
      <w:pPr>
        <w:pStyle w:val="ListParagraph"/>
        <w:numPr>
          <w:ilvl w:val="0"/>
          <w:numId w:val="2"/>
        </w:numPr>
        <w:spacing w:before="40" w:after="40"/>
      </w:pPr>
      <w:r>
        <w:rPr>
          <w:rFonts w:ascii="Arial" w:cs="Arial" w:eastAsia="Arial" w:hAnsi="Arial"/>
          <w:b/>
          <w:bCs/>
          <w:color w:val="1A1A2E"/>
          <w:sz w:val="20"/>
          <w:szCs w:val="20"/>
        </w:rPr>
        <w:t xml:space="preserve">email_content: </w:t>
      </w:r>
      <w:r>
        <w:rPr>
          <w:rFonts w:ascii="Arial" w:cs="Arial" w:eastAsia="Arial" w:hAnsi="Arial"/>
          <w:color w:val="1A1A2E"/>
          <w:sz w:val="20"/>
          <w:szCs w:val="20"/>
        </w:rPr>
        <w:t xml:space="preserve"/>
      </w:r>
    </w:p>
    <w:p>
      <w:pPr>
        <w:pStyle w:val="ListParagraph"/>
        <w:numPr>
          <w:ilvl w:val="0"/>
          <w:numId w:val="3"/>
        </w:numPr>
        <w:spacing w:before="30" w:after="30"/>
      </w:pPr>
      <w:r>
        <w:rPr>
          <w:rFonts w:ascii="Arial" w:cs="Arial" w:eastAsia="Arial" w:hAnsi="Arial"/>
          <w:color w:val="3A4A5A"/>
          <w:sz w:val="19"/>
          <w:szCs w:val="19"/>
        </w:rPr>
        <w:t xml:space="preserve">{ subject, severity_badge, summary, observations, techniques_table, affected_assets, recommended_actions, ioc_table, next_steps }  — generated per audience tier</w:t>
      </w:r>
    </w:p>
    <w:p>
      <w:pPr>
        <w:spacing w:before="0" w:after="160"/>
      </w:pPr>
    </w:p>
    <w:p>
      <w:pPr>
        <w:spacing w:before="200" w:after="80"/>
      </w:pPr>
      <w:r>
        <w:rPr>
          <w:rFonts w:ascii="Arial" w:cs="Arial" w:eastAsia="Arial" w:hAnsi="Arial"/>
          <w:b/>
          <w:bCs/>
          <w:color w:val="1B2A3B"/>
          <w:sz w:val="22"/>
          <w:szCs w:val="22"/>
        </w:rPr>
        <w:t xml:space="preserve">8.3  Audience-Scoped Email Prompting</w:t>
      </w:r>
    </w:p>
    <w:p>
      <w:pPr>
        <w:spacing w:before="60" w:after="100"/>
      </w:pPr>
      <w:r>
        <w:rPr>
          <w:rFonts w:ascii="Arial" w:cs="Arial" w:eastAsia="Arial" w:hAnsi="Arial"/>
          <w:color w:val="1A1A2E"/>
          <w:sz w:val="20"/>
          <w:szCs w:val="20"/>
        </w:rPr>
        <w:t xml:space="preserve">The email generation prompt must include an audience_tier parameter that adjusts Claude's output style and content depth. Each tier maps to a distinct prompt variant:</w:t>
      </w:r>
    </w:p>
    <w:p>
      <w:pPr>
        <w:spacing w:before="0" w:after="80"/>
      </w:pPr>
    </w:p>
    <w:p>
      <w:pPr>
        <w:pStyle w:val="ListParagraph"/>
        <w:numPr>
          <w:ilvl w:val="0"/>
          <w:numId w:val="2"/>
        </w:numPr>
        <w:spacing w:before="40" w:after="40"/>
      </w:pPr>
      <w:r>
        <w:rPr>
          <w:rFonts w:ascii="Arial" w:cs="Arial" w:eastAsia="Arial" w:hAnsi="Arial"/>
          <w:b/>
          <w:bCs/>
          <w:color w:val="1A1A2E"/>
          <w:sz w:val="20"/>
          <w:szCs w:val="20"/>
        </w:rPr>
        <w:t xml:space="preserve">"Focus on the full TTP chain, detection coverage gaps, and emulation recommendations. Include technique-level hunting hypotheses."</w:t>
      </w:r>
      <w:r>
        <w:rPr>
          <w:rFonts w:ascii="Arial" w:cs="Arial" w:eastAsia="Arial" w:hAnsi="Arial"/>
          <w:color w:val="1A1A2E"/>
          <w:sz w:val="20"/>
          <w:szCs w:val="20"/>
        </w:rPr>
        <w:t xml:space="preserve">Purple Team: </w:t>
      </w:r>
    </w:p>
    <w:p>
      <w:pPr>
        <w:pStyle w:val="ListParagraph"/>
        <w:numPr>
          <w:ilvl w:val="0"/>
          <w:numId w:val="2"/>
        </w:numPr>
        <w:spacing w:before="40" w:after="40"/>
      </w:pPr>
      <w:r>
        <w:rPr>
          <w:rFonts w:ascii="Arial" w:cs="Arial" w:eastAsia="Arial" w:hAnsi="Arial"/>
          <w:b/>
          <w:bCs/>
          <w:color w:val="1A1A2E"/>
          <w:sz w:val="20"/>
          <w:szCs w:val="20"/>
        </w:rPr>
        <w:t xml:space="preserve">"Lead with containment priority and triage steps. Include a watchlist-ready IOC table. Minimize attribution discussion."</w:t>
      </w:r>
      <w:r>
        <w:rPr>
          <w:rFonts w:ascii="Arial" w:cs="Arial" w:eastAsia="Arial" w:hAnsi="Arial"/>
          <w:color w:val="1A1A2E"/>
          <w:sz w:val="20"/>
          <w:szCs w:val="20"/>
        </w:rPr>
        <w:t xml:space="preserve">SOC: </w:t>
      </w:r>
    </w:p>
    <w:p>
      <w:pPr>
        <w:pStyle w:val="ListParagraph"/>
        <w:numPr>
          <w:ilvl w:val="0"/>
          <w:numId w:val="2"/>
        </w:numPr>
        <w:spacing w:before="40" w:after="40"/>
      </w:pPr>
      <w:r>
        <w:rPr>
          <w:rFonts w:ascii="Arial" w:cs="Arial" w:eastAsia="Arial" w:hAnsi="Arial"/>
          <w:b/>
          <w:bCs/>
          <w:color w:val="1A1A2E"/>
          <w:sz w:val="20"/>
          <w:szCs w:val="20"/>
        </w:rPr>
        <w:t xml:space="preserve">"Frame findings as adversary behavior patterns. Emphasize tooling, C2 infrastructure, and exploitation paths that warrant validation exercises."</w:t>
      </w:r>
      <w:r>
        <w:rPr>
          <w:rFonts w:ascii="Arial" w:cs="Arial" w:eastAsia="Arial" w:hAnsi="Arial"/>
          <w:color w:val="1A1A2E"/>
          <w:sz w:val="20"/>
          <w:szCs w:val="20"/>
        </w:rPr>
        <w:t xml:space="preserve">Red Team: </w:t>
      </w:r>
    </w:p>
    <w:p>
      <w:pPr>
        <w:pStyle w:val="ListParagraph"/>
        <w:numPr>
          <w:ilvl w:val="0"/>
          <w:numId w:val="2"/>
        </w:numPr>
        <w:spacing w:before="40" w:after="40"/>
      </w:pPr>
      <w:r>
        <w:rPr>
          <w:rFonts w:ascii="Arial" w:cs="Arial" w:eastAsia="Arial" w:hAnsi="Arial"/>
          <w:b/>
          <w:bCs/>
          <w:color w:val="1A1A2E"/>
          <w:sz w:val="20"/>
          <w:szCs w:val="20"/>
        </w:rPr>
        <w:t xml:space="preserve">"Lead with detection gaps. For each undetected technique, recommend specific log sources, Sigma rule logic, and YARA/Snort signatures where applicable."</w:t>
      </w:r>
      <w:r>
        <w:rPr>
          <w:rFonts w:ascii="Arial" w:cs="Arial" w:eastAsia="Arial" w:hAnsi="Arial"/>
          <w:color w:val="1A1A2E"/>
          <w:sz w:val="20"/>
          <w:szCs w:val="20"/>
        </w:rPr>
        <w:t xml:space="preserve">D&amp;R: </w:t>
      </w:r>
    </w:p>
    <w:p>
      <w:pPr>
        <w:pBdr>
          <w:bottom w:val="single" w:color="00B4D8" w:sz="4" w:space="1"/>
        </w:pBdr>
        <w:spacing w:before="160" w:after="160"/>
      </w:pPr>
    </w:p>
    <w:p>
      <w:pPr>
        <w:pStyle w:val="Heading1"/>
        <w:spacing w:before="360" w:after="160"/>
      </w:pPr>
      <w:r>
        <w:rPr>
          <w:rFonts w:ascii="Arial" w:cs="Arial" w:eastAsia="Arial" w:hAnsi="Arial"/>
          <w:b/>
          <w:bCs/>
          <w:color w:val="0D1B2A"/>
          <w:sz w:val="36"/>
          <w:szCs w:val="36"/>
        </w:rPr>
        <w:t xml:space="preserve">9. UI Layout Specification</w:t>
      </w:r>
    </w:p>
    <w:p>
      <w:pPr>
        <w:spacing w:before="60" w:after="100"/>
      </w:pPr>
      <w:r>
        <w:rPr>
          <w:rFonts w:ascii="Arial" w:cs="Arial" w:eastAsia="Arial" w:hAnsi="Arial"/>
          <w:color w:val="1A1A2E"/>
          <w:sz w:val="20"/>
          <w:szCs w:val="20"/>
        </w:rPr>
        <w:t xml:space="preserve">The A2N UI is a single-page application with a three-panel layout. Claude Code should implement this layout using React + shadcn/ui with a dark security aesthetic (dark navy primary, cyan accent).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Panel</w:t>
            </w:r>
          </w:p>
        </w:tc>
        <w:tc>
          <w:tcPr>
            <w:tcW w:type="dxa" w:w="400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Content</w:t>
            </w:r>
          </w:p>
        </w:tc>
        <w:tc>
          <w:tcPr>
            <w:tcW w:type="dxa" w:w="3560"/>
            <w:gridSpan w:val="1"/>
            <w:tcBorders>
              <w:top w:val="single" w:color="B0C4CE" w:sz="1"/>
              <w:left w:val="single" w:color="B0C4CE" w:sz="1"/>
              <w:bottom w:val="single" w:color="B0C4CE" w:sz="1"/>
              <w:right w:val="single" w:color="B0C4CE" w:sz="1"/>
            </w:tcBorders>
            <w:shd w:fill="0D1B2A"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19"/>
                <w:szCs w:val="19"/>
              </w:rPr>
              <w:t xml:space="preserve">Behavior</w:t>
            </w:r>
          </w:p>
        </w:tc>
      </w:tr>
      <w:tr>
        <w:tc>
          <w:tcPr>
            <w:tcW w:type="dxa" w:w="18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Left Sidebar
(260px)</w:t>
            </w:r>
          </w:p>
        </w:tc>
        <w:tc>
          <w:tcPr>
            <w:tcW w:type="dxa" w:w="40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A2N logo + version
Session list (recent 20)
New Analysis button
Settings link</w:t>
            </w:r>
          </w:p>
        </w:tc>
        <w:tc>
          <w:tcPr>
            <w:tcW w:type="dxa" w:w="35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Fixed. Sessions clickable. Active session highlighted. Collapsible on mobile.</w:t>
            </w:r>
          </w:p>
        </w:tc>
      </w:tr>
      <w:tr>
        <w:tc>
          <w:tcPr>
            <w:tcW w:type="dxa" w:w="1800"/>
            <w:gridSpan w:val="1"/>
            <w:tcBorders>
              <w:top w:val="single" w:color="B0C4CE" w:sz="1"/>
              <w:left w:val="single" w:color="B0C4CE" w:sz="1"/>
              <w:bottom w:val="single" w:color="B0C4CE" w:sz="1"/>
              <w:right w:val="single" w:color="B0C4CE" w:sz="1"/>
            </w:tcBorders>
            <w:shd w:fill="F5F9FB"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Main Canvas
(flex)</w:t>
            </w:r>
          </w:p>
        </w:tc>
        <w:tc>
          <w:tcPr>
            <w:tcW w:type="dxa" w:w="400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Input tabs (SIEM | Log Upload | Text)
Analysis trigger button
ATT&amp;CK chain visualization (React Flow)
IOC table below chain</w:t>
            </w:r>
          </w:p>
        </w:tc>
        <w:tc>
          <w:tcPr>
            <w:tcW w:type="dxa" w:w="3560"/>
            <w:gridSpan w:val="1"/>
            <w:tcBorders>
              <w:top w:val="single" w:color="B0C4CE" w:sz="1"/>
              <w:left w:val="single" w:color="B0C4CE" w:sz="1"/>
              <w:bottom w:val="single" w:color="B0C4CE" w:sz="1"/>
              <w:right w:val="single" w:color="B0C4CE" w:sz="1"/>
            </w:tcBorders>
            <w:shd w:fill="F9FBFC"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Scrollable. Chain renders as analysis streams. IOC table auto-populates. Edit mode toggle in chain header.</w:t>
            </w:r>
          </w:p>
        </w:tc>
      </w:tr>
      <w:tr>
        <w:tc>
          <w:tcPr>
            <w:tcW w:type="dxa" w:w="1800"/>
            <w:gridSpan w:val="1"/>
            <w:tcBorders>
              <w:top w:val="single" w:color="B0C4CE" w:sz="1"/>
              <w:left w:val="single" w:color="B0C4CE" w:sz="1"/>
              <w:bottom w:val="single" w:color="B0C4CE" w:sz="1"/>
              <w:right w:val="single" w:color="B0C4CE" w:sz="1"/>
            </w:tcBorders>
            <w:shd w:fill="EEF4F7" w:val="clear"/>
            <w:tcMar>
              <w:top w:type="dxa" w:w="100"/>
              <w:left w:type="dxa" w:w="140"/>
              <w:bottom w:type="dxa" w:w="100"/>
              <w:right w:type="dxa" w:w="140"/>
            </w:tcMar>
            <w:vAlign w:val="top"/>
          </w:tcPr>
          <w:p>
            <w:pPr>
              <w:jc w:val="left"/>
            </w:pPr>
            <w:r>
              <w:rPr>
                <w:rFonts w:ascii="Arial" w:cs="Arial" w:eastAsia="Arial" w:hAnsi="Arial"/>
                <w:b/>
                <w:bCs/>
                <w:i w:val="false"/>
                <w:iCs w:val="false"/>
                <w:color w:val="1B2A3B"/>
                <w:sz w:val="20"/>
                <w:szCs w:val="20"/>
              </w:rPr>
              <w:t xml:space="preserve">Right Panel
(380px)</w:t>
            </w:r>
          </w:p>
        </w:tc>
        <w:tc>
          <w:tcPr>
            <w:tcW w:type="dxa" w:w="400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2E"/>
                <w:sz w:val="19"/>
                <w:szCs w:val="19"/>
              </w:rPr>
              <w:t xml:space="preserve">Output tabs: Email | STIX | Navigator
Audience selector (dropdown)
TLP selector
Export buttons per tab
Export All (.zip) button</w:t>
            </w:r>
          </w:p>
        </w:tc>
        <w:tc>
          <w:tcPr>
            <w:tcW w:type="dxa" w:w="3560"/>
            <w:gridSpan w:val="1"/>
            <w:tcBorders>
              <w:top w:val="single" w:color="B0C4CE" w:sz="1"/>
              <w:left w:val="single" w:color="B0C4CE" w:sz="1"/>
              <w:bottom w:val="single" w:color="B0C4CE" w:sz="1"/>
              <w:right w:val="single" w:color="B0C4CE"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A4A5A"/>
                <w:sz w:val="19"/>
                <w:szCs w:val="19"/>
              </w:rPr>
              <w:t xml:space="preserve">Fixed. Audience selector gates email content. Preview renders in-panel. Export buttons download files. Attachment toggles above Export All.</w:t>
            </w:r>
          </w:p>
        </w:tc>
      </w:tr>
    </w:tbl>
    <w:p>
      <w:pPr>
        <w:pBdr>
          <w:bottom w:val="single" w:color="00B4D8" w:sz="4" w:space="1"/>
        </w:pBdr>
        <w:spacing w:before="160" w:after="160"/>
      </w:pPr>
    </w:p>
    <w:p>
      <w:pPr>
        <w:pStyle w:val="Heading1"/>
        <w:spacing w:before="360" w:after="160"/>
      </w:pPr>
      <w:r>
        <w:rPr>
          <w:rFonts w:ascii="Arial" w:cs="Arial" w:eastAsia="Arial" w:hAnsi="Arial"/>
          <w:b/>
          <w:bCs/>
          <w:color w:val="0D1B2A"/>
          <w:sz w:val="36"/>
          <w:szCs w:val="36"/>
        </w:rPr>
        <w:t xml:space="preserve">10. MVP Acceptance Criteria</w:t>
      </w:r>
    </w:p>
    <w:p>
      <w:pPr>
        <w:spacing w:before="60" w:after="100"/>
      </w:pPr>
      <w:r>
        <w:rPr>
          <w:rFonts w:ascii="Arial" w:cs="Arial" w:eastAsia="Arial" w:hAnsi="Arial"/>
          <w:color w:val="1A1A2E"/>
          <w:sz w:val="20"/>
          <w:szCs w:val="20"/>
        </w:rPr>
        <w:t xml:space="preserve">The following criteria define "done" for Phase 1. All must pass before shipping to stakeholders.</w:t>
      </w:r>
    </w:p>
    <w:p>
      <w:pPr>
        <w:spacing w:before="0" w:after="100"/>
      </w:pPr>
    </w:p>
    <w:p>
      <w:pPr>
        <w:pStyle w:val="ListParagraph"/>
        <w:numPr>
          <w:ilvl w:val="0"/>
          <w:numId w:val="2"/>
        </w:numPr>
        <w:spacing w:before="40" w:after="40"/>
      </w:pPr>
      <w:r>
        <w:rPr>
          <w:rFonts w:ascii="Arial" w:cs="Arial" w:eastAsia="Arial" w:hAnsi="Arial"/>
          <w:color w:val="1A1A2E"/>
          <w:sz w:val="20"/>
          <w:szCs w:val="20"/>
        </w:rPr>
        <w:t xml:space="preserve">An analyst can paste a raw Splunk alert, click Analyze, and see a rendered ATT&amp;CK chain with at least one mapped technique within 30 seconds.</w:t>
      </w:r>
    </w:p>
    <w:p>
      <w:pPr>
        <w:pStyle w:val="ListParagraph"/>
        <w:numPr>
          <w:ilvl w:val="0"/>
          <w:numId w:val="2"/>
        </w:numPr>
        <w:spacing w:before="40" w:after="40"/>
      </w:pPr>
      <w:r>
        <w:rPr>
          <w:rFonts w:ascii="Arial" w:cs="Arial" w:eastAsia="Arial" w:hAnsi="Arial"/>
          <w:color w:val="1A1A2E"/>
          <w:sz w:val="20"/>
          <w:szCs w:val="20"/>
        </w:rPr>
        <w:t xml:space="preserve">Every technique node displays a confidence level and at least one evidence citation sourced from the input.</w:t>
      </w:r>
    </w:p>
    <w:p>
      <w:pPr>
        <w:pStyle w:val="ListParagraph"/>
        <w:numPr>
          <w:ilvl w:val="0"/>
          <w:numId w:val="2"/>
        </w:numPr>
        <w:spacing w:before="40" w:after="40"/>
      </w:pPr>
      <w:r>
        <w:rPr>
          <w:rFonts w:ascii="Arial" w:cs="Arial" w:eastAsia="Arial" w:hAnsi="Arial"/>
          <w:color w:val="1A1A2E"/>
          <w:sz w:val="20"/>
          <w:szCs w:val="20"/>
        </w:rPr>
        <w:t xml:space="preserve">IOC auto-extraction identifies at least IPv4 addresses, SHA256 hashes, and domains from a sample alert containing all three.</w:t>
      </w:r>
    </w:p>
    <w:p>
      <w:pPr>
        <w:pStyle w:val="ListParagraph"/>
        <w:numPr>
          <w:ilvl w:val="0"/>
          <w:numId w:val="2"/>
        </w:numPr>
        <w:spacing w:before="40" w:after="40"/>
      </w:pPr>
      <w:r>
        <w:rPr>
          <w:rFonts w:ascii="Arial" w:cs="Arial" w:eastAsia="Arial" w:hAnsi="Arial"/>
          <w:color w:val="1A1A2E"/>
          <w:sz w:val="20"/>
          <w:szCs w:val="20"/>
        </w:rPr>
        <w:t xml:space="preserve">Selecting "SOC" and "Purple Team" as audience tiers produces visibly different email bodies for the same analysis input.</w:t>
      </w:r>
    </w:p>
    <w:p>
      <w:pPr>
        <w:pStyle w:val="ListParagraph"/>
        <w:numPr>
          <w:ilvl w:val="0"/>
          <w:numId w:val="2"/>
        </w:numPr>
        <w:spacing w:before="40" w:after="40"/>
      </w:pPr>
      <w:r>
        <w:rPr>
          <w:rFonts w:ascii="Arial" w:cs="Arial" w:eastAsia="Arial" w:hAnsi="Arial"/>
          <w:color w:val="1A1A2E"/>
          <w:sz w:val="20"/>
          <w:szCs w:val="20"/>
        </w:rPr>
        <w:t xml:space="preserve">The .eml file opens in Outlook, Gmail (via import), and Apple Mail without rendering errors.</w:t>
      </w:r>
    </w:p>
    <w:p>
      <w:pPr>
        <w:pStyle w:val="ListParagraph"/>
        <w:numPr>
          <w:ilvl w:val="0"/>
          <w:numId w:val="2"/>
        </w:numPr>
        <w:spacing w:before="40" w:after="40"/>
      </w:pPr>
      <w:r>
        <w:rPr>
          <w:rFonts w:ascii="Arial" w:cs="Arial" w:eastAsia="Arial" w:hAnsi="Arial"/>
          <w:color w:val="1A1A2E"/>
          <w:sz w:val="20"/>
          <w:szCs w:val="20"/>
        </w:rPr>
        <w:t xml:space="preserve">The STIX 2.1 bundle passes stix2-validator with zero schema errors.</w:t>
      </w:r>
    </w:p>
    <w:p>
      <w:pPr>
        <w:pStyle w:val="ListParagraph"/>
        <w:numPr>
          <w:ilvl w:val="0"/>
          <w:numId w:val="2"/>
        </w:numPr>
        <w:spacing w:before="40" w:after="40"/>
      </w:pPr>
      <w:r>
        <w:rPr>
          <w:rFonts w:ascii="Arial" w:cs="Arial" w:eastAsia="Arial" w:hAnsi="Arial"/>
          <w:color w:val="1A1A2E"/>
          <w:sz w:val="20"/>
          <w:szCs w:val="20"/>
        </w:rPr>
        <w:t xml:space="preserve">Sessions persist across app restarts — reopening the app shows the last 5 analyses.</w:t>
      </w:r>
    </w:p>
    <w:p>
      <w:pPr>
        <w:pStyle w:val="ListParagraph"/>
        <w:numPr>
          <w:ilvl w:val="0"/>
          <w:numId w:val="2"/>
        </w:numPr>
        <w:spacing w:before="40" w:after="40"/>
      </w:pPr>
      <w:r>
        <w:rPr>
          <w:rFonts w:ascii="Arial" w:cs="Arial" w:eastAsia="Arial" w:hAnsi="Arial"/>
          <w:color w:val="1A1A2E"/>
          <w:sz w:val="20"/>
          <w:szCs w:val="20"/>
        </w:rPr>
        <w:t xml:space="preserve">The app runs via npm run dev and npm run build on a clean Node 18 install without manual configuration beyond .env setup.</w:t>
      </w:r>
    </w:p>
    <w:p>
      <w:pPr>
        <w:spacing w:before="0" w:after="240"/>
      </w:pPr>
    </w:p>
    <w:p>
      <w:pPr>
        <w:jc w:val="center"/>
      </w:pPr>
      <w:r>
        <w:rPr>
          <w:rFonts w:ascii="Arial" w:cs="Arial" w:eastAsia="Arial" w:hAnsi="Arial"/>
          <w:i/>
          <w:iCs/>
          <w:color w:val="6B7C8D"/>
          <w:sz w:val="20"/>
          <w:szCs w:val="20"/>
        </w:rPr>
        <w:t xml:space="preserve">— End of Document —</w:t>
      </w:r>
    </w:p>
    <w:p>
      <w:pPr>
        <w:spacing w:before="0" w:after="40"/>
      </w:pP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4"/>
      </w:pBdr>
      <w:tabs>
        <w:tab w:val="right" w:pos="9026"/>
      </w:tabs>
      <w:spacing w:before="120" w:after="0"/>
    </w:pPr>
    <w:r>
      <w:rPr>
        <w:rFonts w:ascii="Arial" w:cs="Arial" w:eastAsia="Arial" w:hAnsi="Arial"/>
        <w:color w:val="6B7C8D"/>
        <w:sz w:val="17"/>
        <w:szCs w:val="17"/>
      </w:rPr>
      <w:t xml:space="preserve">© 2026 — CTI Engineering  ·  Alert-to-Narrative v1.0 PRD</w:t>
    </w:r>
    <w:r>
      <w:rPr>
        <w:rFonts w:ascii="Arial" w:cs="Arial" w:eastAsia="Arial" w:hAnsi="Arial"/>
        <w:color w:val="6B7C8D"/>
        <w:sz w:val="17"/>
        <w:szCs w:val="17"/>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6" w:space="4"/>
      </w:pBdr>
      <w:spacing w:before="0" w:after="160"/>
    </w:pPr>
    <w:r>
      <w:rPr>
        <w:rFonts w:ascii="Arial" w:cs="Arial" w:eastAsia="Arial" w:hAnsi="Arial"/>
        <w:b/>
        <w:bCs/>
        <w:color w:val="6B7C8D"/>
        <w:sz w:val="18"/>
        <w:szCs w:val="18"/>
      </w:rPr>
      <w:t xml:space="preserve">ALERT-TO-NARRATIVE (A2N)  ·  Product Requirements Document</w:t>
    </w:r>
    <w:r>
      <w:rPr>
        <w:rFonts w:ascii="Arial" w:cs="Arial" w:eastAsia="Arial" w:hAnsi="Arial"/>
        <w:color w:val="D62828"/>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077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2026-03-07T15:37:26.188Z</dcterms:created>
  <dcterms:modified xsi:type="dcterms:W3CDTF">2026-03-07T15:37:26.189Z</dcterms:modified>
</cp:coreProperties>
</file>

<file path=docProps/custom.xml><?xml version="1.0" encoding="utf-8"?>
<Properties xmlns="http://schemas.openxmlformats.org/officeDocument/2006/custom-properties" xmlns:vt="http://schemas.openxmlformats.org/officeDocument/2006/docPropsVTypes"/>
</file>