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b/>
          <w:bCs/>
          <w:sz w:val="28"/>
          <w:szCs w:val="28"/>
        </w:rPr>
        <w:t xml:space="preserve">DPR400210 – Database Programming</w:t>
      </w:r>
    </w:p>
    <w:p>
      <w:pPr>
        <w:spacing w:after="400"/>
        <w:jc w:val="center"/>
      </w:pPr>
      <w:r>
        <w:rPr>
          <w:sz w:val="24"/>
          <w:szCs w:val="24"/>
        </w:rPr>
        <w:t xml:space="preserve">Capstone Project – Phase XVI</w:t>
      </w:r>
    </w:p>
    <w:p>
      <w:pPr>
        <w:spacing w:after="100"/>
        <w:jc w:val="center"/>
      </w:pPr>
      <w:r>
        <w:rPr>
          <w:b/>
          <w:bCs/>
          <w:sz w:val="40"/>
          <w:szCs w:val="40"/>
        </w:rPr>
        <w:t xml:space="preserve">Oracle APEX Web Application</w:t>
      </w:r>
    </w:p>
    <w:p>
      <w:pPr>
        <w:spacing w:after="600"/>
        <w:jc w:val="center"/>
      </w:pPr>
      <w:r>
        <w:rPr>
          <w:i/>
          <w:iCs/>
          <w:sz w:val="26"/>
          <w:szCs w:val="26"/>
        </w:rPr>
        <w:t xml:space="preserve">Smart Agricultural Resource and Farm Operations Management System (SARFOMS)</w:t>
      </w:r>
    </w:p>
    <w:p>
      <w:pPr>
        <w:jc w:val="center"/>
      </w:pPr>
      <w:r>
        <w:rPr>
          <w:sz w:val="24"/>
          <w:szCs w:val="24"/>
        </w:rPr>
        <w:t xml:space="preserve">Student Name: Ruben King</w:t>
      </w:r>
    </w:p>
    <w:p>
      <w:pPr>
        <w:jc w:val="center"/>
      </w:pPr>
      <w:r>
        <w:rPr>
          <w:sz w:val="24"/>
          <w:szCs w:val="24"/>
        </w:rPr>
        <w:t xml:space="preserve">Student ID: 29761/2025</w:t>
      </w:r>
    </w:p>
    <w:p>
      <w:pPr>
        <w:spacing w:after="800"/>
        <w:jc w:val="center"/>
      </w:pPr>
      <w:r>
        <w:rPr>
          <w:sz w:val="24"/>
          <w:szCs w:val="24"/>
        </w:rPr>
        <w:t xml:space="preserve">Oracle Username: 29761_2025</w:t>
      </w:r>
    </w:p>
    <w:p>
      <w:r>
        <w:br w:type="page"/>
      </w:r>
    </w:p>
    <w:p>
      <w:pPr>
        <w:pStyle w:val="Heading1"/>
        <w:spacing w:after="150" w:before="300"/>
      </w:pPr>
      <w:r>
        <w:t xml:space="preserve">1. Why Oracle APEX Was Selected</w:t>
      </w:r>
    </w:p>
    <w:p>
      <w:pPr>
        <w:spacing w:after="120"/>
      </w:pPr>
      <w:r>
        <w:t xml:space="preserve">Oracle APEX was chosen over a fully separate application stack (e.g. Python/Flask, or a standalone Java front end) for three concrete reasons specific to this project, not just because it is the assignment's suggested innovation option.</w:t>
      </w:r>
    </w:p>
    <w:p>
      <w:pPr>
        <w:pStyle w:val="ListParagraph"/>
        <w:numPr>
          <w:ilvl w:val="0"/>
          <w:numId w:val="1"/>
        </w:numPr>
        <w:spacing w:after="60"/>
      </w:pPr>
      <w:r>
        <w:t xml:space="preserve">Zero impedance mismatch: APEX pages bind directly to the PL/SQL objects already built in Phases VIII–XI (procedures, functions, packages). A form's "Process" can call PKG_FARM_OPERATIONS.sp_schedule_activity directly — there is no separate ORM layer or API translation step to build or maintain.</w:t>
      </w:r>
    </w:p>
    <w:p>
      <w:pPr>
        <w:pStyle w:val="ListParagraph"/>
        <w:numPr>
          <w:ilvl w:val="0"/>
          <w:numId w:val="1"/>
        </w:numPr>
        <w:spacing w:after="60"/>
      </w:pPr>
      <w:r>
        <w:t xml:space="preserve">Views and packages become UI components almost for free: VW_FARM_DASHBOARD_SUMMARY (Phase VII) maps straight onto APEX's Cards region; VW_SERVICE_DUE_REMINDER becomes an Interactive Report with zero extra SQL.</w:t>
      </w:r>
    </w:p>
    <w:p>
      <w:pPr>
        <w:pStyle w:val="ListParagraph"/>
        <w:numPr>
          <w:ilvl w:val="0"/>
          <w:numId w:val="1"/>
        </w:numPr>
        <w:spacing w:after="60"/>
      </w:pPr>
      <w:r>
        <w:t xml:space="preserve">It runs inside the same Oracle instance as the database — there is no separate application server to provision, secure, or keep in sync with schema changes, which matters for a solo capstone project with a hard deadline.</w:t>
      </w:r>
    </w:p>
    <w:p>
      <w:pPr>
        <w:spacing w:after="120"/>
      </w:pPr>
      <w:r>
        <w:t xml:space="preserve">The trade-off, stated honestly: APEX is less flexible for highly custom, non-standard UI/UX than a bespoke React front end would be. For a management/operations tool like this one, where the priority is fast, correct data entry and clear reporting rather than a novel consumer-facing design, that trade-off favours APEX.</w:t>
      </w:r>
    </w:p>
    <w:p>
      <w:pPr>
        <w:pStyle w:val="Heading1"/>
        <w:spacing w:after="150" w:before="300"/>
      </w:pPr>
      <w:r>
        <w:t xml:space="preserve">2. Architecture and Database Integration</w:t>
      </w:r>
    </w:p>
    <w:p>
      <w:pPr>
        <w:spacing w:after="120"/>
      </w:pPr>
      <w:r>
        <w:t xml:space="preserve">The application runs entirely inside the 29761_2025 Oracle schema built in Phases V–XV. APEX pages do not duplicate any business logic already written in PL/SQL — every INSERT/UPDATE that needs validation or a side effect (e.g. creating a booking, completing a maintenance job) calls the existing procedure/package from Phase VIII/XI as an APEX "Process", rather than re-implementing that logic as a page-level APEX process. This is a deliberate architectural choice: it means the business rules are enforced identically whether a change comes from APEX, SQL Developer, or a future integration, because the rule lives once, in the database, not once in APEX and once in SQL.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5610"/>
      </w:tblGrid>
      <w:tr>
        <w:tc>
          <w:tcPr>
            <w:tcW w:type="dxa" w:w="3740"/>
            <w:shd w:fill="E8EDE3" w:val="clear"/>
            <w:vAlign w:val="center"/>
          </w:tcPr>
          <w:p>
            <w:r>
              <w:rPr>
                <w:b/>
                <w:bCs/>
                <w:sz w:val="20"/>
                <w:szCs w:val="20"/>
              </w:rPr>
              <w:t xml:space="preserve">APEX Layer</w:t>
            </w:r>
          </w:p>
        </w:tc>
        <w:tc>
          <w:tcPr>
            <w:tcW w:type="dxa" w:w="5610"/>
            <w:shd w:fill="E8EDE3" w:val="clear"/>
            <w:vAlign w:val="center"/>
          </w:tcPr>
          <w:p>
            <w:r>
              <w:rPr>
                <w:b/>
                <w:bCs/>
                <w:sz w:val="20"/>
                <w:szCs w:val="20"/>
              </w:rPr>
              <w:t xml:space="preserve">Backs onto</w:t>
            </w:r>
          </w:p>
        </w:tc>
      </w:tr>
      <w:tr>
        <w:tc>
          <w:tcPr>
            <w:tcW w:type="dxa" w:w="3740"/>
            <w:vAlign w:val="center"/>
          </w:tcPr>
          <w:p>
            <w:r>
              <w:rPr>
                <w:b w:val="false"/>
                <w:bCs w:val="false"/>
                <w:sz w:val="20"/>
                <w:szCs w:val="20"/>
              </w:rPr>
              <w:t xml:space="preserve">Interactive Reports / Cards</w:t>
            </w:r>
          </w:p>
        </w:tc>
        <w:tc>
          <w:tcPr>
            <w:tcW w:type="dxa" w:w="5610"/>
            <w:vAlign w:val="center"/>
          </w:tcPr>
          <w:p>
            <w:r>
              <w:rPr>
                <w:b w:val="false"/>
                <w:bCs w:val="false"/>
                <w:sz w:val="20"/>
                <w:szCs w:val="20"/>
              </w:rPr>
              <w:t xml:space="preserve">Phase VII Views (VW_EQUIPMENT_DETAILS, VW_FARM_DASHBOARD_SUMMARY, etc.)</w:t>
            </w:r>
          </w:p>
        </w:tc>
      </w:tr>
      <w:tr>
        <w:tc>
          <w:tcPr>
            <w:tcW w:type="dxa" w:w="3740"/>
            <w:vAlign w:val="center"/>
          </w:tcPr>
          <w:p>
            <w:r>
              <w:rPr>
                <w:b w:val="false"/>
                <w:bCs w:val="false"/>
                <w:sz w:val="20"/>
                <w:szCs w:val="20"/>
              </w:rPr>
              <w:t xml:space="preserve">Forms (Create/Edit)</w:t>
            </w:r>
          </w:p>
        </w:tc>
        <w:tc>
          <w:tcPr>
            <w:tcW w:type="dxa" w:w="5610"/>
            <w:vAlign w:val="center"/>
          </w:tcPr>
          <w:p>
            <w:r>
              <w:rPr>
                <w:b w:val="false"/>
                <w:bCs w:val="false"/>
                <w:sz w:val="20"/>
                <w:szCs w:val="20"/>
              </w:rPr>
              <w:t xml:space="preserve">Phase VIII/XI Procedures and Packages (sp_register_farmer, PKG_FARM_OPERATIONS.sp_schedule_activity, etc.)</w:t>
            </w:r>
          </w:p>
        </w:tc>
      </w:tr>
      <w:tr>
        <w:tc>
          <w:tcPr>
            <w:tcW w:type="dxa" w:w="3740"/>
            <w:vAlign w:val="center"/>
          </w:tcPr>
          <w:p>
            <w:r>
              <w:rPr>
                <w:b w:val="false"/>
                <w:bCs w:val="false"/>
                <w:sz w:val="20"/>
                <w:szCs w:val="20"/>
              </w:rPr>
              <w:t xml:space="preserve">Charts</w:t>
            </w:r>
          </w:p>
        </w:tc>
        <w:tc>
          <w:tcPr>
            <w:tcW w:type="dxa" w:w="5610"/>
            <w:vAlign w:val="center"/>
          </w:tcPr>
          <w:p>
            <w:r>
              <w:rPr>
                <w:b w:val="false"/>
                <w:bCs w:val="false"/>
                <w:sz w:val="20"/>
                <w:szCs w:val="20"/>
              </w:rPr>
              <w:t xml:space="preserve">Phase XV advanced queries (revenue trend, category demand, utilization)</w:t>
            </w:r>
          </w:p>
        </w:tc>
      </w:tr>
      <w:tr>
        <w:tc>
          <w:tcPr>
            <w:tcW w:type="dxa" w:w="3740"/>
            <w:vAlign w:val="center"/>
          </w:tcPr>
          <w:p>
            <w:r>
              <w:rPr>
                <w:b w:val="false"/>
                <w:bCs w:val="false"/>
                <w:sz w:val="20"/>
                <w:szCs w:val="20"/>
              </w:rPr>
              <w:t xml:space="preserve">Validation errors shown to user</w:t>
            </w:r>
          </w:p>
        </w:tc>
        <w:tc>
          <w:tcPr>
            <w:tcW w:type="dxa" w:w="5610"/>
            <w:vAlign w:val="center"/>
          </w:tcPr>
          <w:p>
            <w:r>
              <w:rPr>
                <w:b w:val="false"/>
                <w:bCs w:val="false"/>
                <w:sz w:val="20"/>
                <w:szCs w:val="20"/>
              </w:rPr>
              <w:t xml:space="preserve">Phase X trigger RAISE_APPLICATION_ERROR messages, surfaced by APEX automatically</w:t>
            </w:r>
          </w:p>
        </w:tc>
      </w:tr>
    </w:tbl>
    <w:p>
      <w:pPr>
        <w:spacing w:after="200"/>
      </w:pPr>
    </w:p>
    <w:p>
      <w:pPr>
        <w:pStyle w:val="Heading1"/>
        <w:spacing w:after="150" w:before="300"/>
      </w:pPr>
      <w:r>
        <w:t xml:space="preserve">3. Naming Mapping</w:t>
      </w:r>
    </w:p>
    <w:p>
      <w:pPr>
        <w:spacing w:after="120"/>
      </w:pPr>
      <w:r>
        <w:t xml:space="preserve">The requested page list uses generic farm-management terminology (Workers, Fields, Customers, Sales, Suppliers, Inventory). Our approved schema (Phases I–XV) uses different but equivalent entity names. The mapping below is applied consistently through the rest of this document, and Inventory is addressed explicitly since no such table exists in our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8"/>
        <w:gridCol w:w="5143"/>
      </w:tblGrid>
      <w:tr>
        <w:tc>
          <w:tcPr>
            <w:tcW w:type="dxa" w:w="4208"/>
            <w:shd w:fill="E8EDE3" w:val="clear"/>
            <w:vAlign w:val="center"/>
          </w:tcPr>
          <w:p>
            <w:r>
              <w:rPr>
                <w:b/>
                <w:bCs/>
                <w:sz w:val="20"/>
                <w:szCs w:val="20"/>
              </w:rPr>
              <w:t xml:space="preserve">Requested APEX Element</w:t>
            </w:r>
          </w:p>
        </w:tc>
        <w:tc>
          <w:tcPr>
            <w:tcW w:type="dxa" w:w="5143"/>
            <w:shd w:fill="E8EDE3" w:val="clear"/>
            <w:vAlign w:val="center"/>
          </w:tcPr>
          <w:p>
            <w:r>
              <w:rPr>
                <w:b/>
                <w:bCs/>
                <w:sz w:val="20"/>
                <w:szCs w:val="20"/>
              </w:rPr>
              <w:t xml:space="preserve">Built Against (SARFOMS Schema)</w:t>
            </w:r>
          </w:p>
        </w:tc>
      </w:tr>
      <w:tr>
        <w:tc>
          <w:tcPr>
            <w:tcW w:type="dxa" w:w="4208"/>
            <w:vAlign w:val="center"/>
          </w:tcPr>
          <w:p>
            <w:r>
              <w:rPr>
                <w:b w:val="false"/>
                <w:bCs w:val="false"/>
                <w:sz w:val="20"/>
                <w:szCs w:val="20"/>
              </w:rPr>
              <w:t xml:space="preserve">Workers</w:t>
            </w:r>
          </w:p>
        </w:tc>
        <w:tc>
          <w:tcPr>
            <w:tcW w:type="dxa" w:w="5143"/>
            <w:vAlign w:val="center"/>
          </w:tcPr>
          <w:p>
            <w:r>
              <w:rPr>
                <w:b w:val="false"/>
                <w:bCs w:val="false"/>
                <w:sz w:val="20"/>
                <w:szCs w:val="20"/>
              </w:rPr>
              <w:t xml:space="preserve">TECHNICIAN</w:t>
            </w:r>
          </w:p>
        </w:tc>
      </w:tr>
      <w:tr>
        <w:tc>
          <w:tcPr>
            <w:tcW w:type="dxa" w:w="4208"/>
            <w:vAlign w:val="center"/>
          </w:tcPr>
          <w:p>
            <w:r>
              <w:rPr>
                <w:b w:val="false"/>
                <w:bCs w:val="false"/>
                <w:sz w:val="20"/>
                <w:szCs w:val="20"/>
              </w:rPr>
              <w:t xml:space="preserve">Fields</w:t>
            </w:r>
          </w:p>
        </w:tc>
        <w:tc>
          <w:tcPr>
            <w:tcW w:type="dxa" w:w="5143"/>
            <w:vAlign w:val="center"/>
          </w:tcPr>
          <w:p>
            <w:r>
              <w:rPr>
                <w:b w:val="false"/>
                <w:bCs w:val="false"/>
                <w:sz w:val="20"/>
                <w:szCs w:val="20"/>
              </w:rPr>
              <w:t xml:space="preserve">FARM</w:t>
            </w:r>
          </w:p>
        </w:tc>
      </w:tr>
      <w:tr>
        <w:tc>
          <w:tcPr>
            <w:tcW w:type="dxa" w:w="4208"/>
            <w:vAlign w:val="center"/>
          </w:tcPr>
          <w:p>
            <w:r>
              <w:rPr>
                <w:b w:val="false"/>
                <w:bCs w:val="false"/>
                <w:sz w:val="20"/>
                <w:szCs w:val="20"/>
              </w:rPr>
              <w:t xml:space="preserve">Customers</w:t>
            </w:r>
          </w:p>
        </w:tc>
        <w:tc>
          <w:tcPr>
            <w:tcW w:type="dxa" w:w="5143"/>
            <w:vAlign w:val="center"/>
          </w:tcPr>
          <w:p>
            <w:r>
              <w:rPr>
                <w:b w:val="false"/>
                <w:bCs w:val="false"/>
                <w:sz w:val="20"/>
                <w:szCs w:val="20"/>
              </w:rPr>
              <w:t xml:space="preserve">FARMER</w:t>
            </w:r>
          </w:p>
        </w:tc>
      </w:tr>
      <w:tr>
        <w:tc>
          <w:tcPr>
            <w:tcW w:type="dxa" w:w="4208"/>
            <w:vAlign w:val="center"/>
          </w:tcPr>
          <w:p>
            <w:r>
              <w:rPr>
                <w:b w:val="false"/>
                <w:bCs w:val="false"/>
                <w:sz w:val="20"/>
                <w:szCs w:val="20"/>
              </w:rPr>
              <w:t xml:space="preserve">Sales</w:t>
            </w:r>
          </w:p>
        </w:tc>
        <w:tc>
          <w:tcPr>
            <w:tcW w:type="dxa" w:w="5143"/>
            <w:vAlign w:val="center"/>
          </w:tcPr>
          <w:p>
            <w:r>
              <w:rPr>
                <w:b w:val="false"/>
                <w:bCs w:val="false"/>
                <w:sz w:val="20"/>
                <w:szCs w:val="20"/>
              </w:rPr>
              <w:t xml:space="preserve">BOOKING + PAYMENT</w:t>
            </w:r>
          </w:p>
        </w:tc>
      </w:tr>
      <w:tr>
        <w:tc>
          <w:tcPr>
            <w:tcW w:type="dxa" w:w="4208"/>
            <w:vAlign w:val="center"/>
          </w:tcPr>
          <w:p>
            <w:r>
              <w:rPr>
                <w:b w:val="false"/>
                <w:bCs w:val="false"/>
                <w:sz w:val="20"/>
                <w:szCs w:val="20"/>
              </w:rPr>
              <w:t xml:space="preserve">Suppliers</w:t>
            </w:r>
          </w:p>
        </w:tc>
        <w:tc>
          <w:tcPr>
            <w:tcW w:type="dxa" w:w="5143"/>
            <w:vAlign w:val="center"/>
          </w:tcPr>
          <w:p>
            <w:r>
              <w:rPr>
                <w:b w:val="false"/>
                <w:bCs w:val="false"/>
                <w:sz w:val="20"/>
                <w:szCs w:val="20"/>
              </w:rPr>
              <w:t xml:space="preserve">EQUIPMENT_OWNER</w:t>
            </w:r>
          </w:p>
        </w:tc>
      </w:tr>
      <w:tr>
        <w:tc>
          <w:tcPr>
            <w:tcW w:type="dxa" w:w="4208"/>
            <w:vAlign w:val="center"/>
          </w:tcPr>
          <w:p>
            <w:r>
              <w:rPr>
                <w:b w:val="false"/>
                <w:bCs w:val="false"/>
                <w:sz w:val="20"/>
                <w:szCs w:val="20"/>
              </w:rPr>
              <w:t xml:space="preserve">Harvests</w:t>
            </w:r>
          </w:p>
        </w:tc>
        <w:tc>
          <w:tcPr>
            <w:tcW w:type="dxa" w:w="5143"/>
            <w:vAlign w:val="center"/>
          </w:tcPr>
          <w:p>
            <w:r>
              <w:rPr>
                <w:b w:val="false"/>
                <w:bCs w:val="false"/>
                <w:sz w:val="20"/>
                <w:szCs w:val="20"/>
              </w:rPr>
              <w:t xml:space="preserve">CROP.harvest_date (harvest is an event on a crop, not a separate table)</w:t>
            </w:r>
          </w:p>
        </w:tc>
      </w:tr>
      <w:tr>
        <w:tc>
          <w:tcPr>
            <w:tcW w:type="dxa" w:w="4208"/>
            <w:vAlign w:val="center"/>
          </w:tcPr>
          <w:p>
            <w:r>
              <w:rPr>
                <w:b w:val="false"/>
                <w:bCs w:val="false"/>
                <w:sz w:val="20"/>
                <w:szCs w:val="20"/>
              </w:rPr>
              <w:t xml:space="preserve">Activities</w:t>
            </w:r>
          </w:p>
        </w:tc>
        <w:tc>
          <w:tcPr>
            <w:tcW w:type="dxa" w:w="5143"/>
            <w:vAlign w:val="center"/>
          </w:tcPr>
          <w:p>
            <w:r>
              <w:rPr>
                <w:b w:val="false"/>
                <w:bCs w:val="false"/>
                <w:sz w:val="20"/>
                <w:szCs w:val="20"/>
              </w:rPr>
              <w:t xml:space="preserve">BOOKING (an equipment rental is the farm activity in this domain)</w:t>
            </w:r>
          </w:p>
        </w:tc>
      </w:tr>
      <w:tr>
        <w:tc>
          <w:tcPr>
            <w:tcW w:type="dxa" w:w="4208"/>
            <w:vAlign w:val="center"/>
          </w:tcPr>
          <w:p>
            <w:r>
              <w:rPr>
                <w:b w:val="false"/>
                <w:bCs w:val="false"/>
                <w:sz w:val="20"/>
                <w:szCs w:val="20"/>
              </w:rPr>
              <w:t xml:space="preserve">Inventory</w:t>
            </w:r>
          </w:p>
        </w:tc>
        <w:tc>
          <w:tcPr>
            <w:tcW w:type="dxa" w:w="5143"/>
            <w:vAlign w:val="center"/>
          </w:tcPr>
          <w:p>
            <w:r>
              <w:rPr>
                <w:b w:val="false"/>
                <w:bCs w:val="false"/>
                <w:sz w:val="20"/>
                <w:szCs w:val="20"/>
              </w:rPr>
              <w:t xml:space="preserve">Not present in our schema. Equipment stock/availability is served instead by fn_available_equipment_count() (Phase IX) and VW_EQUIPMENT_DETAILS (Phase VII) — see Section 6.9.</w:t>
            </w:r>
          </w:p>
        </w:tc>
      </w:tr>
    </w:tbl>
    <w:p>
      <w:pPr>
        <w:spacing w:after="200"/>
      </w:pPr>
    </w:p>
    <w:p>
      <w:pPr>
        <w:pStyle w:val="Heading1"/>
        <w:spacing w:after="150" w:before="300"/>
      </w:pPr>
      <w:r>
        <w:t xml:space="preserve">4. Authentication and Authorization</w:t>
      </w:r>
    </w:p>
    <w:p>
      <w:pPr>
        <w:pStyle w:val="Heading2"/>
        <w:spacing w:after="120" w:before="250"/>
      </w:pPr>
      <w:r>
        <w:t xml:space="preserve">4.1 Authentication Scheme</w:t>
      </w:r>
    </w:p>
    <w:p>
      <w:pPr>
        <w:spacing w:after="120"/>
      </w:pPr>
      <w:r>
        <w:t xml:space="preserve">The application uses APEX's built-in "Application Express Accounts" authentication scheme for the login page. This choice deliberately avoids adding a new CUSTOM_USERS table to the schema, honouring the "do not add or modify tables" constraint carried through Phases X–XV: APEX workspace accounts are managed by APEX itself, entirely outside the 13 application tables.</w:t>
      </w:r>
    </w:p>
    <w:p>
      <w:pPr>
        <w:pStyle w:val="Heading2"/>
        <w:spacing w:after="120" w:before="250"/>
      </w:pPr>
      <w:r>
        <w:t xml:space="preserve">4.2 User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c>
          <w:tcPr>
            <w:tcW w:type="dxa" w:w="2057"/>
            <w:shd w:fill="E8EDE3" w:val="clear"/>
            <w:vAlign w:val="center"/>
          </w:tcPr>
          <w:p>
            <w:r>
              <w:rPr>
                <w:b/>
                <w:bCs/>
                <w:sz w:val="20"/>
                <w:szCs w:val="20"/>
              </w:rPr>
              <w:t xml:space="preserve">Role</w:t>
            </w:r>
          </w:p>
        </w:tc>
        <w:tc>
          <w:tcPr>
            <w:tcW w:type="dxa" w:w="7293"/>
            <w:shd w:fill="E8EDE3" w:val="clear"/>
            <w:vAlign w:val="center"/>
          </w:tcPr>
          <w:p>
            <w:r>
              <w:rPr>
                <w:b/>
                <w:bCs/>
                <w:sz w:val="20"/>
                <w:szCs w:val="20"/>
              </w:rPr>
              <w:t xml:space="preserve">Permissions</w:t>
            </w:r>
          </w:p>
        </w:tc>
      </w:tr>
      <w:tr>
        <w:tc>
          <w:tcPr>
            <w:tcW w:type="dxa" w:w="2057"/>
            <w:vAlign w:val="center"/>
          </w:tcPr>
          <w:p>
            <w:r>
              <w:rPr>
                <w:b w:val="false"/>
                <w:bCs w:val="false"/>
                <w:sz w:val="20"/>
                <w:szCs w:val="20"/>
              </w:rPr>
              <w:t xml:space="preserve">Administrator</w:t>
            </w:r>
          </w:p>
        </w:tc>
        <w:tc>
          <w:tcPr>
            <w:tcW w:type="dxa" w:w="7293"/>
            <w:vAlign w:val="center"/>
          </w:tcPr>
          <w:p>
            <w:r>
              <w:rPr>
                <w:b w:val="false"/>
                <w:bCs w:val="false"/>
                <w:sz w:val="20"/>
                <w:szCs w:val="20"/>
              </w:rPr>
              <w:t xml:space="preserve">Full access: all forms, all reports, AUDIT_LOG viewer, user/role management. Only role permitted to run sp_update_equipment_status to RETIRED and to view masked national_id lookups.</w:t>
            </w:r>
          </w:p>
        </w:tc>
      </w:tr>
      <w:tr>
        <w:tc>
          <w:tcPr>
            <w:tcW w:type="dxa" w:w="2057"/>
            <w:vAlign w:val="center"/>
          </w:tcPr>
          <w:p>
            <w:r>
              <w:rPr>
                <w:b w:val="false"/>
                <w:bCs w:val="false"/>
                <w:sz w:val="20"/>
                <w:szCs w:val="20"/>
              </w:rPr>
              <w:t xml:space="preserve">Farm Manager</w:t>
            </w:r>
          </w:p>
        </w:tc>
        <w:tc>
          <w:tcPr>
            <w:tcW w:type="dxa" w:w="7293"/>
            <w:vAlign w:val="center"/>
          </w:tcPr>
          <w:p>
            <w:r>
              <w:rPr>
                <w:b w:val="false"/>
                <w:bCs w:val="false"/>
                <w:sz w:val="20"/>
                <w:szCs w:val="20"/>
              </w:rPr>
              <w:t xml:space="preserve">Create/edit crops, farms, bookings, assign technicians; view all reports; cannot delete audit records or manage APEX user accounts.</w:t>
            </w:r>
          </w:p>
        </w:tc>
      </w:tr>
      <w:tr>
        <w:tc>
          <w:tcPr>
            <w:tcW w:type="dxa" w:w="2057"/>
            <w:vAlign w:val="center"/>
          </w:tcPr>
          <w:p>
            <w:r>
              <w:rPr>
                <w:b w:val="false"/>
                <w:bCs w:val="false"/>
                <w:sz w:val="20"/>
                <w:szCs w:val="20"/>
              </w:rPr>
              <w:t xml:space="preserve">Staff</w:t>
            </w:r>
          </w:p>
        </w:tc>
        <w:tc>
          <w:tcPr>
            <w:tcW w:type="dxa" w:w="7293"/>
            <w:vAlign w:val="center"/>
          </w:tcPr>
          <w:p>
            <w:r>
              <w:rPr>
                <w:b w:val="false"/>
                <w:bCs w:val="false"/>
                <w:sz w:val="20"/>
                <w:szCs w:val="20"/>
              </w:rPr>
              <w:t xml:space="preserve">View assigned maintenance jobs (own technician_id only), mark jobs complete via PKG_FARM_OPERATIONS/sp_complete_maintenance, no access to Payment or Revenue pages.</w:t>
            </w:r>
          </w:p>
        </w:tc>
      </w:tr>
    </w:tbl>
    <w:p>
      <w:pPr>
        <w:spacing w:after="200"/>
      </w:pPr>
    </w:p>
    <w:p>
      <w:pPr>
        <w:pStyle w:val="Heading2"/>
        <w:spacing w:after="120" w:before="250"/>
      </w:pPr>
      <w:r>
        <w:t xml:space="preserve">4.3 Authorization Implementation</w:t>
      </w:r>
    </w:p>
    <w:p>
      <w:pPr>
        <w:pStyle w:val="ListParagraph"/>
        <w:numPr>
          <w:ilvl w:val="0"/>
          <w:numId w:val="1"/>
        </w:numPr>
        <w:spacing w:after="60"/>
      </w:pPr>
      <w:r>
        <w:t xml:space="preserve">Three APEX Authorization Schemes (Is Administrator, Is Farm Manager, Is Staff) are defined using APEX_UTIL.CURRENT_USER_IN_GROUP against APEX workspace groups, then attached to pages and buttons — e.g. the Delete button on the Equipment form only renders when "Is Administrator" evaluates TRUE.</w:t>
      </w:r>
    </w:p>
    <w:p>
      <w:pPr>
        <w:pStyle w:val="ListParagraph"/>
        <w:numPr>
          <w:ilvl w:val="0"/>
          <w:numId w:val="1"/>
        </w:numPr>
        <w:spacing w:after="60"/>
      </w:pPr>
      <w:r>
        <w:t xml:space="preserve">Row-level restriction for Staff: the Technician Workload report's source query includes "WHERE technician_id = :STAFF_TECHNICIAN_ID", where the item is set once at login via a Post-Authentication process — so a Staff user physically cannot see another technician's jobs, not merely have the UI hide them.</w:t>
      </w:r>
    </w:p>
    <w:p>
      <w:pPr>
        <w:pStyle w:val="Heading2"/>
        <w:spacing w:after="120" w:before="250"/>
      </w:pPr>
      <w:r>
        <w:t xml:space="preserve">4.4 Session Management</w:t>
      </w:r>
    </w:p>
    <w:p>
      <w:pPr>
        <w:pStyle w:val="ListParagraph"/>
        <w:numPr>
          <w:ilvl w:val="0"/>
          <w:numId w:val="1"/>
        </w:numPr>
        <w:spacing w:after="60"/>
      </w:pPr>
      <w:r>
        <w:t xml:space="preserve">APEX's built-in session state management is used as-is: session timeout set to 20 minutes of inactivity, consistent with handling farm-operations data that includes personal contact details (FARMER.phone, .email).</w:t>
      </w:r>
    </w:p>
    <w:p>
      <w:pPr>
        <w:pStyle w:val="ListParagraph"/>
        <w:numPr>
          <w:ilvl w:val="0"/>
          <w:numId w:val="1"/>
        </w:numPr>
        <w:spacing w:after="60"/>
      </w:pPr>
      <w:r>
        <w:t xml:space="preserve">"Session Sharing = Disabled" between the Administration pages and the general application, so an Administrator's elevated session cannot be silently reused if they leave a shared terminal logged in on the Staff-facing forms.</w:t>
      </w:r>
    </w:p>
    <w:p>
      <w:pPr>
        <w:pStyle w:val="Heading2"/>
        <w:spacing w:after="120" w:before="250"/>
      </w:pPr>
      <w:r>
        <w:t xml:space="preserve">4.5 Data Validation</w:t>
      </w:r>
    </w:p>
    <w:p>
      <w:pPr>
        <w:pStyle w:val="ListParagraph"/>
        <w:numPr>
          <w:ilvl w:val="0"/>
          <w:numId w:val="1"/>
        </w:numPr>
        <w:spacing w:after="60"/>
      </w:pPr>
      <w:r>
        <w:t xml:space="preserve">Page-level APEX validations duplicate the more user-facing CHECK constraints (e.g. "Daily rate must be positive") so the error appears next to the field immediately, before the page round-trip reaches the Phase X trigger.</w:t>
      </w:r>
    </w:p>
    <w:p>
      <w:pPr>
        <w:pStyle w:val="ListParagraph"/>
        <w:numPr>
          <w:ilvl w:val="0"/>
          <w:numId w:val="1"/>
        </w:numPr>
        <w:spacing w:after="60"/>
      </w:pPr>
      <w:r>
        <w:t xml:space="preserve">Every Process still calls the underlying procedure/trigger regardless — APEX validations are a UX convenience layer, never a substitute for the database-level constraints and triggers, which remain the actual source of truth (defense in depth, consistent with the reasoning in Phase X).</w:t>
      </w:r>
    </w:p>
    <w:p>
      <w:pPr>
        <w:pStyle w:val="Heading1"/>
        <w:spacing w:after="150" w:before="300"/>
      </w:pPr>
      <w:r>
        <w:t xml:space="preserve">5. Navigation Structure</w:t>
      </w:r>
    </w:p>
    <w:p>
      <w:pPr>
        <w:spacing w:after="120"/>
      </w:pPr>
      <w:r>
        <w:t xml:space="preserve">The left-side navigation menu is organised into seven top-level entries:</w:t>
      </w:r>
    </w:p>
    <w:p>
      <w:pPr>
        <w:pStyle w:val="ListParagraph"/>
        <w:numPr>
          <w:ilvl w:val="0"/>
          <w:numId w:val="1"/>
        </w:numPr>
        <w:spacing w:after="60"/>
      </w:pPr>
      <w:r>
        <w:t xml:space="preserve">Home Dashboard — KPI cards and charts (Section 7)</w:t>
      </w:r>
    </w:p>
    <w:p>
      <w:pPr>
        <w:pStyle w:val="ListParagraph"/>
        <w:numPr>
          <w:ilvl w:val="0"/>
          <w:numId w:val="1"/>
        </w:numPr>
        <w:spacing w:after="60"/>
      </w:pPr>
      <w:r>
        <w:t xml:space="preserve">Crop Management — Crops form, Crop Production report, Harvest Summary report</w:t>
      </w:r>
    </w:p>
    <w:p>
      <w:pPr>
        <w:pStyle w:val="ListParagraph"/>
        <w:numPr>
          <w:ilvl w:val="0"/>
          <w:numId w:val="1"/>
        </w:numPr>
        <w:spacing w:after="60"/>
      </w:pPr>
      <w:r>
        <w:t xml:space="preserve">Equipment Management — Equipment form, Equipment Category/Owner reference forms, Equipment Maintenance report</w:t>
      </w:r>
    </w:p>
    <w:p>
      <w:pPr>
        <w:pStyle w:val="ListParagraph"/>
        <w:numPr>
          <w:ilvl w:val="0"/>
          <w:numId w:val="1"/>
        </w:numPr>
        <w:spacing w:after="60"/>
      </w:pPr>
      <w:r>
        <w:t xml:space="preserve">Farm &amp; Customer Management — Farms (Fields) form, Farmers (Customers) form</w:t>
      </w:r>
    </w:p>
    <w:p>
      <w:pPr>
        <w:pStyle w:val="ListParagraph"/>
        <w:numPr>
          <w:ilvl w:val="0"/>
          <w:numId w:val="1"/>
        </w:numPr>
        <w:spacing w:after="60"/>
      </w:pPr>
      <w:r>
        <w:t xml:space="preserve">Activities &amp; Sales — Bookings (Activities) form, Payments (Sales) form</w:t>
      </w:r>
    </w:p>
    <w:p>
      <w:pPr>
        <w:pStyle w:val="ListParagraph"/>
        <w:numPr>
          <w:ilvl w:val="0"/>
          <w:numId w:val="1"/>
        </w:numPr>
        <w:spacing w:after="60"/>
      </w:pPr>
      <w:r>
        <w:t xml:space="preserve">Reports — the six Interactive Reports listed in Section 8</w:t>
      </w:r>
    </w:p>
    <w:p>
      <w:pPr>
        <w:pStyle w:val="ListParagraph"/>
        <w:numPr>
          <w:ilvl w:val="0"/>
          <w:numId w:val="1"/>
        </w:numPr>
        <w:spacing w:after="60"/>
      </w:pPr>
      <w:r>
        <w:t xml:space="preserve">Administration — Technicians (Workers) form, Equipment Owners (Suppliers) form, AUDIT_LOG viewer, user/role management (Administrator role only)</w:t>
      </w:r>
    </w:p>
    <w:p>
      <w:pPr>
        <w:spacing w:after="120"/>
      </w:pPr>
      <w:r>
        <w:t xml:space="preserve">Navigation flow follows a consistent pattern across every module: List (Interactive Report) → Create/Edit (Form) → back to List, with a persistent breadcrumb (Home &gt; Module &gt; Page) on every page.</w:t>
      </w:r>
    </w:p>
    <w:p>
      <w:r>
        <w:br w:type="page"/>
      </w:r>
    </w:p>
    <w:p>
      <w:pPr>
        <w:pStyle w:val="Heading1"/>
        <w:spacing w:after="150" w:before="300"/>
      </w:pPr>
      <w:r>
        <w:t xml:space="preserve">6. Forms</w:t>
      </w:r>
    </w:p>
    <w:p>
      <w:pPr>
        <w:spacing w:after="120"/>
      </w:pPr>
      <w:r>
        <w:t xml:space="preserve">Every form follows the same underlying pattern: an APEX Interactive Grid or Form region bound to the relevant table/view, with Create/Update/Delete processes calling the Phase VIII/XI procedures rather than raw DML, so every business rule from Phases V–XIV is enforced identically through the UI.</w:t>
      </w:r>
    </w:p>
    <w:p>
      <w:pPr>
        <w:pStyle w:val="Heading3"/>
        <w:spacing w:after="100" w:before="200"/>
      </w:pPr>
      <w:r>
        <w:t xml:space="preserve">6.1 Crop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Register and update crops on a farm plot; check harvest readiness at a glance.</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Form region on CROP; "Ready for Harvest" read-only display item calling fn_is_crop_ready_for_harvest via a PL/SQL dynamic action; season selector (A/B/C radio group).</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CROP, FARM (LOV for farm_id)</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Crop Management &gt; Crops (list) &gt; Create/Edit Crop</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New/updated row in CROP; PKG_CROP_MANAGEMENT.sp_register_crop / sp_update_crop_info called as the Create/Update process.</w:t>
            </w:r>
          </w:p>
        </w:tc>
      </w:tr>
    </w:tbl>
    <w:p>
      <w:pPr>
        <w:spacing w:after="200"/>
      </w:pPr>
    </w:p>
    <w:p>
      <w:pPr>
        <w:pStyle w:val="Heading3"/>
        <w:spacing w:after="100" w:before="200"/>
      </w:pPr>
      <w:r>
        <w:t xml:space="preserve">6.2 Farm (Field)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Register a farm plot and attach it to a farmer.</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Form region on FARM; farmer_id as a searchable Select List (LOV from FARMER); size_hectares with client-side numeric validation mirroring chk_farm_size.</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FARM, FARMER</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Farm &amp; Customer Management &gt; Farms (list) &gt; Create/Edit Farm</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New/updated row in FARM. Trigger trg_farm_area_check_biu (Phase X) fires server-side regardless of the client-side check.</w:t>
            </w:r>
          </w:p>
        </w:tc>
      </w:tr>
    </w:tbl>
    <w:p>
      <w:pPr>
        <w:spacing w:after="200"/>
      </w:pPr>
    </w:p>
    <w:p>
      <w:pPr>
        <w:pStyle w:val="Heading3"/>
        <w:spacing w:after="100" w:before="200"/>
      </w:pPr>
      <w:r>
        <w:t xml:space="preserve">6.3 Technician (Worker)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Register technicians and record their specialty; Administration-only page.</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Form region on TECHNICIAN; restricted by the "Is Administrator" authorization scheme (Section 4.3).</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TECHNICIAN</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Administration &gt; Technicians (list) &gt; Create/Edit Technician</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New/updated row in TECHNICIAN.</w:t>
            </w:r>
          </w:p>
        </w:tc>
      </w:tr>
    </w:tbl>
    <w:p>
      <w:pPr>
        <w:spacing w:after="200"/>
      </w:pPr>
    </w:p>
    <w:p>
      <w:pPr>
        <w:pStyle w:val="Heading3"/>
        <w:spacing w:after="100" w:before="200"/>
      </w:pPr>
      <w:r>
        <w:t xml:space="preserve">6.4 Equipment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List, add, and update rentable machines; change status (Available/Rented/Maintenance/Retired).</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Form region on EQUIPMENT; category_id and owner_id as Select Lists; Status changed only via a dedicated button calling sp_update_equipment_status (Phase VIII) rather than a raw column edit, keeping the validation centralised.</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EQUIPMENT, EQUIPMENT_CATEGORY, EQUIPMENT_OWNER</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Equipment Management &gt; Equipment (list) &gt; Create/Edit Equipment</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New/updated row in EQUIPMENT; trg_equipment_price_check_biu and trg_equipment_audit_aiud (Phase X/XIV) fire automatically.</w:t>
            </w:r>
          </w:p>
        </w:tc>
      </w:tr>
    </w:tbl>
    <w:p>
      <w:pPr>
        <w:spacing w:after="200"/>
      </w:pPr>
    </w:p>
    <w:p>
      <w:pPr>
        <w:pStyle w:val="Heading3"/>
        <w:spacing w:after="100" w:before="200"/>
      </w:pPr>
      <w:r>
        <w:t xml:space="preserve">6.5 Activity (Booking)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Schedule an equipment rental for a farmer over a date range, with live conflict checking.</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Form region calling PKG_FARM_OPERATIONS.sp_schedule_activity (Phase XI) as the Create process, so the overlap-guard logic runs identically to the PL/SQL-only path; a warning region displays the ORA-20057 conflict message inline if raised.</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BOOKING, FARMER, EQUIPMENT</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Activities &amp; Sales &gt; Bookings (list) &gt; Create/Edit Activity</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New row in BOOKING with status PENDING. NOTE: on a weekday or public holiday, trg_booking_biud_rules (Phase X) will correctly reject the change — the form surfaces that ORA-20030/20031 message as a friendly inline error rather than a raw Oracle exception.</w:t>
            </w:r>
          </w:p>
        </w:tc>
      </w:tr>
    </w:tbl>
    <w:p>
      <w:pPr>
        <w:spacing w:after="200"/>
      </w:pPr>
    </w:p>
    <w:p>
      <w:pPr>
        <w:pStyle w:val="Heading3"/>
        <w:spacing w:after="100" w:before="200"/>
      </w:pPr>
      <w:r>
        <w:t xml:space="preserve">6.6 Harvest Update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Record the actual harvest_date once a crop is brought in — implemented as a targeted Update form on CROP rather than a separate table, since a harvest is an event on an existing crop record, not a new entity.</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Form region restricted to crop_id, harvest_date; calls sp_update_crop_info (Phase XI).</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CROP</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Crop Management &gt; Crops (list) &gt; Record Harvest</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CROP.harvest_date populated; fn_is_crop_ready_for_harvest subsequently returns YES for that row.</w:t>
            </w:r>
          </w:p>
        </w:tc>
      </w:tr>
    </w:tbl>
    <w:p>
      <w:pPr>
        <w:spacing w:after="200"/>
      </w:pPr>
    </w:p>
    <w:p>
      <w:pPr>
        <w:pStyle w:val="Heading3"/>
        <w:spacing w:after="100" w:before="200"/>
      </w:pPr>
      <w:r>
        <w:t xml:space="preserve">6.7 Customer (Farmer)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Register and update farmer/customer contact details.</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Form region on FARMER; national_id field masked on display (SUBSTR pattern from Phase XV Query 9) for any role other than Administrator.</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FARMER</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Farm &amp; Customer Management &gt; Farmers (list) &gt; Create/Edit Farmer</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New/updated row in FARMER via sp_register_farmer (Phase VIII); trg_farmer_audit_aiud (Phase XIV) logs the change without exposing national_id in the audit trail.</w:t>
            </w:r>
          </w:p>
        </w:tc>
      </w:tr>
    </w:tbl>
    <w:p>
      <w:pPr>
        <w:spacing w:after="200"/>
      </w:pPr>
    </w:p>
    <w:p>
      <w:pPr>
        <w:pStyle w:val="Heading3"/>
        <w:spacing w:after="100" w:before="200"/>
      </w:pPr>
      <w:r>
        <w:t xml:space="preserve">6.8 Sale (Payment)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Record a payment against an existing booking.</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Form region calling sp_record_payment (Phase VIII) as the Create process; booking_id restricted via LOV to bookings without an existing payment (enforced additionally by the uq_payment_booking constraint from Phase V).</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PAYMENT, BOOKING</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Activities &amp; Sales &gt; Payments (list) &gt; Record Payment</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New row in PAYMENT; linked BOOKING auto-promoted from PENDING to CONFIRMED per sp_record_payment's logic.</w:t>
            </w:r>
          </w:p>
        </w:tc>
      </w:tr>
    </w:tbl>
    <w:p>
      <w:pPr>
        <w:spacing w:after="200"/>
      </w:pPr>
    </w:p>
    <w:p>
      <w:pPr>
        <w:pStyle w:val="Heading3"/>
        <w:spacing w:after="100" w:before="200"/>
      </w:pPr>
      <w:r>
        <w:t xml:space="preserve">6.9 Supplier (Equipment Owner)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Register cooperatives, dealers, or individuals who list equipment.</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Form region on EQUIPMENT_OWNER; business_type as a radio group (Individual/Cooperative/Dealer).</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EQUIPMENT_OWNER</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Administration &gt; Equipment Owners (list) &gt; Create/Edit Owner</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New/updated row in EQUIPMENT_OWNER.</w:t>
            </w:r>
          </w:p>
        </w:tc>
      </w:tr>
    </w:tbl>
    <w:p>
      <w:pPr>
        <w:spacing w:after="200"/>
      </w:pPr>
    </w:p>
    <w:p>
      <w:pPr>
        <w:pStyle w:val="Heading3"/>
        <w:spacing w:after="100" w:before="200"/>
      </w:pPr>
      <w:r>
        <w:t xml:space="preserve">6.10 Inventory (Not Applicable)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No INVENTORY table exists in the approved 13-table schema — this system rents machines rather than stocking consumable products, so "current stock" is naturally expressed as equipment availability, not a quantity-on-hand figure.</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Instead of a dedicated Inventory form, the Equipment list page (6.4) itself serves this role: its Status column and a header badge calling fn_available_equipment_count(category_id) (Phase IX) give the equivalent "how many units are available right now" view per category.</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EQUIPMENT, EQUIPMENT_CATEGORY</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Equipment Management &gt; Equipment (list) — same page as 6.4</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Live count of AVAILABLE units per category displayed as a badge above the Equipment Interactive Grid.</w:t>
            </w:r>
          </w:p>
        </w:tc>
      </w:tr>
    </w:tbl>
    <w:p>
      <w:pPr>
        <w:spacing w:after="200"/>
      </w:pPr>
    </w:p>
    <w:p>
      <w:r>
        <w:br w:type="page"/>
      </w:r>
    </w:p>
    <w:p>
      <w:pPr>
        <w:pStyle w:val="Heading1"/>
        <w:spacing w:after="150" w:before="300"/>
      </w:pPr>
      <w:r>
        <w:t xml:space="preserve">7. Home Dashboard</w:t>
      </w:r>
    </w:p>
    <w:p>
      <w:pPr>
        <w:spacing w:after="120"/>
      </w:pPr>
      <w:r>
        <w:t xml:space="preserve">The Home Dashboard is a single APEX page combining a KPI Cards region and two chart regions, refreshed on every login.</w:t>
      </w:r>
    </w:p>
    <w:p>
      <w:pPr>
        <w:pStyle w:val="Heading2"/>
        <w:spacing w:after="120" w:before="250"/>
      </w:pPr>
      <w:r>
        <w:t xml:space="preserve">7.1 KPI Cards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73"/>
        <w:gridCol w:w="6078"/>
      </w:tblGrid>
      <w:tr>
        <w:tc>
          <w:tcPr>
            <w:tcW w:type="dxa" w:w="3273"/>
            <w:shd w:fill="E8EDE3" w:val="clear"/>
            <w:vAlign w:val="center"/>
          </w:tcPr>
          <w:p>
            <w:r>
              <w:rPr>
                <w:b/>
                <w:bCs/>
                <w:sz w:val="20"/>
                <w:szCs w:val="20"/>
              </w:rPr>
              <w:t xml:space="preserve">Card</w:t>
            </w:r>
          </w:p>
        </w:tc>
        <w:tc>
          <w:tcPr>
            <w:tcW w:type="dxa" w:w="6078"/>
            <w:shd w:fill="E8EDE3" w:val="clear"/>
            <w:vAlign w:val="center"/>
          </w:tcPr>
          <w:p>
            <w:r>
              <w:rPr>
                <w:b/>
                <w:bCs/>
                <w:sz w:val="20"/>
                <w:szCs w:val="20"/>
              </w:rPr>
              <w:t xml:space="preserve">Source</w:t>
            </w:r>
          </w:p>
        </w:tc>
      </w:tr>
      <w:tr>
        <w:tc>
          <w:tcPr>
            <w:tcW w:type="dxa" w:w="3273"/>
            <w:vAlign w:val="center"/>
          </w:tcPr>
          <w:p>
            <w:r>
              <w:rPr>
                <w:b w:val="false"/>
                <w:bCs w:val="false"/>
                <w:sz w:val="20"/>
                <w:szCs w:val="20"/>
              </w:rPr>
              <w:t xml:space="preserve">Total Crops</w:t>
            </w:r>
          </w:p>
        </w:tc>
        <w:tc>
          <w:tcPr>
            <w:tcW w:type="dxa" w:w="6078"/>
            <w:vAlign w:val="center"/>
          </w:tcPr>
          <w:p>
            <w:r>
              <w:rPr>
                <w:b w:val="false"/>
                <w:bCs w:val="false"/>
                <w:sz w:val="20"/>
                <w:szCs w:val="20"/>
              </w:rPr>
              <w:t xml:space="preserve">SELECT COUNT(*) FROM CROP</w:t>
            </w:r>
          </w:p>
        </w:tc>
      </w:tr>
      <w:tr>
        <w:tc>
          <w:tcPr>
            <w:tcW w:type="dxa" w:w="3273"/>
            <w:vAlign w:val="center"/>
          </w:tcPr>
          <w:p>
            <w:r>
              <w:rPr>
                <w:b w:val="false"/>
                <w:bCs w:val="false"/>
                <w:sz w:val="20"/>
                <w:szCs w:val="20"/>
              </w:rPr>
              <w:t xml:space="preserve">Total Workers</w:t>
            </w:r>
          </w:p>
        </w:tc>
        <w:tc>
          <w:tcPr>
            <w:tcW w:type="dxa" w:w="6078"/>
            <w:vAlign w:val="center"/>
          </w:tcPr>
          <w:p>
            <w:r>
              <w:rPr>
                <w:b w:val="false"/>
                <w:bCs w:val="false"/>
                <w:sz w:val="20"/>
                <w:szCs w:val="20"/>
              </w:rPr>
              <w:t xml:space="preserve">SELECT COUNT(*) FROM TECHNICIAN</w:t>
            </w:r>
          </w:p>
        </w:tc>
      </w:tr>
      <w:tr>
        <w:tc>
          <w:tcPr>
            <w:tcW w:type="dxa" w:w="3273"/>
            <w:vAlign w:val="center"/>
          </w:tcPr>
          <w:p>
            <w:r>
              <w:rPr>
                <w:b w:val="false"/>
                <w:bCs w:val="false"/>
                <w:sz w:val="20"/>
                <w:szCs w:val="20"/>
              </w:rPr>
              <w:t xml:space="preserve">Total Equipment</w:t>
            </w:r>
          </w:p>
        </w:tc>
        <w:tc>
          <w:tcPr>
            <w:tcW w:type="dxa" w:w="6078"/>
            <w:vAlign w:val="center"/>
          </w:tcPr>
          <w:p>
            <w:r>
              <w:rPr>
                <w:b w:val="false"/>
                <w:bCs w:val="false"/>
                <w:sz w:val="20"/>
                <w:szCs w:val="20"/>
              </w:rPr>
              <w:t xml:space="preserve">VW_FARM_DASHBOARD_SUMMARY.total_equipment (Phase VII)</w:t>
            </w:r>
          </w:p>
        </w:tc>
      </w:tr>
      <w:tr>
        <w:tc>
          <w:tcPr>
            <w:tcW w:type="dxa" w:w="3273"/>
            <w:vAlign w:val="center"/>
          </w:tcPr>
          <w:p>
            <w:r>
              <w:rPr>
                <w:b w:val="false"/>
                <w:bCs w:val="false"/>
                <w:sz w:val="20"/>
                <w:szCs w:val="20"/>
              </w:rPr>
              <w:t xml:space="preserve">Total Harvests</w:t>
            </w:r>
          </w:p>
        </w:tc>
        <w:tc>
          <w:tcPr>
            <w:tcW w:type="dxa" w:w="6078"/>
            <w:vAlign w:val="center"/>
          </w:tcPr>
          <w:p>
            <w:r>
              <w:rPr>
                <w:b w:val="false"/>
                <w:bCs w:val="false"/>
                <w:sz w:val="20"/>
                <w:szCs w:val="20"/>
              </w:rPr>
              <w:t xml:space="preserve">SELECT COUNT(*) FROM CROP WHERE harvest_date IS NOT NULL</w:t>
            </w:r>
          </w:p>
        </w:tc>
      </w:tr>
      <w:tr>
        <w:tc>
          <w:tcPr>
            <w:tcW w:type="dxa" w:w="3273"/>
            <w:vAlign w:val="center"/>
          </w:tcPr>
          <w:p>
            <w:r>
              <w:rPr>
                <w:b w:val="false"/>
                <w:bCs w:val="false"/>
                <w:sz w:val="20"/>
                <w:szCs w:val="20"/>
              </w:rPr>
              <w:t xml:space="preserve">Upcoming Activities</w:t>
            </w:r>
          </w:p>
        </w:tc>
        <w:tc>
          <w:tcPr>
            <w:tcW w:type="dxa" w:w="6078"/>
            <w:vAlign w:val="center"/>
          </w:tcPr>
          <w:p>
            <w:r>
              <w:rPr>
                <w:b w:val="false"/>
                <w:bCs w:val="false"/>
                <w:sz w:val="20"/>
                <w:szCs w:val="20"/>
              </w:rPr>
              <w:t xml:space="preserve">SELECT COUNT(*) FROM BOOKING WHERE status IN ('PENDING','CONFIRMED') AND start_date &gt;= TRUNC(SYSDATE)</w:t>
            </w:r>
          </w:p>
        </w:tc>
      </w:tr>
    </w:tbl>
    <w:p>
      <w:pPr>
        <w:spacing w:after="200"/>
      </w:pPr>
    </w:p>
    <w:p>
      <w:pPr>
        <w:pStyle w:val="Heading2"/>
        <w:spacing w:after="120" w:before="250"/>
      </w:pPr>
      <w:r>
        <w:t xml:space="preserve">7.2 Charts</w:t>
      </w:r>
    </w:p>
    <w:p>
      <w:pPr>
        <w:pStyle w:val="ListParagraph"/>
        <w:numPr>
          <w:ilvl w:val="0"/>
          <w:numId w:val="1"/>
        </w:numPr>
        <w:spacing w:after="60"/>
      </w:pPr>
      <w:r>
        <w:t xml:space="preserve">Bar chart — Bookings per equipment category (Phase XV Query 5, GROUP BY)</w:t>
      </w:r>
    </w:p>
    <w:p>
      <w:pPr>
        <w:pStyle w:val="ListParagraph"/>
        <w:numPr>
          <w:ilvl w:val="0"/>
          <w:numId w:val="1"/>
        </w:numPr>
        <w:spacing w:after="60"/>
      </w:pPr>
      <w:r>
        <w:t xml:space="preserve">Line chart — Monthly PAID revenue trend (Phase XV Report 6)</w:t>
      </w:r>
    </w:p>
    <w:p>
      <w:pPr>
        <w:pStyle w:val="ListParagraph"/>
        <w:numPr>
          <w:ilvl w:val="0"/>
          <w:numId w:val="1"/>
        </w:numPr>
        <w:spacing w:after="60"/>
      </w:pPr>
      <w:r>
        <w:t xml:space="preserve">Donut chart — Equipment status breakdown (Available / Rented / Maintenance / Retired)</w:t>
      </w:r>
    </w:p>
    <w:p>
      <w:pPr>
        <w:spacing w:after="120"/>
      </w:pPr>
      <w:r>
        <w:t xml:space="preserve">All three charts are backed directly by existing views/queries from Phases VII and XV — no new SQL was written specifically for the dashboard, which is itself evidence that the reporting layer was designed with reuse in mind from Phase VII onward.</w:t>
      </w:r>
    </w:p>
    <w:p>
      <w:pPr>
        <w:pStyle w:val="Heading1"/>
        <w:spacing w:after="150" w:before="300"/>
      </w:pPr>
      <w:r>
        <w:t xml:space="preserve">8. Interactive Reports</w:t>
      </w:r>
    </w:p>
    <w:p>
      <w:pPr>
        <w:pStyle w:val="Heading3"/>
        <w:spacing w:after="100" w:before="200"/>
      </w:pPr>
      <w:r>
        <w:t xml:space="preserve">8.1 Crop Production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Operational view of every crop, its farm, and growth duration.</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Interactive Report; downloadable as CSV.</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CROP, FARM</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Reports &gt; Crop Production</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Sortable/filterable grid identical in content to Phase XV Report 1.</w:t>
            </w:r>
          </w:p>
        </w:tc>
      </w:tr>
    </w:tbl>
    <w:p>
      <w:pPr>
        <w:spacing w:after="200"/>
      </w:pPr>
    </w:p>
    <w:p>
      <w:pPr>
        <w:pStyle w:val="Heading3"/>
        <w:spacing w:after="100" w:before="200"/>
      </w:pPr>
      <w:r>
        <w:t xml:space="preserve">8.2 Harvest Summary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Monthly harvest counts and average growing duration.</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Interactive Report with a bar chart toggle (IR's built-in chart view).</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CROP</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Reports &gt; Harvest Summary</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Same result set as Phase XV Report 2, with APEX's native chart toggle enabled.</w:t>
            </w:r>
          </w:p>
        </w:tc>
      </w:tr>
    </w:tbl>
    <w:p>
      <w:pPr>
        <w:spacing w:after="200"/>
      </w:pPr>
    </w:p>
    <w:p>
      <w:pPr>
        <w:pStyle w:val="Heading3"/>
        <w:spacing w:after="100" w:before="200"/>
      </w:pPr>
      <w:r>
        <w:t xml:space="preserve">8.3 Worker (Technician) Activities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Jobs handled and cost per technician; row-restricted to "own jobs only" for the Staff role (Section 4.3).</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Interactive Report.</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TECHNICIAN, MAINTENANCE_RECORD</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Reports &gt; Worker Activities</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Same result set as Phase XV Report 3, row-filtered by role.</w:t>
            </w:r>
          </w:p>
        </w:tc>
      </w:tr>
    </w:tbl>
    <w:p>
      <w:pPr>
        <w:spacing w:after="200"/>
      </w:pPr>
    </w:p>
    <w:p>
      <w:pPr>
        <w:pStyle w:val="Heading3"/>
        <w:spacing w:after="100" w:before="200"/>
      </w:pPr>
      <w:r>
        <w:t xml:space="preserve">8.4 Equipment Maintenance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Full service history and days-since-last-service per machine.</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Interactive Report; conditional highlighting (red) on rows over 180 days since last service, reusing the Phase VII VW_SERVICE_DUE_REMINDER threshold.</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EQUIPMENT, MAINTENANCE_RECORD</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Reports &gt; Equipment Maintenance</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Same result set as Phase XV Report 9, with visual highlighting for overdue items.</w:t>
            </w:r>
          </w:p>
        </w:tc>
      </w:tr>
    </w:tbl>
    <w:p>
      <w:pPr>
        <w:spacing w:after="200"/>
      </w:pPr>
    </w:p>
    <w:p>
      <w:pPr>
        <w:pStyle w:val="Heading3"/>
        <w:spacing w:after="100" w:before="200"/>
      </w:pPr>
      <w:r>
        <w:t xml:space="preserve">8.5 Farm Revenue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Monthly PAID revenue trend; Administrator and Farm Manager roles only.</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Interactive Report + line chart.</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PAYMENT</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Reports &gt; Farm Revenue</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Same result set as Phase XV Report 6.</w:t>
            </w:r>
          </w:p>
        </w:tc>
      </w:tr>
    </w:tbl>
    <w:p>
      <w:pPr>
        <w:spacing w:after="200"/>
      </w:pPr>
    </w:p>
    <w:p>
      <w:pPr>
        <w:pStyle w:val="Heading3"/>
        <w:spacing w:after="100" w:before="200"/>
      </w:pPr>
      <w:r>
        <w:t xml:space="preserve">8.6 Farm Performance Dashboard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8EDE3" w:val="clear"/>
            <w:vAlign w:val="center"/>
          </w:tcPr>
          <w:p>
            <w:r>
              <w:rPr>
                <w:b/>
                <w:bCs/>
                <w:sz w:val="20"/>
                <w:szCs w:val="20"/>
              </w:rPr>
              <w:t xml:space="preserve">Purpose</w:t>
            </w:r>
          </w:p>
        </w:tc>
        <w:tc>
          <w:tcPr>
            <w:tcW w:type="dxa" w:w="7150"/>
            <w:vAlign w:val="center"/>
          </w:tcPr>
          <w:p>
            <w:r>
              <w:rPr>
                <w:b w:val="false"/>
                <w:bCs w:val="false"/>
                <w:sz w:val="20"/>
                <w:szCs w:val="20"/>
              </w:rPr>
              <w:t xml:space="preserve">The Phase XV Executive Dashboard Summary rendered as a printable report rather than live cards, for board-meeting export.</w:t>
            </w:r>
          </w:p>
        </w:tc>
      </w:tr>
      <w:tr>
        <w:tc>
          <w:tcPr>
            <w:tcW w:type="dxa" w:w="2200"/>
            <w:shd w:fill="E8EDE3" w:val="clear"/>
            <w:vAlign w:val="center"/>
          </w:tcPr>
          <w:p>
            <w:r>
              <w:rPr>
                <w:b/>
                <w:bCs/>
                <w:sz w:val="20"/>
                <w:szCs w:val="20"/>
              </w:rPr>
              <w:t xml:space="preserve">Components Used</w:t>
            </w:r>
          </w:p>
        </w:tc>
        <w:tc>
          <w:tcPr>
            <w:tcW w:type="dxa" w:w="7150"/>
            <w:vAlign w:val="center"/>
          </w:tcPr>
          <w:p>
            <w:r>
              <w:rPr>
                <w:b w:val="false"/>
                <w:bCs w:val="false"/>
                <w:sz w:val="20"/>
                <w:szCs w:val="20"/>
              </w:rPr>
              <w:t xml:space="preserve">APEX Classic Report with a "Download PDF" print button (APEX native PDF printing).</w:t>
            </w:r>
          </w:p>
        </w:tc>
      </w:tr>
      <w:tr>
        <w:tc>
          <w:tcPr>
            <w:tcW w:type="dxa" w:w="2200"/>
            <w:shd w:fill="E8EDE3" w:val="clear"/>
            <w:vAlign w:val="center"/>
          </w:tcPr>
          <w:p>
            <w:r>
              <w:rPr>
                <w:b/>
                <w:bCs/>
                <w:sz w:val="20"/>
                <w:szCs w:val="20"/>
              </w:rPr>
              <w:t xml:space="preserve">Tables Referenced</w:t>
            </w:r>
          </w:p>
        </w:tc>
        <w:tc>
          <w:tcPr>
            <w:tcW w:type="dxa" w:w="7150"/>
            <w:vAlign w:val="center"/>
          </w:tcPr>
          <w:p>
            <w:r>
              <w:rPr>
                <w:b w:val="false"/>
                <w:bCs w:val="false"/>
                <w:sz w:val="20"/>
                <w:szCs w:val="20"/>
              </w:rPr>
              <w:t xml:space="preserve">VW_FARM_DASHBOARD_SUMMARY plus the two derived metrics in Phase XV Report 10</w:t>
            </w:r>
          </w:p>
        </w:tc>
      </w:tr>
      <w:tr>
        <w:tc>
          <w:tcPr>
            <w:tcW w:type="dxa" w:w="2200"/>
            <w:shd w:fill="E8EDE3" w:val="clear"/>
            <w:vAlign w:val="center"/>
          </w:tcPr>
          <w:p>
            <w:r>
              <w:rPr>
                <w:b/>
                <w:bCs/>
                <w:sz w:val="20"/>
                <w:szCs w:val="20"/>
              </w:rPr>
              <w:t xml:space="preserve">Navigation Flow</w:t>
            </w:r>
          </w:p>
        </w:tc>
        <w:tc>
          <w:tcPr>
            <w:tcW w:type="dxa" w:w="7150"/>
            <w:vAlign w:val="center"/>
          </w:tcPr>
          <w:p>
            <w:r>
              <w:rPr>
                <w:b w:val="false"/>
                <w:bCs w:val="false"/>
                <w:sz w:val="20"/>
                <w:szCs w:val="20"/>
              </w:rPr>
              <w:t xml:space="preserve">Reports &gt; Farm Performance Dashboard</w:t>
            </w:r>
          </w:p>
        </w:tc>
      </w:tr>
      <w:tr>
        <w:tc>
          <w:tcPr>
            <w:tcW w:type="dxa" w:w="2200"/>
            <w:shd w:fill="E8EDE3" w:val="clear"/>
            <w:vAlign w:val="center"/>
          </w:tcPr>
          <w:p>
            <w:r>
              <w:rPr>
                <w:b/>
                <w:bCs/>
                <w:sz w:val="20"/>
                <w:szCs w:val="20"/>
              </w:rPr>
              <w:t xml:space="preserve">Expected Output</w:t>
            </w:r>
          </w:p>
        </w:tc>
        <w:tc>
          <w:tcPr>
            <w:tcW w:type="dxa" w:w="7150"/>
            <w:vAlign w:val="center"/>
          </w:tcPr>
          <w:p>
            <w:r>
              <w:rPr>
                <w:b w:val="false"/>
                <w:bCs w:val="false"/>
                <w:sz w:val="20"/>
                <w:szCs w:val="20"/>
              </w:rPr>
              <w:t xml:space="preserve">Single-row KPI summary, exportable as PDF for offline management review.</w:t>
            </w:r>
          </w:p>
        </w:tc>
      </w:tr>
    </w:tbl>
    <w:p>
      <w:pPr>
        <w:spacing w:after="200"/>
      </w:pPr>
    </w:p>
    <w:p>
      <w:r>
        <w:br w:type="page"/>
      </w:r>
    </w:p>
    <w:p>
      <w:pPr>
        <w:pStyle w:val="Heading1"/>
        <w:spacing w:after="150" w:before="300"/>
      </w:pPr>
      <w:r>
        <w:t xml:space="preserve">9. Benefits to the Smart Agricultural Resource and Farm Operations Management System (SARFOMS)</w:t>
      </w:r>
    </w:p>
    <w:p>
      <w:pPr>
        <w:pStyle w:val="ListParagraph"/>
        <w:numPr>
          <w:ilvl w:val="0"/>
          <w:numId w:val="1"/>
        </w:numPr>
        <w:spacing w:after="60"/>
      </w:pPr>
      <w:r>
        <w:t xml:space="preserve">Farmers and staff get a browser-based interface without needing SQL Developer access or Oracle client software installed.</w:t>
      </w:r>
    </w:p>
    <w:p>
      <w:pPr>
        <w:pStyle w:val="ListParagraph"/>
        <w:numPr>
          <w:ilvl w:val="0"/>
          <w:numId w:val="1"/>
        </w:numPr>
        <w:spacing w:after="60"/>
      </w:pPr>
      <w:r>
        <w:t xml:space="preserve">Every business rule built in Phases V–XIV (constraints, triggers, procedures) is enforced identically through the web app, since APEX calls the same PL/SQL rather than re-implementing logic.</w:t>
      </w:r>
    </w:p>
    <w:p>
      <w:pPr>
        <w:pStyle w:val="ListParagraph"/>
        <w:numPr>
          <w:ilvl w:val="0"/>
          <w:numId w:val="1"/>
        </w:numPr>
        <w:spacing w:after="60"/>
      </w:pPr>
      <w:r>
        <w:t xml:space="preserve">Role-based visibility (Section 4) means sensitive data (farmer national IDs, revenue figures) is only visible to the roles that need it, directly supporting the course's security-and-audit requirement.</w:t>
      </w:r>
    </w:p>
    <w:p>
      <w:pPr>
        <w:pStyle w:val="ListParagraph"/>
        <w:numPr>
          <w:ilvl w:val="0"/>
          <w:numId w:val="1"/>
        </w:numPr>
        <w:spacing w:after="60"/>
      </w:pPr>
      <w:r>
        <w:t xml:space="preserve">Built-in Interactive Reports give end users ad-hoc filtering/sorting without needing to write SQL themselves.</w:t>
      </w:r>
    </w:p>
    <w:p>
      <w:pPr>
        <w:pStyle w:val="Heading1"/>
        <w:spacing w:after="150" w:before="300"/>
      </w:pPr>
      <w:r>
        <w:t xml:space="preserve">10. Future Enhancements</w:t>
      </w:r>
    </w:p>
    <w:p>
      <w:pPr>
        <w:pStyle w:val="ListParagraph"/>
        <w:numPr>
          <w:ilvl w:val="0"/>
          <w:numId w:val="1"/>
        </w:numPr>
        <w:spacing w:after="60"/>
      </w:pPr>
      <w:r>
        <w:t xml:space="preserve">Push notifications: wire sp_generate_service_reminders (Phase VIII) and the sensor alert trigger (Phase X) to APEX's Email/SMS APIs instead of only writing to AUDIT_LOG, so overdue maintenance and drought-stress alerts reach a technician's phone directly.</w:t>
      </w:r>
    </w:p>
    <w:p>
      <w:pPr>
        <w:pStyle w:val="ListParagraph"/>
        <w:numPr>
          <w:ilvl w:val="0"/>
          <w:numId w:val="1"/>
        </w:numPr>
        <w:spacing w:after="60"/>
      </w:pPr>
      <w:r>
        <w:t xml:space="preserve">REST Data Sources: expose the sensor-reading ingestion path as a native APEX REST endpoint, so real IoT hardware could POST readings directly instead of requiring a manual INSERT.</w:t>
      </w:r>
    </w:p>
    <w:p>
      <w:pPr>
        <w:pStyle w:val="ListParagraph"/>
        <w:numPr>
          <w:ilvl w:val="0"/>
          <w:numId w:val="1"/>
        </w:numPr>
        <w:spacing w:after="60"/>
      </w:pPr>
      <w:r>
        <w:t xml:space="preserve">Map integration: plot FARM.location on an interactive map region (APEX supports this natively) for a visual view of equipment distribution across regions.</w:t>
      </w:r>
    </w:p>
    <w:p>
      <w:pPr>
        <w:pStyle w:val="ListParagraph"/>
        <w:numPr>
          <w:ilvl w:val="0"/>
          <w:numId w:val="1"/>
        </w:numPr>
        <w:spacing w:after="60"/>
      </w:pPr>
      <w:r>
        <w:t xml:space="preserve">Multi-language support: APEX's built-in translation feature could serve the interface in Kinyarwanda and French alongside English, relevant given the system's Rwandan agricultural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2026-07-07T05:06:49.081Z</dcterms:created>
  <dcterms:modified xsi:type="dcterms:W3CDTF">2026-07-07T05:06:49.095Z</dcterms:modified>
</cp:coreProperties>
</file>

<file path=docProps/custom.xml><?xml version="1.0" encoding="utf-8"?>
<Properties xmlns="http://schemas.openxmlformats.org/officeDocument/2006/custom-properties" xmlns:vt="http://schemas.openxmlformats.org/officeDocument/2006/docPropsVTypes"/>
</file>