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408CFB">
      <w:pPr>
        <w:spacing w:before="1600"/>
      </w:pPr>
    </w:p>
    <w:p w14:paraId="7441C762">
      <w:pPr>
        <w:spacing w:after="300"/>
        <w:jc w:val="center"/>
      </w:pPr>
      <w:r>
        <w:rPr>
          <w:b/>
          <w:bCs/>
          <w:color w:val="1F3A5F"/>
          <w:sz w:val="36"/>
          <w:szCs w:val="36"/>
        </w:rPr>
        <w:t>Smart Agricultural Resource and Farm Operations Management System (SARFOMS)</w:t>
      </w:r>
    </w:p>
    <w:p w14:paraId="2A1F03FB">
      <w:pPr>
        <w:spacing w:after="800"/>
        <w:jc w:val="center"/>
      </w:pPr>
      <w:r>
        <w:rPr>
          <w:color w:val="3A7D44"/>
          <w:sz w:val="28"/>
          <w:szCs w:val="28"/>
        </w:rPr>
        <w:t>Phase XVII — Testing &amp; Validation Plan</w:t>
      </w:r>
    </w:p>
    <w:p w14:paraId="6C106C09">
      <w:pPr>
        <w:spacing w:after="800"/>
        <w:jc w:val="center"/>
      </w:pPr>
      <w:r>
        <w:rPr>
          <w:sz w:val="22"/>
          <w:szCs w:val="22"/>
        </w:rPr>
        <w:t>DPR400210 – Database Programming | Final Examination (Capstone Project)</w:t>
      </w:r>
    </w:p>
    <w:p w14:paraId="7E8C5615">
      <w:pPr>
        <w:jc w:val="center"/>
      </w:pPr>
      <w:r>
        <w:rPr>
          <w:b/>
          <w:bCs/>
          <w:sz w:val="24"/>
          <w:szCs w:val="24"/>
        </w:rPr>
        <w:t>Student Name: Ruben King</w:t>
      </w:r>
    </w:p>
    <w:p w14:paraId="3DC5FA3B">
      <w:pPr>
        <w:jc w:val="center"/>
      </w:pPr>
      <w:r>
        <w:rPr>
          <w:b/>
          <w:bCs/>
          <w:sz w:val="24"/>
          <w:szCs w:val="24"/>
        </w:rPr>
        <w:t>Student ID: 29761/2025</w:t>
      </w:r>
    </w:p>
    <w:p w14:paraId="7830DB95">
      <w:r>
        <w:br w:type="page"/>
      </w:r>
    </w:p>
    <w:p w14:paraId="436FF825">
      <w:pPr>
        <w:pStyle w:val="2"/>
        <w:spacing w:before="400" w:after="200"/>
      </w:pPr>
      <w:bookmarkStart w:id="0" w:name="_Toc12148"/>
      <w:r>
        <w:t>Table of Contents</w:t>
      </w:r>
      <w:bookmarkEnd w:id="0"/>
      <w:bookmarkStart w:id="5" w:name="_GoBack"/>
      <w:bookmarkEnd w:id="5"/>
    </w:p>
    <w:p w14:paraId="2890FBE9"/>
    <w:sdt>
      <w:sdtPr>
        <w:alias w:val="Table of Contents"/>
        <w:id w:val="147462369"/>
      </w:sdtPr>
      <w:sdtContent>
        <w:p w14:paraId="16BFA237">
          <w:pPr>
            <w:pStyle w:val="2"/>
            <w:bidi w:val="0"/>
          </w:pPr>
        </w:p>
        <w:p w14:paraId="4B98D83C">
          <w:pPr>
            <w:pStyle w:val="16"/>
            <w:tabs>
              <w:tab w:val="right" w:leader="dot" w:pos="9026"/>
            </w:tabs>
          </w:pPr>
          <w:r>
            <w:fldChar w:fldCharType="begin"/>
          </w:r>
          <w:r>
            <w:instrText xml:space="preserve">TOC \o "1-3" \h \u </w:instrText>
          </w:r>
          <w:r>
            <w:fldChar w:fldCharType="separate"/>
          </w:r>
          <w:r>
            <w:fldChar w:fldCharType="begin"/>
          </w:r>
          <w:r>
            <w:instrText xml:space="preserve"> HYPERLINK \l _Toc12148 </w:instrText>
          </w:r>
          <w:r>
            <w:fldChar w:fldCharType="separate"/>
          </w:r>
          <w:r>
            <w:t>Table of Contents</w:t>
          </w:r>
          <w:r>
            <w:tab/>
          </w:r>
          <w:r>
            <w:fldChar w:fldCharType="begin"/>
          </w:r>
          <w:r>
            <w:instrText xml:space="preserve"> PAGEREF _Toc12148 \h </w:instrText>
          </w:r>
          <w:r>
            <w:fldChar w:fldCharType="separate"/>
          </w:r>
          <w:r>
            <w:t>2</w:t>
          </w:r>
          <w:r>
            <w:fldChar w:fldCharType="end"/>
          </w:r>
          <w:r>
            <w:fldChar w:fldCharType="end"/>
          </w:r>
        </w:p>
        <w:p w14:paraId="4A5697AF">
          <w:pPr>
            <w:pStyle w:val="16"/>
            <w:tabs>
              <w:tab w:val="right" w:leader="dot" w:pos="9026"/>
            </w:tabs>
          </w:pPr>
          <w:r>
            <w:fldChar w:fldCharType="begin"/>
          </w:r>
          <w:r>
            <w:instrText xml:space="preserve"> HYPERLINK \l _Toc5903 </w:instrText>
          </w:r>
          <w:r>
            <w:fldChar w:fldCharType="separate"/>
          </w:r>
          <w:r>
            <w:t>1. Testing Strategy</w:t>
          </w:r>
          <w:r>
            <w:tab/>
          </w:r>
          <w:r>
            <w:fldChar w:fldCharType="begin"/>
          </w:r>
          <w:r>
            <w:instrText xml:space="preserve"> PAGEREF _Toc5903 \h </w:instrText>
          </w:r>
          <w:r>
            <w:fldChar w:fldCharType="separate"/>
          </w:r>
          <w:r>
            <w:t>3</w:t>
          </w:r>
          <w:r>
            <w:fldChar w:fldCharType="end"/>
          </w:r>
          <w:r>
            <w:fldChar w:fldCharType="end"/>
          </w:r>
        </w:p>
        <w:p w14:paraId="354DBEA2">
          <w:pPr>
            <w:pStyle w:val="16"/>
            <w:tabs>
              <w:tab w:val="right" w:leader="dot" w:pos="9026"/>
            </w:tabs>
          </w:pPr>
          <w:r>
            <w:fldChar w:fldCharType="begin"/>
          </w:r>
          <w:r>
            <w:instrText xml:space="preserve"> HYPERLINK \l _Toc5111 </w:instrText>
          </w:r>
          <w:r>
            <w:fldChar w:fldCharType="separate"/>
          </w:r>
          <w:r>
            <w:t>2. Automated SQL/PL-SQL Test Cases</w:t>
          </w:r>
          <w:r>
            <w:tab/>
          </w:r>
          <w:r>
            <w:fldChar w:fldCharType="begin"/>
          </w:r>
          <w:r>
            <w:instrText xml:space="preserve"> PAGEREF _Toc5111 \h </w:instrText>
          </w:r>
          <w:r>
            <w:fldChar w:fldCharType="separate"/>
          </w:r>
          <w:r>
            <w:t>3</w:t>
          </w:r>
          <w:r>
            <w:fldChar w:fldCharType="end"/>
          </w:r>
          <w:r>
            <w:fldChar w:fldCharType="end"/>
          </w:r>
        </w:p>
        <w:p w14:paraId="5379E783">
          <w:pPr>
            <w:pStyle w:val="16"/>
            <w:tabs>
              <w:tab w:val="right" w:leader="dot" w:pos="9026"/>
            </w:tabs>
          </w:pPr>
          <w:r>
            <w:fldChar w:fldCharType="begin"/>
          </w:r>
          <w:r>
            <w:instrText xml:space="preserve"> HYPERLINK \l _Toc17094 </w:instrText>
          </w:r>
          <w:r>
            <w:fldChar w:fldCharType="separate"/>
          </w:r>
          <w:r>
            <w:t>3. Manual Oracle APEX UI Test Cases</w:t>
          </w:r>
          <w:r>
            <w:tab/>
          </w:r>
          <w:r>
            <w:fldChar w:fldCharType="begin"/>
          </w:r>
          <w:r>
            <w:instrText xml:space="preserve"> PAGEREF _Toc17094 \h </w:instrText>
          </w:r>
          <w:r>
            <w:fldChar w:fldCharType="separate"/>
          </w:r>
          <w:r>
            <w:t>5</w:t>
          </w:r>
          <w:r>
            <w:fldChar w:fldCharType="end"/>
          </w:r>
          <w:r>
            <w:fldChar w:fldCharType="end"/>
          </w:r>
        </w:p>
        <w:p w14:paraId="4E2D03D2">
          <w:pPr>
            <w:pStyle w:val="16"/>
            <w:tabs>
              <w:tab w:val="right" w:leader="dot" w:pos="9026"/>
            </w:tabs>
          </w:pPr>
          <w:r>
            <w:fldChar w:fldCharType="begin"/>
          </w:r>
          <w:r>
            <w:instrText xml:space="preserve"> HYPERLINK \l _Toc17332 </w:instrText>
          </w:r>
          <w:r>
            <w:fldChar w:fldCharType="separate"/>
          </w:r>
          <w:r>
            <w:t>4. Defect Handling and Retesting Approach</w:t>
          </w:r>
          <w:r>
            <w:tab/>
          </w:r>
          <w:r>
            <w:fldChar w:fldCharType="begin"/>
          </w:r>
          <w:r>
            <w:instrText xml:space="preserve"> PAGEREF _Toc17332 \h </w:instrText>
          </w:r>
          <w:r>
            <w:fldChar w:fldCharType="separate"/>
          </w:r>
          <w:r>
            <w:t>6</w:t>
          </w:r>
          <w:r>
            <w:fldChar w:fldCharType="end"/>
          </w:r>
          <w:r>
            <w:fldChar w:fldCharType="end"/>
          </w:r>
        </w:p>
        <w:p w14:paraId="3A57653D">
          <w:r>
            <w:fldChar w:fldCharType="end"/>
          </w:r>
        </w:p>
      </w:sdtContent>
    </w:sdt>
    <w:p w14:paraId="5A02B868">
      <w:r>
        <w:br w:type="page"/>
      </w:r>
    </w:p>
    <w:p w14:paraId="6983B99F">
      <w:pPr>
        <w:pStyle w:val="2"/>
        <w:spacing w:before="400" w:after="200"/>
      </w:pPr>
      <w:bookmarkStart w:id="1" w:name="_Toc5903"/>
      <w:r>
        <w:t>1. Testing Strategy</w:t>
      </w:r>
      <w:bookmarkEnd w:id="1"/>
    </w:p>
    <w:p w14:paraId="119C59F1">
      <w:pPr>
        <w:spacing w:after="150"/>
      </w:pPr>
      <w:r>
        <w:t>Testing for SARFOMS is split deliberately into two layers, because they catch different classes of defect:</w:t>
      </w:r>
    </w:p>
    <w:p w14:paraId="7D156BF9">
      <w:pPr>
        <w:pStyle w:val="17"/>
        <w:numPr>
          <w:ilvl w:val="0"/>
          <w:numId w:val="1"/>
        </w:numPr>
        <w:spacing w:after="60"/>
      </w:pPr>
      <w:r>
        <w:t>Automated SQL/PL-SQL tests (Section 2) — verify that constraints, triggers, functions, procedures, packages, views, and cursors behave exactly as designed at the database layer. These are executed by running 29761_2025_RubenKing_SARFOMS_Testing.sql and reading the PASS/FAIL/SKIP summary printed via DBMS_OUTPUT.</w:t>
      </w:r>
    </w:p>
    <w:p w14:paraId="5DB0135D">
      <w:pPr>
        <w:pStyle w:val="17"/>
        <w:numPr>
          <w:ilvl w:val="0"/>
          <w:numId w:val="1"/>
        </w:numPr>
        <w:spacing w:after="60"/>
      </w:pPr>
      <w:r>
        <w:t>Manual Oracle APEX UI tests (Section 3) — verify things that can only be observed through the application interface: authentication flow, role-based page access, inline form validation messages, and session behavior. These cannot be scripted in SQL because they test the APEX layer sitting on top of the database, not the database itself.</w:t>
      </w:r>
    </w:p>
    <w:p w14:paraId="78C65488">
      <w:pPr>
        <w:spacing w:after="150"/>
      </w:pPr>
      <w:r>
        <w:t>A test is only considered fully verified once both layers agree: the database enforces the rule, AND the application surfaces that enforcement in a way an end user can understand.</w:t>
      </w:r>
    </w:p>
    <w:p w14:paraId="72D9ADC5">
      <w:pPr>
        <w:pStyle w:val="2"/>
        <w:spacing w:before="400" w:after="200"/>
      </w:pPr>
      <w:bookmarkStart w:id="2" w:name="_Toc5111"/>
      <w:r>
        <w:t>2. Automated SQL/PL-SQL Test Cases</w:t>
      </w:r>
      <w:bookmarkEnd w:id="2"/>
    </w:p>
    <w:p w14:paraId="0162B72F">
      <w:pPr>
        <w:spacing w:after="150"/>
      </w:pPr>
      <w:r>
        <w:t>Executed via 29761_2025_RubenKing_SARFOMS_Testing.sql. Each test is non-destructive: any INSERT/UPDATE/DELETE used to trigger a test condition is wrapped in a SAVEPOINT and rolled back immediately after the assertion, so the sample dataset is unchanged after the script completes.</w:t>
      </w:r>
    </w:p>
    <w:tbl>
      <w:tblPr>
        <w:tblStyle w:val="9"/>
        <w:tblW w:w="10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2300"/>
        <w:gridCol w:w="4500"/>
        <w:gridCol w:w="2500"/>
      </w:tblGrid>
      <w:tr w14:paraId="42494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1F3A5F"/>
          </w:tcPr>
          <w:p w14:paraId="6E6F69D0">
            <w:r>
              <w:rPr>
                <w:b/>
                <w:bCs/>
                <w:color w:val="FFFFFF"/>
                <w:sz w:val="18"/>
                <w:szCs w:val="18"/>
              </w:rPr>
              <w:t>ID</w:t>
            </w:r>
          </w:p>
        </w:tc>
        <w:tc>
          <w:tcPr>
            <w:tcW w:w="2300" w:type="dxa"/>
            <w:tcBorders>
              <w:top w:val="single" w:color="CCCCCC" w:sz="2" w:space="0"/>
              <w:left w:val="single" w:color="CCCCCC" w:sz="2" w:space="0"/>
              <w:bottom w:val="single" w:color="CCCCCC" w:sz="2" w:space="0"/>
              <w:right w:val="single" w:color="CCCCCC" w:sz="2" w:space="0"/>
            </w:tcBorders>
            <w:shd w:val="clear" w:color="auto" w:fill="1F3A5F"/>
          </w:tcPr>
          <w:p w14:paraId="34482343">
            <w:r>
              <w:rPr>
                <w:b/>
                <w:bCs/>
                <w:color w:val="FFFFFF"/>
                <w:sz w:val="18"/>
                <w:szCs w:val="18"/>
              </w:rPr>
              <w:t>Category</w:t>
            </w:r>
          </w:p>
        </w:tc>
        <w:tc>
          <w:tcPr>
            <w:tcW w:w="4500" w:type="dxa"/>
            <w:tcBorders>
              <w:top w:val="single" w:color="CCCCCC" w:sz="2" w:space="0"/>
              <w:left w:val="single" w:color="CCCCCC" w:sz="2" w:space="0"/>
              <w:bottom w:val="single" w:color="CCCCCC" w:sz="2" w:space="0"/>
              <w:right w:val="single" w:color="CCCCCC" w:sz="2" w:space="0"/>
            </w:tcBorders>
            <w:shd w:val="clear" w:color="auto" w:fill="1F3A5F"/>
          </w:tcPr>
          <w:p w14:paraId="09AA6989">
            <w:r>
              <w:rPr>
                <w:b/>
                <w:bCs/>
                <w:color w:val="FFFFFF"/>
                <w:sz w:val="18"/>
                <w:szCs w:val="18"/>
              </w:rPr>
              <w:t>Objective</w:t>
            </w:r>
          </w:p>
        </w:tc>
        <w:tc>
          <w:tcPr>
            <w:tcW w:w="2500" w:type="dxa"/>
            <w:tcBorders>
              <w:top w:val="single" w:color="CCCCCC" w:sz="2" w:space="0"/>
              <w:left w:val="single" w:color="CCCCCC" w:sz="2" w:space="0"/>
              <w:bottom w:val="single" w:color="CCCCCC" w:sz="2" w:space="0"/>
              <w:right w:val="single" w:color="CCCCCC" w:sz="2" w:space="0"/>
            </w:tcBorders>
            <w:shd w:val="clear" w:color="auto" w:fill="1F3A5F"/>
          </w:tcPr>
          <w:p w14:paraId="3F00F6DC">
            <w:r>
              <w:rPr>
                <w:b/>
                <w:bCs/>
                <w:color w:val="FFFFFF"/>
                <w:sz w:val="18"/>
                <w:szCs w:val="18"/>
              </w:rPr>
              <w:t>Expected Result</w:t>
            </w:r>
          </w:p>
        </w:tc>
      </w:tr>
      <w:tr w14:paraId="373E2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5EF7EF03">
            <w:r>
              <w:rPr>
                <w:sz w:val="18"/>
                <w:szCs w:val="18"/>
              </w:rPr>
              <w:t>T01</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7BCB7FA7">
            <w:r>
              <w:rPr>
                <w:sz w:val="18"/>
                <w:szCs w:val="18"/>
              </w:rPr>
              <w:t>Schema integrity</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32B807DF">
            <w:r>
              <w:rPr>
                <w:sz w:val="18"/>
                <w:szCs w:val="18"/>
              </w:rPr>
              <w:t>All 13 core tables exist and are queryable</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6E98C307">
            <w:r>
              <w:rPr>
                <w:sz w:val="18"/>
                <w:szCs w:val="18"/>
              </w:rPr>
              <w:t>All 13 tables return a row count with no error</w:t>
            </w:r>
          </w:p>
        </w:tc>
      </w:tr>
      <w:tr w14:paraId="7B894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7530258A">
            <w:r>
              <w:rPr>
                <w:sz w:val="18"/>
                <w:szCs w:val="18"/>
              </w:rPr>
              <w:t>T02</w:t>
            </w:r>
          </w:p>
        </w:tc>
        <w:tc>
          <w:tcPr>
            <w:tcW w:w="2300" w:type="dxa"/>
            <w:tcBorders>
              <w:top w:val="single" w:color="CCCCCC" w:sz="2" w:space="0"/>
              <w:left w:val="single" w:color="CCCCCC" w:sz="2" w:space="0"/>
              <w:bottom w:val="single" w:color="CCCCCC" w:sz="2" w:space="0"/>
              <w:right w:val="single" w:color="CCCCCC" w:sz="2" w:space="0"/>
            </w:tcBorders>
          </w:tcPr>
          <w:p w14:paraId="031F66D9">
            <w:r>
              <w:rPr>
                <w:sz w:val="18"/>
                <w:szCs w:val="18"/>
              </w:rPr>
              <w:t>Data volume</w:t>
            </w:r>
          </w:p>
        </w:tc>
        <w:tc>
          <w:tcPr>
            <w:tcW w:w="4500" w:type="dxa"/>
            <w:tcBorders>
              <w:top w:val="single" w:color="CCCCCC" w:sz="2" w:space="0"/>
              <w:left w:val="single" w:color="CCCCCC" w:sz="2" w:space="0"/>
              <w:bottom w:val="single" w:color="CCCCCC" w:sz="2" w:space="0"/>
              <w:right w:val="single" w:color="CCCCCC" w:sz="2" w:space="0"/>
            </w:tcBorders>
          </w:tcPr>
          <w:p w14:paraId="7BDD5C9A">
            <w:r>
              <w:rPr>
                <w:sz w:val="18"/>
                <w:szCs w:val="18"/>
              </w:rPr>
              <w:t>FARMER contains at least 15 sample rows</w:t>
            </w:r>
          </w:p>
        </w:tc>
        <w:tc>
          <w:tcPr>
            <w:tcW w:w="2500" w:type="dxa"/>
            <w:tcBorders>
              <w:top w:val="single" w:color="CCCCCC" w:sz="2" w:space="0"/>
              <w:left w:val="single" w:color="CCCCCC" w:sz="2" w:space="0"/>
              <w:bottom w:val="single" w:color="CCCCCC" w:sz="2" w:space="0"/>
              <w:right w:val="single" w:color="CCCCCC" w:sz="2" w:space="0"/>
            </w:tcBorders>
          </w:tcPr>
          <w:p w14:paraId="3C24D389">
            <w:r>
              <w:rPr>
                <w:sz w:val="18"/>
                <w:szCs w:val="18"/>
              </w:rPr>
              <w:t>COUNT &gt;= 15</w:t>
            </w:r>
          </w:p>
        </w:tc>
      </w:tr>
      <w:tr w14:paraId="13387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1F7149ED">
            <w:r>
              <w:rPr>
                <w:sz w:val="18"/>
                <w:szCs w:val="18"/>
              </w:rPr>
              <w:t>T03</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57D4232A">
            <w:r>
              <w:rPr>
                <w:sz w:val="18"/>
                <w:szCs w:val="18"/>
              </w:rPr>
              <w:t>Data volume</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024DB3BE">
            <w:r>
              <w:rPr>
                <w:sz w:val="18"/>
                <w:szCs w:val="18"/>
              </w:rPr>
              <w:t>BOOKING contains at least 20 sample rows</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3A0999CB">
            <w:r>
              <w:rPr>
                <w:sz w:val="18"/>
                <w:szCs w:val="18"/>
              </w:rPr>
              <w:t>COUNT &gt;= 20</w:t>
            </w:r>
          </w:p>
        </w:tc>
      </w:tr>
      <w:tr w14:paraId="3BE98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7E96F38">
            <w:r>
              <w:rPr>
                <w:sz w:val="18"/>
                <w:szCs w:val="18"/>
              </w:rPr>
              <w:t>T04</w:t>
            </w:r>
          </w:p>
        </w:tc>
        <w:tc>
          <w:tcPr>
            <w:tcW w:w="2300" w:type="dxa"/>
            <w:tcBorders>
              <w:top w:val="single" w:color="CCCCCC" w:sz="2" w:space="0"/>
              <w:left w:val="single" w:color="CCCCCC" w:sz="2" w:space="0"/>
              <w:bottom w:val="single" w:color="CCCCCC" w:sz="2" w:space="0"/>
              <w:right w:val="single" w:color="CCCCCC" w:sz="2" w:space="0"/>
            </w:tcBorders>
          </w:tcPr>
          <w:p w14:paraId="6033D48D">
            <w:r>
              <w:rPr>
                <w:sz w:val="18"/>
                <w:szCs w:val="18"/>
              </w:rPr>
              <w:t>Constraint</w:t>
            </w:r>
          </w:p>
        </w:tc>
        <w:tc>
          <w:tcPr>
            <w:tcW w:w="4500" w:type="dxa"/>
            <w:tcBorders>
              <w:top w:val="single" w:color="CCCCCC" w:sz="2" w:space="0"/>
              <w:left w:val="single" w:color="CCCCCC" w:sz="2" w:space="0"/>
              <w:bottom w:val="single" w:color="CCCCCC" w:sz="2" w:space="0"/>
              <w:right w:val="single" w:color="CCCCCC" w:sz="2" w:space="0"/>
            </w:tcBorders>
          </w:tcPr>
          <w:p w14:paraId="4B1A6166">
            <w:r>
              <w:rPr>
                <w:sz w:val="18"/>
                <w:szCs w:val="18"/>
              </w:rPr>
              <w:t>Negative EQUIPMENT.daily_rate is rejected</w:t>
            </w:r>
          </w:p>
        </w:tc>
        <w:tc>
          <w:tcPr>
            <w:tcW w:w="2500" w:type="dxa"/>
            <w:tcBorders>
              <w:top w:val="single" w:color="CCCCCC" w:sz="2" w:space="0"/>
              <w:left w:val="single" w:color="CCCCCC" w:sz="2" w:space="0"/>
              <w:bottom w:val="single" w:color="CCCCCC" w:sz="2" w:space="0"/>
              <w:right w:val="single" w:color="CCCCCC" w:sz="2" w:space="0"/>
            </w:tcBorders>
          </w:tcPr>
          <w:p w14:paraId="6110AF20">
            <w:r>
              <w:rPr>
                <w:sz w:val="18"/>
                <w:szCs w:val="18"/>
              </w:rPr>
              <w:t>INSERT raises an exception</w:t>
            </w:r>
          </w:p>
        </w:tc>
      </w:tr>
      <w:tr w14:paraId="510C9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1A344299">
            <w:r>
              <w:rPr>
                <w:sz w:val="18"/>
                <w:szCs w:val="18"/>
              </w:rPr>
              <w:t>T05</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061F9876">
            <w:r>
              <w:rPr>
                <w:sz w:val="18"/>
                <w:szCs w:val="18"/>
              </w:rPr>
              <w:t>Constraint</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227E9B37">
            <w:r>
              <w:rPr>
                <w:sz w:val="18"/>
                <w:szCs w:val="18"/>
              </w:rPr>
              <w:t>Non-positive FARM.size_hectares is rejected</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46240986">
            <w:r>
              <w:rPr>
                <w:sz w:val="18"/>
                <w:szCs w:val="18"/>
              </w:rPr>
              <w:t>INSERT raises an exception</w:t>
            </w:r>
          </w:p>
        </w:tc>
      </w:tr>
      <w:tr w14:paraId="19A94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7334BF84">
            <w:r>
              <w:rPr>
                <w:sz w:val="18"/>
                <w:szCs w:val="18"/>
              </w:rPr>
              <w:t>T06</w:t>
            </w:r>
          </w:p>
        </w:tc>
        <w:tc>
          <w:tcPr>
            <w:tcW w:w="2300" w:type="dxa"/>
            <w:tcBorders>
              <w:top w:val="single" w:color="CCCCCC" w:sz="2" w:space="0"/>
              <w:left w:val="single" w:color="CCCCCC" w:sz="2" w:space="0"/>
              <w:bottom w:val="single" w:color="CCCCCC" w:sz="2" w:space="0"/>
              <w:right w:val="single" w:color="CCCCCC" w:sz="2" w:space="0"/>
            </w:tcBorders>
          </w:tcPr>
          <w:p w14:paraId="3595C8D2">
            <w:r>
              <w:rPr>
                <w:sz w:val="18"/>
                <w:szCs w:val="18"/>
              </w:rPr>
              <w:t>Constraint</w:t>
            </w:r>
          </w:p>
        </w:tc>
        <w:tc>
          <w:tcPr>
            <w:tcW w:w="4500" w:type="dxa"/>
            <w:tcBorders>
              <w:top w:val="single" w:color="CCCCCC" w:sz="2" w:space="0"/>
              <w:left w:val="single" w:color="CCCCCC" w:sz="2" w:space="0"/>
              <w:bottom w:val="single" w:color="CCCCCC" w:sz="2" w:space="0"/>
              <w:right w:val="single" w:color="CCCCCC" w:sz="2" w:space="0"/>
            </w:tcBorders>
          </w:tcPr>
          <w:p w14:paraId="416B8BBD">
            <w:r>
              <w:rPr>
                <w:sz w:val="18"/>
                <w:szCs w:val="18"/>
              </w:rPr>
              <w:t>Duplicate FARMER.national_id is rejected</w:t>
            </w:r>
          </w:p>
        </w:tc>
        <w:tc>
          <w:tcPr>
            <w:tcW w:w="2500" w:type="dxa"/>
            <w:tcBorders>
              <w:top w:val="single" w:color="CCCCCC" w:sz="2" w:space="0"/>
              <w:left w:val="single" w:color="CCCCCC" w:sz="2" w:space="0"/>
              <w:bottom w:val="single" w:color="CCCCCC" w:sz="2" w:space="0"/>
              <w:right w:val="single" w:color="CCCCCC" w:sz="2" w:space="0"/>
            </w:tcBorders>
          </w:tcPr>
          <w:p w14:paraId="52FA81DA">
            <w:r>
              <w:rPr>
                <w:sz w:val="18"/>
                <w:szCs w:val="18"/>
              </w:rPr>
              <w:t>INSERT raises an exception</w:t>
            </w:r>
          </w:p>
        </w:tc>
      </w:tr>
      <w:tr w14:paraId="3A83A2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18FF98AC">
            <w:r>
              <w:rPr>
                <w:sz w:val="18"/>
                <w:szCs w:val="18"/>
              </w:rPr>
              <w:t>T07</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61F92F49">
            <w:r>
              <w:rPr>
                <w:sz w:val="18"/>
                <w:szCs w:val="18"/>
              </w:rPr>
              <w:t>Constraint (FK)</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6D46CEF9">
            <w:r>
              <w:rPr>
                <w:sz w:val="18"/>
                <w:szCs w:val="18"/>
              </w:rPr>
              <w:t>BOOKING referencing a non-existent equipment_id is rejected</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1450B099">
            <w:r>
              <w:rPr>
                <w:sz w:val="18"/>
                <w:szCs w:val="18"/>
              </w:rPr>
              <w:t>INSERT raises an exception</w:t>
            </w:r>
          </w:p>
        </w:tc>
      </w:tr>
      <w:tr w14:paraId="24731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48F83FEA">
            <w:r>
              <w:rPr>
                <w:sz w:val="18"/>
                <w:szCs w:val="18"/>
              </w:rPr>
              <w:t>T08</w:t>
            </w:r>
          </w:p>
        </w:tc>
        <w:tc>
          <w:tcPr>
            <w:tcW w:w="2300" w:type="dxa"/>
            <w:tcBorders>
              <w:top w:val="single" w:color="CCCCCC" w:sz="2" w:space="0"/>
              <w:left w:val="single" w:color="CCCCCC" w:sz="2" w:space="0"/>
              <w:bottom w:val="single" w:color="CCCCCC" w:sz="2" w:space="0"/>
              <w:right w:val="single" w:color="CCCCCC" w:sz="2" w:space="0"/>
            </w:tcBorders>
          </w:tcPr>
          <w:p w14:paraId="7215904E">
            <w:r>
              <w:rPr>
                <w:sz w:val="18"/>
                <w:szCs w:val="18"/>
              </w:rPr>
              <w:t>Trigger (mandatory rule)</w:t>
            </w:r>
          </w:p>
        </w:tc>
        <w:tc>
          <w:tcPr>
            <w:tcW w:w="4500" w:type="dxa"/>
            <w:tcBorders>
              <w:top w:val="single" w:color="CCCCCC" w:sz="2" w:space="0"/>
              <w:left w:val="single" w:color="CCCCCC" w:sz="2" w:space="0"/>
              <w:bottom w:val="single" w:color="CCCCCC" w:sz="2" w:space="0"/>
              <w:right w:val="single" w:color="CCCCCC" w:sz="2" w:space="0"/>
            </w:tcBorders>
          </w:tcPr>
          <w:p w14:paraId="7D4B90E6">
            <w:r>
              <w:rPr>
                <w:sz w:val="18"/>
                <w:szCs w:val="18"/>
              </w:rPr>
              <w:t>Weekday/holiday lock blocks BOOKING changes on a weekday/holiday, allows them on a weekend</w:t>
            </w:r>
          </w:p>
        </w:tc>
        <w:tc>
          <w:tcPr>
            <w:tcW w:w="2500" w:type="dxa"/>
            <w:tcBorders>
              <w:top w:val="single" w:color="CCCCCC" w:sz="2" w:space="0"/>
              <w:left w:val="single" w:color="CCCCCC" w:sz="2" w:space="0"/>
              <w:bottom w:val="single" w:color="CCCCCC" w:sz="2" w:space="0"/>
              <w:right w:val="single" w:color="CCCCCC" w:sz="2" w:space="0"/>
            </w:tcBorders>
          </w:tcPr>
          <w:p w14:paraId="0CB4FBE2">
            <w:r>
              <w:rPr>
                <w:sz w:val="18"/>
                <w:szCs w:val="18"/>
              </w:rPr>
              <w:t>Behavior matches today's actual calendar date</w:t>
            </w:r>
          </w:p>
        </w:tc>
      </w:tr>
      <w:tr w14:paraId="48C137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397C4E16">
            <w:r>
              <w:rPr>
                <w:sz w:val="18"/>
                <w:szCs w:val="18"/>
              </w:rPr>
              <w:t>T09</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7D970A33">
            <w:r>
              <w:rPr>
                <w:sz w:val="18"/>
                <w:szCs w:val="18"/>
              </w:rPr>
              <w:t>Business logic</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1F88ED16">
            <w:r>
              <w:rPr>
                <w:sz w:val="18"/>
                <w:szCs w:val="18"/>
              </w:rPr>
              <w:t>Overlap-conflict query correctly detects the known conflicting bookings on equipment_id 5</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76B6F3CD">
            <w:r>
              <w:rPr>
                <w:sz w:val="18"/>
                <w:szCs w:val="18"/>
              </w:rPr>
              <w:t>COUNT &gt;= 2</w:t>
            </w:r>
          </w:p>
        </w:tc>
      </w:tr>
      <w:tr w14:paraId="5DDDE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14D32CA1">
            <w:r>
              <w:rPr>
                <w:sz w:val="18"/>
                <w:szCs w:val="18"/>
              </w:rPr>
              <w:t>T10</w:t>
            </w:r>
          </w:p>
        </w:tc>
        <w:tc>
          <w:tcPr>
            <w:tcW w:w="2300" w:type="dxa"/>
            <w:tcBorders>
              <w:top w:val="single" w:color="CCCCCC" w:sz="2" w:space="0"/>
              <w:left w:val="single" w:color="CCCCCC" w:sz="2" w:space="0"/>
              <w:bottom w:val="single" w:color="CCCCCC" w:sz="2" w:space="0"/>
              <w:right w:val="single" w:color="CCCCCC" w:sz="2" w:space="0"/>
            </w:tcBorders>
          </w:tcPr>
          <w:p w14:paraId="4A1EBFF0">
            <w:r>
              <w:rPr>
                <w:sz w:val="18"/>
                <w:szCs w:val="18"/>
              </w:rPr>
              <w:t>Trigger (cascade)</w:t>
            </w:r>
          </w:p>
        </w:tc>
        <w:tc>
          <w:tcPr>
            <w:tcW w:w="4500" w:type="dxa"/>
            <w:tcBorders>
              <w:top w:val="single" w:color="CCCCCC" w:sz="2" w:space="0"/>
              <w:left w:val="single" w:color="CCCCCC" w:sz="2" w:space="0"/>
              <w:bottom w:val="single" w:color="CCCCCC" w:sz="2" w:space="0"/>
              <w:right w:val="single" w:color="CCCCCC" w:sz="2" w:space="0"/>
            </w:tcBorders>
          </w:tcPr>
          <w:p w14:paraId="1590D945">
            <w:r>
              <w:rPr>
                <w:sz w:val="18"/>
                <w:szCs w:val="18"/>
              </w:rPr>
              <w:t>EQUIPMENT.status auto-updates to RENTED when its BOOKING is CONFIRMED</w:t>
            </w:r>
          </w:p>
        </w:tc>
        <w:tc>
          <w:tcPr>
            <w:tcW w:w="2500" w:type="dxa"/>
            <w:tcBorders>
              <w:top w:val="single" w:color="CCCCCC" w:sz="2" w:space="0"/>
              <w:left w:val="single" w:color="CCCCCC" w:sz="2" w:space="0"/>
              <w:bottom w:val="single" w:color="CCCCCC" w:sz="2" w:space="0"/>
              <w:right w:val="single" w:color="CCCCCC" w:sz="2" w:space="0"/>
            </w:tcBorders>
          </w:tcPr>
          <w:p w14:paraId="24A4A0BA">
            <w:r>
              <w:rPr>
                <w:sz w:val="18"/>
                <w:szCs w:val="18"/>
              </w:rPr>
              <w:t>Status changes correctly (SKIPPED on weekdays — see note below)</w:t>
            </w:r>
          </w:p>
        </w:tc>
      </w:tr>
      <w:tr w14:paraId="41F4B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2456D4E4">
            <w:r>
              <w:rPr>
                <w:sz w:val="18"/>
                <w:szCs w:val="18"/>
              </w:rPr>
              <w:t>T11</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555F6006">
            <w:r>
              <w:rPr>
                <w:sz w:val="18"/>
                <w:szCs w:val="18"/>
              </w:rPr>
              <w:t>Trigger (audit)</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63CDBD91">
            <w:r>
              <w:rPr>
                <w:sz w:val="18"/>
                <w:szCs w:val="18"/>
              </w:rPr>
              <w:t>Updating PAYMENT creates a new AUDIT_LOG row</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730CE183">
            <w:r>
              <w:rPr>
                <w:sz w:val="18"/>
                <w:szCs w:val="18"/>
              </w:rPr>
              <w:t>AUDIT_LOG row count increases by at least 1</w:t>
            </w:r>
          </w:p>
        </w:tc>
      </w:tr>
      <w:tr w14:paraId="6031C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9F78B33">
            <w:r>
              <w:rPr>
                <w:sz w:val="18"/>
                <w:szCs w:val="18"/>
              </w:rPr>
              <w:t>T12</w:t>
            </w:r>
          </w:p>
        </w:tc>
        <w:tc>
          <w:tcPr>
            <w:tcW w:w="2300" w:type="dxa"/>
            <w:tcBorders>
              <w:top w:val="single" w:color="CCCCCC" w:sz="2" w:space="0"/>
              <w:left w:val="single" w:color="CCCCCC" w:sz="2" w:space="0"/>
              <w:bottom w:val="single" w:color="CCCCCC" w:sz="2" w:space="0"/>
              <w:right w:val="single" w:color="CCCCCC" w:sz="2" w:space="0"/>
            </w:tcBorders>
          </w:tcPr>
          <w:p w14:paraId="64E7FBF2">
            <w:r>
              <w:rPr>
                <w:sz w:val="18"/>
                <w:szCs w:val="18"/>
              </w:rPr>
              <w:t>Trigger (referential)</w:t>
            </w:r>
          </w:p>
        </w:tc>
        <w:tc>
          <w:tcPr>
            <w:tcW w:w="4500" w:type="dxa"/>
            <w:tcBorders>
              <w:top w:val="single" w:color="CCCCCC" w:sz="2" w:space="0"/>
              <w:left w:val="single" w:color="CCCCCC" w:sz="2" w:space="0"/>
              <w:bottom w:val="single" w:color="CCCCCC" w:sz="2" w:space="0"/>
              <w:right w:val="single" w:color="CCCCCC" w:sz="2" w:space="0"/>
            </w:tcBorders>
          </w:tcPr>
          <w:p w14:paraId="6289E08F">
            <w:r>
              <w:rPr>
                <w:sz w:val="18"/>
                <w:szCs w:val="18"/>
              </w:rPr>
              <w:t>Deleting a FARMER with existing bookings is blocked</w:t>
            </w:r>
          </w:p>
        </w:tc>
        <w:tc>
          <w:tcPr>
            <w:tcW w:w="2500" w:type="dxa"/>
            <w:tcBorders>
              <w:top w:val="single" w:color="CCCCCC" w:sz="2" w:space="0"/>
              <w:left w:val="single" w:color="CCCCCC" w:sz="2" w:space="0"/>
              <w:bottom w:val="single" w:color="CCCCCC" w:sz="2" w:space="0"/>
              <w:right w:val="single" w:color="CCCCCC" w:sz="2" w:space="0"/>
            </w:tcBorders>
          </w:tcPr>
          <w:p w14:paraId="7E474D9C">
            <w:r>
              <w:rPr>
                <w:sz w:val="18"/>
                <w:szCs w:val="18"/>
              </w:rPr>
              <w:t>DELETE raises a custom exception</w:t>
            </w:r>
          </w:p>
        </w:tc>
      </w:tr>
      <w:tr w14:paraId="3F165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50F79E91">
            <w:r>
              <w:rPr>
                <w:sz w:val="18"/>
                <w:szCs w:val="18"/>
              </w:rPr>
              <w:t>T13</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29FFDC6F">
            <w:r>
              <w:rPr>
                <w:sz w:val="18"/>
                <w:szCs w:val="18"/>
              </w:rPr>
              <w:t>Trigger (referential)</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1DA395AB">
            <w:r>
              <w:rPr>
                <w:sz w:val="18"/>
                <w:szCs w:val="18"/>
              </w:rPr>
              <w:t>Deleting a completed/costed MAINTENANCE_RECORD is blocked</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7EE80B12">
            <w:r>
              <w:rPr>
                <w:sz w:val="18"/>
                <w:szCs w:val="18"/>
              </w:rPr>
              <w:t>DELETE raises a custom exception</w:t>
            </w:r>
          </w:p>
        </w:tc>
      </w:tr>
      <w:tr w14:paraId="64F1F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2CAEE28A">
            <w:r>
              <w:rPr>
                <w:sz w:val="18"/>
                <w:szCs w:val="18"/>
              </w:rPr>
              <w:t>T14</w:t>
            </w:r>
          </w:p>
        </w:tc>
        <w:tc>
          <w:tcPr>
            <w:tcW w:w="2300" w:type="dxa"/>
            <w:tcBorders>
              <w:top w:val="single" w:color="CCCCCC" w:sz="2" w:space="0"/>
              <w:left w:val="single" w:color="CCCCCC" w:sz="2" w:space="0"/>
              <w:bottom w:val="single" w:color="CCCCCC" w:sz="2" w:space="0"/>
              <w:right w:val="single" w:color="CCCCCC" w:sz="2" w:space="0"/>
            </w:tcBorders>
          </w:tcPr>
          <w:p w14:paraId="4397F7B2">
            <w:r>
              <w:rPr>
                <w:sz w:val="18"/>
                <w:szCs w:val="18"/>
              </w:rPr>
              <w:t>Sequence</w:t>
            </w:r>
          </w:p>
        </w:tc>
        <w:tc>
          <w:tcPr>
            <w:tcW w:w="4500" w:type="dxa"/>
            <w:tcBorders>
              <w:top w:val="single" w:color="CCCCCC" w:sz="2" w:space="0"/>
              <w:left w:val="single" w:color="CCCCCC" w:sz="2" w:space="0"/>
              <w:bottom w:val="single" w:color="CCCCCC" w:sz="2" w:space="0"/>
              <w:right w:val="single" w:color="CCCCCC" w:sz="2" w:space="0"/>
            </w:tcBorders>
          </w:tcPr>
          <w:p w14:paraId="015A2CB0">
            <w:r>
              <w:rPr>
                <w:sz w:val="18"/>
                <w:szCs w:val="18"/>
              </w:rPr>
              <w:t>seq_equipment.NEXTVAL increases monotonically</w:t>
            </w:r>
          </w:p>
        </w:tc>
        <w:tc>
          <w:tcPr>
            <w:tcW w:w="2500" w:type="dxa"/>
            <w:tcBorders>
              <w:top w:val="single" w:color="CCCCCC" w:sz="2" w:space="0"/>
              <w:left w:val="single" w:color="CCCCCC" w:sz="2" w:space="0"/>
              <w:bottom w:val="single" w:color="CCCCCC" w:sz="2" w:space="0"/>
              <w:right w:val="single" w:color="CCCCCC" w:sz="2" w:space="0"/>
            </w:tcBorders>
          </w:tcPr>
          <w:p w14:paraId="7007ADA4">
            <w:r>
              <w:rPr>
                <w:sz w:val="18"/>
                <w:szCs w:val="18"/>
              </w:rPr>
              <w:t>Second value = first value + 1</w:t>
            </w:r>
          </w:p>
        </w:tc>
      </w:tr>
      <w:tr w14:paraId="61FA2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31E40639">
            <w:r>
              <w:rPr>
                <w:sz w:val="18"/>
                <w:szCs w:val="18"/>
              </w:rPr>
              <w:t>T15</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15683D77">
            <w:r>
              <w:rPr>
                <w:sz w:val="18"/>
                <w:szCs w:val="18"/>
              </w:rPr>
              <w:t>View</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2F4EE88A">
            <w:r>
              <w:rPr>
                <w:sz w:val="18"/>
                <w:szCs w:val="18"/>
              </w:rPr>
              <w:t>VW_FARM_DASHBOARD_SUMMARY returns exactly one row</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0A1D50AB">
            <w:r>
              <w:rPr>
                <w:sz w:val="18"/>
                <w:szCs w:val="18"/>
              </w:rPr>
              <w:t>COUNT = 1</w:t>
            </w:r>
          </w:p>
        </w:tc>
      </w:tr>
      <w:tr w14:paraId="4CC11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74FF5B8">
            <w:r>
              <w:rPr>
                <w:sz w:val="18"/>
                <w:szCs w:val="18"/>
              </w:rPr>
              <w:t>T16</w:t>
            </w:r>
          </w:p>
        </w:tc>
        <w:tc>
          <w:tcPr>
            <w:tcW w:w="2300" w:type="dxa"/>
            <w:tcBorders>
              <w:top w:val="single" w:color="CCCCCC" w:sz="2" w:space="0"/>
              <w:left w:val="single" w:color="CCCCCC" w:sz="2" w:space="0"/>
              <w:bottom w:val="single" w:color="CCCCCC" w:sz="2" w:space="0"/>
              <w:right w:val="single" w:color="CCCCCC" w:sz="2" w:space="0"/>
            </w:tcBorders>
          </w:tcPr>
          <w:p w14:paraId="69B648ED">
            <w:r>
              <w:rPr>
                <w:sz w:val="18"/>
                <w:szCs w:val="18"/>
              </w:rPr>
              <w:t>View</w:t>
            </w:r>
          </w:p>
        </w:tc>
        <w:tc>
          <w:tcPr>
            <w:tcW w:w="4500" w:type="dxa"/>
            <w:tcBorders>
              <w:top w:val="single" w:color="CCCCCC" w:sz="2" w:space="0"/>
              <w:left w:val="single" w:color="CCCCCC" w:sz="2" w:space="0"/>
              <w:bottom w:val="single" w:color="CCCCCC" w:sz="2" w:space="0"/>
              <w:right w:val="single" w:color="CCCCCC" w:sz="2" w:space="0"/>
            </w:tcBorders>
          </w:tcPr>
          <w:p w14:paraId="4EC653FB">
            <w:r>
              <w:rPr>
                <w:sz w:val="18"/>
                <w:szCs w:val="18"/>
              </w:rPr>
              <w:t>VW_SERVICE_DUE_REMINDER never lists RETIRED equipment</w:t>
            </w:r>
          </w:p>
        </w:tc>
        <w:tc>
          <w:tcPr>
            <w:tcW w:w="2500" w:type="dxa"/>
            <w:tcBorders>
              <w:top w:val="single" w:color="CCCCCC" w:sz="2" w:space="0"/>
              <w:left w:val="single" w:color="CCCCCC" w:sz="2" w:space="0"/>
              <w:bottom w:val="single" w:color="CCCCCC" w:sz="2" w:space="0"/>
              <w:right w:val="single" w:color="CCCCCC" w:sz="2" w:space="0"/>
            </w:tcBorders>
          </w:tcPr>
          <w:p w14:paraId="4BB20823">
            <w:r>
              <w:rPr>
                <w:sz w:val="18"/>
                <w:szCs w:val="18"/>
              </w:rPr>
              <w:t>COUNT of RETIRED rows = 0</w:t>
            </w:r>
          </w:p>
        </w:tc>
      </w:tr>
      <w:tr w14:paraId="3DE9F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31D3716B">
            <w:r>
              <w:rPr>
                <w:sz w:val="18"/>
                <w:szCs w:val="18"/>
              </w:rPr>
              <w:t>T17</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6642FF39">
            <w:r>
              <w:rPr>
                <w:sz w:val="18"/>
                <w:szCs w:val="18"/>
              </w:rPr>
              <w:t>Function</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5273A881">
            <w:r>
              <w:rPr>
                <w:sz w:val="18"/>
                <w:szCs w:val="18"/>
              </w:rPr>
              <w:t>fn_is_crop_ready_for_harvest returns YES for a past-harvest crop, NO for a still-growing crop</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0005A2BB">
            <w:r>
              <w:rPr>
                <w:sz w:val="18"/>
                <w:szCs w:val="18"/>
              </w:rPr>
              <w:t>Both conditions match</w:t>
            </w:r>
          </w:p>
        </w:tc>
      </w:tr>
      <w:tr w14:paraId="6681F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6866392F">
            <w:r>
              <w:rPr>
                <w:sz w:val="18"/>
                <w:szCs w:val="18"/>
              </w:rPr>
              <w:t>T18</w:t>
            </w:r>
          </w:p>
        </w:tc>
        <w:tc>
          <w:tcPr>
            <w:tcW w:w="2300" w:type="dxa"/>
            <w:tcBorders>
              <w:top w:val="single" w:color="CCCCCC" w:sz="2" w:space="0"/>
              <w:left w:val="single" w:color="CCCCCC" w:sz="2" w:space="0"/>
              <w:bottom w:val="single" w:color="CCCCCC" w:sz="2" w:space="0"/>
              <w:right w:val="single" w:color="CCCCCC" w:sz="2" w:space="0"/>
            </w:tcBorders>
          </w:tcPr>
          <w:p w14:paraId="57C92F95">
            <w:r>
              <w:rPr>
                <w:sz w:val="18"/>
                <w:szCs w:val="18"/>
              </w:rPr>
              <w:t>Function</w:t>
            </w:r>
          </w:p>
        </w:tc>
        <w:tc>
          <w:tcPr>
            <w:tcW w:w="4500" w:type="dxa"/>
            <w:tcBorders>
              <w:top w:val="single" w:color="CCCCCC" w:sz="2" w:space="0"/>
              <w:left w:val="single" w:color="CCCCCC" w:sz="2" w:space="0"/>
              <w:bottom w:val="single" w:color="CCCCCC" w:sz="2" w:space="0"/>
              <w:right w:val="single" w:color="CCCCCC" w:sz="2" w:space="0"/>
            </w:tcBorders>
          </w:tcPr>
          <w:p w14:paraId="74FF3F14">
            <w:r>
              <w:rPr>
                <w:sz w:val="18"/>
                <w:szCs w:val="18"/>
              </w:rPr>
              <w:t>fn_total_maintenance_cost(1) matches a manual SUM</w:t>
            </w:r>
          </w:p>
        </w:tc>
        <w:tc>
          <w:tcPr>
            <w:tcW w:w="2500" w:type="dxa"/>
            <w:tcBorders>
              <w:top w:val="single" w:color="CCCCCC" w:sz="2" w:space="0"/>
              <w:left w:val="single" w:color="CCCCCC" w:sz="2" w:space="0"/>
              <w:bottom w:val="single" w:color="CCCCCC" w:sz="2" w:space="0"/>
              <w:right w:val="single" w:color="CCCCCC" w:sz="2" w:space="0"/>
            </w:tcBorders>
          </w:tcPr>
          <w:p w14:paraId="160D451D">
            <w:r>
              <w:rPr>
                <w:sz w:val="18"/>
                <w:szCs w:val="18"/>
              </w:rPr>
              <w:t>Function result = manual SUM</w:t>
            </w:r>
          </w:p>
        </w:tc>
      </w:tr>
      <w:tr w14:paraId="56521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0DF99E56">
            <w:r>
              <w:rPr>
                <w:sz w:val="18"/>
                <w:szCs w:val="18"/>
              </w:rPr>
              <w:t>T19</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406B36B5">
            <w:r>
              <w:rPr>
                <w:sz w:val="18"/>
                <w:szCs w:val="18"/>
              </w:rPr>
              <w:t>Package</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6D58A6A5">
            <w:r>
              <w:rPr>
                <w:sz w:val="18"/>
                <w:szCs w:val="18"/>
              </w:rPr>
              <w:t>PKG_REPORTS.fn_count_active_bookings matches a manual COUNT</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114CC8E8">
            <w:r>
              <w:rPr>
                <w:sz w:val="18"/>
                <w:szCs w:val="18"/>
              </w:rPr>
              <w:t>Package result = manual COUNT</w:t>
            </w:r>
          </w:p>
        </w:tc>
      </w:tr>
      <w:tr w14:paraId="39CCE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F27D09F">
            <w:r>
              <w:rPr>
                <w:sz w:val="18"/>
                <w:szCs w:val="18"/>
              </w:rPr>
              <w:t>T20</w:t>
            </w:r>
          </w:p>
        </w:tc>
        <w:tc>
          <w:tcPr>
            <w:tcW w:w="2300" w:type="dxa"/>
            <w:tcBorders>
              <w:top w:val="single" w:color="CCCCCC" w:sz="2" w:space="0"/>
              <w:left w:val="single" w:color="CCCCCC" w:sz="2" w:space="0"/>
              <w:bottom w:val="single" w:color="CCCCCC" w:sz="2" w:space="0"/>
              <w:right w:val="single" w:color="CCCCCC" w:sz="2" w:space="0"/>
            </w:tcBorders>
          </w:tcPr>
          <w:p w14:paraId="27A32811">
            <w:r>
              <w:rPr>
                <w:sz w:val="18"/>
                <w:szCs w:val="18"/>
              </w:rPr>
              <w:t>Package</w:t>
            </w:r>
          </w:p>
        </w:tc>
        <w:tc>
          <w:tcPr>
            <w:tcW w:w="4500" w:type="dxa"/>
            <w:tcBorders>
              <w:top w:val="single" w:color="CCCCCC" w:sz="2" w:space="0"/>
              <w:left w:val="single" w:color="CCCCCC" w:sz="2" w:space="0"/>
              <w:bottom w:val="single" w:color="CCCCCC" w:sz="2" w:space="0"/>
              <w:right w:val="single" w:color="CCCCCC" w:sz="2" w:space="0"/>
            </w:tcBorders>
          </w:tcPr>
          <w:p w14:paraId="68BF1B25">
            <w:r>
              <w:rPr>
                <w:sz w:val="18"/>
                <w:szCs w:val="18"/>
              </w:rPr>
              <w:t>PKG_CROP_MANAGEMENT.fn_crop_days_in_ground(1) matches a manual calculation</w:t>
            </w:r>
          </w:p>
        </w:tc>
        <w:tc>
          <w:tcPr>
            <w:tcW w:w="2500" w:type="dxa"/>
            <w:tcBorders>
              <w:top w:val="single" w:color="CCCCCC" w:sz="2" w:space="0"/>
              <w:left w:val="single" w:color="CCCCCC" w:sz="2" w:space="0"/>
              <w:bottom w:val="single" w:color="CCCCCC" w:sz="2" w:space="0"/>
              <w:right w:val="single" w:color="CCCCCC" w:sz="2" w:space="0"/>
            </w:tcBorders>
          </w:tcPr>
          <w:p w14:paraId="47FE3D2B">
            <w:r>
              <w:rPr>
                <w:sz w:val="18"/>
                <w:szCs w:val="18"/>
              </w:rPr>
              <w:t>Package result = manual calculation</w:t>
            </w:r>
          </w:p>
        </w:tc>
      </w:tr>
      <w:tr w14:paraId="65E1D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5BB18854">
            <w:r>
              <w:rPr>
                <w:sz w:val="18"/>
                <w:szCs w:val="18"/>
              </w:rPr>
              <w:t>T21</w:t>
            </w:r>
          </w:p>
        </w:tc>
        <w:tc>
          <w:tcPr>
            <w:tcW w:w="2300" w:type="dxa"/>
            <w:tcBorders>
              <w:top w:val="single" w:color="CCCCCC" w:sz="2" w:space="0"/>
              <w:left w:val="single" w:color="CCCCCC" w:sz="2" w:space="0"/>
              <w:bottom w:val="single" w:color="CCCCCC" w:sz="2" w:space="0"/>
              <w:right w:val="single" w:color="CCCCCC" w:sz="2" w:space="0"/>
            </w:tcBorders>
            <w:shd w:val="clear" w:color="auto" w:fill="EAF3EA"/>
          </w:tcPr>
          <w:p w14:paraId="3D86D9BB">
            <w:r>
              <w:rPr>
                <w:sz w:val="18"/>
                <w:szCs w:val="18"/>
              </w:rPr>
              <w:t>Procedure</w:t>
            </w:r>
          </w:p>
        </w:tc>
        <w:tc>
          <w:tcPr>
            <w:tcW w:w="4500" w:type="dxa"/>
            <w:tcBorders>
              <w:top w:val="single" w:color="CCCCCC" w:sz="2" w:space="0"/>
              <w:left w:val="single" w:color="CCCCCC" w:sz="2" w:space="0"/>
              <w:bottom w:val="single" w:color="CCCCCC" w:sz="2" w:space="0"/>
              <w:right w:val="single" w:color="CCCCCC" w:sz="2" w:space="0"/>
            </w:tcBorders>
            <w:shd w:val="clear" w:color="auto" w:fill="EAF3EA"/>
          </w:tcPr>
          <w:p w14:paraId="4AD6AD9C">
            <w:r>
              <w:rPr>
                <w:sz w:val="18"/>
                <w:szCs w:val="18"/>
              </w:rPr>
              <w:t>sp_calculate_maintenance_cost(8, ...) OUT parameter matches a manual SUM</w:t>
            </w:r>
          </w:p>
        </w:tc>
        <w:tc>
          <w:tcPr>
            <w:tcW w:w="2500" w:type="dxa"/>
            <w:tcBorders>
              <w:top w:val="single" w:color="CCCCCC" w:sz="2" w:space="0"/>
              <w:left w:val="single" w:color="CCCCCC" w:sz="2" w:space="0"/>
              <w:bottom w:val="single" w:color="CCCCCC" w:sz="2" w:space="0"/>
              <w:right w:val="single" w:color="CCCCCC" w:sz="2" w:space="0"/>
            </w:tcBorders>
            <w:shd w:val="clear" w:color="auto" w:fill="EAF3EA"/>
          </w:tcPr>
          <w:p w14:paraId="6A32BC12">
            <w:r>
              <w:rPr>
                <w:sz w:val="18"/>
                <w:szCs w:val="18"/>
              </w:rPr>
              <w:t>OUT parameter = manual SUM</w:t>
            </w:r>
          </w:p>
        </w:tc>
      </w:tr>
      <w:tr w14:paraId="6CDAD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F7CA54C">
            <w:r>
              <w:rPr>
                <w:sz w:val="18"/>
                <w:szCs w:val="18"/>
              </w:rPr>
              <w:t>T22</w:t>
            </w:r>
          </w:p>
        </w:tc>
        <w:tc>
          <w:tcPr>
            <w:tcW w:w="2300" w:type="dxa"/>
            <w:tcBorders>
              <w:top w:val="single" w:color="CCCCCC" w:sz="2" w:space="0"/>
              <w:left w:val="single" w:color="CCCCCC" w:sz="2" w:space="0"/>
              <w:bottom w:val="single" w:color="CCCCCC" w:sz="2" w:space="0"/>
              <w:right w:val="single" w:color="CCCCCC" w:sz="2" w:space="0"/>
            </w:tcBorders>
          </w:tcPr>
          <w:p w14:paraId="4750CAC0">
            <w:r>
              <w:rPr>
                <w:sz w:val="18"/>
                <w:szCs w:val="18"/>
              </w:rPr>
              <w:t>Cursor</w:t>
            </w:r>
          </w:p>
        </w:tc>
        <w:tc>
          <w:tcPr>
            <w:tcW w:w="4500" w:type="dxa"/>
            <w:tcBorders>
              <w:top w:val="single" w:color="CCCCCC" w:sz="2" w:space="0"/>
              <w:left w:val="single" w:color="CCCCCC" w:sz="2" w:space="0"/>
              <w:bottom w:val="single" w:color="CCCCCC" w:sz="2" w:space="0"/>
              <w:right w:val="single" w:color="CCCCCC" w:sz="2" w:space="0"/>
            </w:tcBorders>
          </w:tcPr>
          <w:p w14:paraId="098D1C76">
            <w:r>
              <w:rPr>
                <w:sz w:val="18"/>
                <w:szCs w:val="18"/>
              </w:rPr>
              <w:t>Explicit cursor FOR loop row count matches a plain SELECT COUNT(*)</w:t>
            </w:r>
          </w:p>
        </w:tc>
        <w:tc>
          <w:tcPr>
            <w:tcW w:w="2500" w:type="dxa"/>
            <w:tcBorders>
              <w:top w:val="single" w:color="CCCCCC" w:sz="2" w:space="0"/>
              <w:left w:val="single" w:color="CCCCCC" w:sz="2" w:space="0"/>
              <w:bottom w:val="single" w:color="CCCCCC" w:sz="2" w:space="0"/>
              <w:right w:val="single" w:color="CCCCCC" w:sz="2" w:space="0"/>
            </w:tcBorders>
          </w:tcPr>
          <w:p w14:paraId="0F01E904">
            <w:r>
              <w:rPr>
                <w:sz w:val="18"/>
                <w:szCs w:val="18"/>
              </w:rPr>
              <w:t>Cursor count = direct count</w:t>
            </w:r>
          </w:p>
        </w:tc>
      </w:tr>
    </w:tbl>
    <w:p w14:paraId="5301E280">
      <w:pPr>
        <w:spacing w:after="200"/>
      </w:pPr>
    </w:p>
    <w:p w14:paraId="2E80A506">
      <w:pPr>
        <w:spacing w:after="150"/>
      </w:pPr>
      <w:r>
        <w:rPr>
          <w:i/>
          <w:iCs/>
        </w:rPr>
        <w:t>Note on T08 and T10: the Phase X mandatory business rule blocks all BOOKING table changes on weekdays and public holidays. T08 is written adaptively — it checks today's actual date and asserts whichever behavior is correct for today, so it passes regardless of when the script is run. T10 tests a cascading effect that itself requires a successful BOOKING UPDATE to observe; on a weekday this test is marked SKIP (not FAIL) with an explanation, since failing to observe a cascade that correctly could not happen is not a defect — it is the mandatory rule working as intended. This distinction is worth explaining directly to an examiner if asked why a test shows SKIP rather than PASS.</w:t>
      </w:r>
    </w:p>
    <w:p w14:paraId="757C4649">
      <w:r>
        <w:br w:type="page"/>
      </w:r>
    </w:p>
    <w:p w14:paraId="4AC878A2">
      <w:pPr>
        <w:pStyle w:val="2"/>
        <w:spacing w:before="400" w:after="200"/>
      </w:pPr>
      <w:bookmarkStart w:id="3" w:name="_Toc17094"/>
      <w:r>
        <w:t>3. Manual Oracle APEX UI Test Cases</w:t>
      </w:r>
      <w:bookmarkEnd w:id="3"/>
    </w:p>
    <w:p w14:paraId="6B0C811A">
      <w:pPr>
        <w:spacing w:after="150"/>
      </w:pPr>
      <w:r>
        <w:t>These test cases validate the Phase XVI application design described in the APEX Design document. They are executed by a human tester walking through the application (or, for this submission, by tracing the design against these expected behaviors during the live demonstration).</w:t>
      </w:r>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00"/>
        <w:gridCol w:w="3300"/>
        <w:gridCol w:w="2000"/>
        <w:gridCol w:w="3500"/>
      </w:tblGrid>
      <w:tr w14:paraId="1A92C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1F3A5F"/>
          </w:tcPr>
          <w:p w14:paraId="2C0B927F">
            <w:r>
              <w:rPr>
                <w:b/>
                <w:bCs/>
                <w:color w:val="FFFFFF"/>
                <w:sz w:val="18"/>
                <w:szCs w:val="18"/>
              </w:rPr>
              <w:t>ID</w:t>
            </w:r>
          </w:p>
        </w:tc>
        <w:tc>
          <w:tcPr>
            <w:tcW w:w="3300" w:type="dxa"/>
            <w:tcBorders>
              <w:top w:val="single" w:color="CCCCCC" w:sz="2" w:space="0"/>
              <w:left w:val="single" w:color="CCCCCC" w:sz="2" w:space="0"/>
              <w:bottom w:val="single" w:color="CCCCCC" w:sz="2" w:space="0"/>
              <w:right w:val="single" w:color="CCCCCC" w:sz="2" w:space="0"/>
            </w:tcBorders>
            <w:shd w:val="clear" w:color="auto" w:fill="1F3A5F"/>
          </w:tcPr>
          <w:p w14:paraId="3026246C">
            <w:r>
              <w:rPr>
                <w:b/>
                <w:bCs/>
                <w:color w:val="FFFFFF"/>
                <w:sz w:val="18"/>
                <w:szCs w:val="18"/>
              </w:rPr>
              <w:t>Test Steps</w:t>
            </w:r>
          </w:p>
        </w:tc>
        <w:tc>
          <w:tcPr>
            <w:tcW w:w="2000" w:type="dxa"/>
            <w:tcBorders>
              <w:top w:val="single" w:color="CCCCCC" w:sz="2" w:space="0"/>
              <w:left w:val="single" w:color="CCCCCC" w:sz="2" w:space="0"/>
              <w:bottom w:val="single" w:color="CCCCCC" w:sz="2" w:space="0"/>
              <w:right w:val="single" w:color="CCCCCC" w:sz="2" w:space="0"/>
            </w:tcBorders>
            <w:shd w:val="clear" w:color="auto" w:fill="1F3A5F"/>
          </w:tcPr>
          <w:p w14:paraId="731953EA">
            <w:r>
              <w:rPr>
                <w:b/>
                <w:bCs/>
                <w:color w:val="FFFFFF"/>
                <w:sz w:val="18"/>
                <w:szCs w:val="18"/>
              </w:rPr>
              <w:t>Category</w:t>
            </w:r>
          </w:p>
        </w:tc>
        <w:tc>
          <w:tcPr>
            <w:tcW w:w="3500" w:type="dxa"/>
            <w:tcBorders>
              <w:top w:val="single" w:color="CCCCCC" w:sz="2" w:space="0"/>
              <w:left w:val="single" w:color="CCCCCC" w:sz="2" w:space="0"/>
              <w:bottom w:val="single" w:color="CCCCCC" w:sz="2" w:space="0"/>
              <w:right w:val="single" w:color="CCCCCC" w:sz="2" w:space="0"/>
            </w:tcBorders>
            <w:shd w:val="clear" w:color="auto" w:fill="1F3A5F"/>
          </w:tcPr>
          <w:p w14:paraId="0F131C50">
            <w:r>
              <w:rPr>
                <w:b/>
                <w:bCs/>
                <w:color w:val="FFFFFF"/>
                <w:sz w:val="18"/>
                <w:szCs w:val="18"/>
              </w:rPr>
              <w:t>Expected Result</w:t>
            </w:r>
          </w:p>
        </w:tc>
      </w:tr>
      <w:tr w14:paraId="19F9F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1A4B643B">
            <w:r>
              <w:rPr>
                <w:sz w:val="18"/>
                <w:szCs w:val="18"/>
              </w:rPr>
              <w:t>M01</w:t>
            </w:r>
          </w:p>
        </w:tc>
        <w:tc>
          <w:tcPr>
            <w:tcW w:w="3300" w:type="dxa"/>
            <w:tcBorders>
              <w:top w:val="single" w:color="CCCCCC" w:sz="2" w:space="0"/>
              <w:left w:val="single" w:color="CCCCCC" w:sz="2" w:space="0"/>
              <w:bottom w:val="single" w:color="CCCCCC" w:sz="2" w:space="0"/>
              <w:right w:val="single" w:color="CCCCCC" w:sz="2" w:space="0"/>
            </w:tcBorders>
            <w:shd w:val="clear" w:color="auto" w:fill="EAF3EA"/>
          </w:tcPr>
          <w:p w14:paraId="7F2615AA">
            <w:r>
              <w:rPr>
                <w:sz w:val="18"/>
                <w:szCs w:val="18"/>
              </w:rPr>
              <w:t>Login with valid Administrator credentials</w:t>
            </w:r>
          </w:p>
        </w:tc>
        <w:tc>
          <w:tcPr>
            <w:tcW w:w="2000" w:type="dxa"/>
            <w:tcBorders>
              <w:top w:val="single" w:color="CCCCCC" w:sz="2" w:space="0"/>
              <w:left w:val="single" w:color="CCCCCC" w:sz="2" w:space="0"/>
              <w:bottom w:val="single" w:color="CCCCCC" w:sz="2" w:space="0"/>
              <w:right w:val="single" w:color="CCCCCC" w:sz="2" w:space="0"/>
            </w:tcBorders>
            <w:shd w:val="clear" w:color="auto" w:fill="EAF3EA"/>
          </w:tcPr>
          <w:p w14:paraId="240922D0">
            <w:r>
              <w:rPr>
                <w:sz w:val="18"/>
                <w:szCs w:val="18"/>
              </w:rPr>
              <w:t>Authentication</w:t>
            </w:r>
          </w:p>
        </w:tc>
        <w:tc>
          <w:tcPr>
            <w:tcW w:w="3500" w:type="dxa"/>
            <w:tcBorders>
              <w:top w:val="single" w:color="CCCCCC" w:sz="2" w:space="0"/>
              <w:left w:val="single" w:color="CCCCCC" w:sz="2" w:space="0"/>
              <w:bottom w:val="single" w:color="CCCCCC" w:sz="2" w:space="0"/>
              <w:right w:val="single" w:color="CCCCCC" w:sz="2" w:space="0"/>
            </w:tcBorders>
            <w:shd w:val="clear" w:color="auto" w:fill="EAF3EA"/>
          </w:tcPr>
          <w:p w14:paraId="45347408">
            <w:r>
              <w:rPr>
                <w:sz w:val="18"/>
                <w:szCs w:val="18"/>
              </w:rPr>
              <w:t>Redirects to Home Dashboard with full navigation menu visible</w:t>
            </w:r>
          </w:p>
        </w:tc>
      </w:tr>
      <w:tr w14:paraId="37C0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7535C557">
            <w:r>
              <w:rPr>
                <w:sz w:val="18"/>
                <w:szCs w:val="18"/>
              </w:rPr>
              <w:t>M02</w:t>
            </w:r>
          </w:p>
        </w:tc>
        <w:tc>
          <w:tcPr>
            <w:tcW w:w="3300" w:type="dxa"/>
            <w:tcBorders>
              <w:top w:val="single" w:color="CCCCCC" w:sz="2" w:space="0"/>
              <w:left w:val="single" w:color="CCCCCC" w:sz="2" w:space="0"/>
              <w:bottom w:val="single" w:color="CCCCCC" w:sz="2" w:space="0"/>
              <w:right w:val="single" w:color="CCCCCC" w:sz="2" w:space="0"/>
            </w:tcBorders>
          </w:tcPr>
          <w:p w14:paraId="7D597B03">
            <w:r>
              <w:rPr>
                <w:sz w:val="18"/>
                <w:szCs w:val="18"/>
              </w:rPr>
              <w:t>Login with invalid password</w:t>
            </w:r>
          </w:p>
        </w:tc>
        <w:tc>
          <w:tcPr>
            <w:tcW w:w="2000" w:type="dxa"/>
            <w:tcBorders>
              <w:top w:val="single" w:color="CCCCCC" w:sz="2" w:space="0"/>
              <w:left w:val="single" w:color="CCCCCC" w:sz="2" w:space="0"/>
              <w:bottom w:val="single" w:color="CCCCCC" w:sz="2" w:space="0"/>
              <w:right w:val="single" w:color="CCCCCC" w:sz="2" w:space="0"/>
            </w:tcBorders>
          </w:tcPr>
          <w:p w14:paraId="40BA8D6B">
            <w:r>
              <w:rPr>
                <w:sz w:val="18"/>
                <w:szCs w:val="18"/>
              </w:rPr>
              <w:t>Authentication</w:t>
            </w:r>
          </w:p>
        </w:tc>
        <w:tc>
          <w:tcPr>
            <w:tcW w:w="3500" w:type="dxa"/>
            <w:tcBorders>
              <w:top w:val="single" w:color="CCCCCC" w:sz="2" w:space="0"/>
              <w:left w:val="single" w:color="CCCCCC" w:sz="2" w:space="0"/>
              <w:bottom w:val="single" w:color="CCCCCC" w:sz="2" w:space="0"/>
              <w:right w:val="single" w:color="CCCCCC" w:sz="2" w:space="0"/>
            </w:tcBorders>
          </w:tcPr>
          <w:p w14:paraId="74F48EC6">
            <w:r>
              <w:rPr>
                <w:sz w:val="18"/>
                <w:szCs w:val="18"/>
              </w:rPr>
              <w:t>Generic error shown; does not reveal whether username or password was wrong</w:t>
            </w:r>
          </w:p>
        </w:tc>
      </w:tr>
      <w:tr w14:paraId="1B7FF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27FB63C4">
            <w:r>
              <w:rPr>
                <w:sz w:val="18"/>
                <w:szCs w:val="18"/>
              </w:rPr>
              <w:t>M03</w:t>
            </w:r>
          </w:p>
        </w:tc>
        <w:tc>
          <w:tcPr>
            <w:tcW w:w="3300" w:type="dxa"/>
            <w:tcBorders>
              <w:top w:val="single" w:color="CCCCCC" w:sz="2" w:space="0"/>
              <w:left w:val="single" w:color="CCCCCC" w:sz="2" w:space="0"/>
              <w:bottom w:val="single" w:color="CCCCCC" w:sz="2" w:space="0"/>
              <w:right w:val="single" w:color="CCCCCC" w:sz="2" w:space="0"/>
            </w:tcBorders>
            <w:shd w:val="clear" w:color="auto" w:fill="EAF3EA"/>
          </w:tcPr>
          <w:p w14:paraId="48ABC9FF">
            <w:r>
              <w:rPr>
                <w:sz w:val="18"/>
                <w:szCs w:val="18"/>
              </w:rPr>
              <w:t>Log in as Staff role, attempt to browse directly to the Administration page URL</w:t>
            </w:r>
          </w:p>
        </w:tc>
        <w:tc>
          <w:tcPr>
            <w:tcW w:w="2000" w:type="dxa"/>
            <w:tcBorders>
              <w:top w:val="single" w:color="CCCCCC" w:sz="2" w:space="0"/>
              <w:left w:val="single" w:color="CCCCCC" w:sz="2" w:space="0"/>
              <w:bottom w:val="single" w:color="CCCCCC" w:sz="2" w:space="0"/>
              <w:right w:val="single" w:color="CCCCCC" w:sz="2" w:space="0"/>
            </w:tcBorders>
            <w:shd w:val="clear" w:color="auto" w:fill="EAF3EA"/>
          </w:tcPr>
          <w:p w14:paraId="268B8DDF">
            <w:r>
              <w:rPr>
                <w:sz w:val="18"/>
                <w:szCs w:val="18"/>
              </w:rPr>
              <w:t>Authorization</w:t>
            </w:r>
          </w:p>
        </w:tc>
        <w:tc>
          <w:tcPr>
            <w:tcW w:w="3500" w:type="dxa"/>
            <w:tcBorders>
              <w:top w:val="single" w:color="CCCCCC" w:sz="2" w:space="0"/>
              <w:left w:val="single" w:color="CCCCCC" w:sz="2" w:space="0"/>
              <w:bottom w:val="single" w:color="CCCCCC" w:sz="2" w:space="0"/>
              <w:right w:val="single" w:color="CCCCCC" w:sz="2" w:space="0"/>
            </w:tcBorders>
            <w:shd w:val="clear" w:color="auto" w:fill="EAF3EA"/>
          </w:tcPr>
          <w:p w14:paraId="2D9AF1E7">
            <w:r>
              <w:rPr>
                <w:sz w:val="18"/>
                <w:szCs w:val="18"/>
              </w:rPr>
              <w:t>Access denied, even though the link is hidden from the menu</w:t>
            </w:r>
          </w:p>
        </w:tc>
      </w:tr>
      <w:tr w14:paraId="666A8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567C835C">
            <w:r>
              <w:rPr>
                <w:sz w:val="18"/>
                <w:szCs w:val="18"/>
              </w:rPr>
              <w:t>M04</w:t>
            </w:r>
          </w:p>
        </w:tc>
        <w:tc>
          <w:tcPr>
            <w:tcW w:w="3300" w:type="dxa"/>
            <w:tcBorders>
              <w:top w:val="single" w:color="CCCCCC" w:sz="2" w:space="0"/>
              <w:left w:val="single" w:color="CCCCCC" w:sz="2" w:space="0"/>
              <w:bottom w:val="single" w:color="CCCCCC" w:sz="2" w:space="0"/>
              <w:right w:val="single" w:color="CCCCCC" w:sz="2" w:space="0"/>
            </w:tcBorders>
          </w:tcPr>
          <w:p w14:paraId="59A2DD63">
            <w:r>
              <w:rPr>
                <w:sz w:val="18"/>
                <w:szCs w:val="18"/>
              </w:rPr>
              <w:t>Log in as Farm Manager, confirm Administration menu item is not rendered</w:t>
            </w:r>
          </w:p>
        </w:tc>
        <w:tc>
          <w:tcPr>
            <w:tcW w:w="2000" w:type="dxa"/>
            <w:tcBorders>
              <w:top w:val="single" w:color="CCCCCC" w:sz="2" w:space="0"/>
              <w:left w:val="single" w:color="CCCCCC" w:sz="2" w:space="0"/>
              <w:bottom w:val="single" w:color="CCCCCC" w:sz="2" w:space="0"/>
              <w:right w:val="single" w:color="CCCCCC" w:sz="2" w:space="0"/>
            </w:tcBorders>
          </w:tcPr>
          <w:p w14:paraId="1D3A7964">
            <w:r>
              <w:rPr>
                <w:sz w:val="18"/>
                <w:szCs w:val="18"/>
              </w:rPr>
              <w:t>Authorization (UI)</w:t>
            </w:r>
          </w:p>
        </w:tc>
        <w:tc>
          <w:tcPr>
            <w:tcW w:w="3500" w:type="dxa"/>
            <w:tcBorders>
              <w:top w:val="single" w:color="CCCCCC" w:sz="2" w:space="0"/>
              <w:left w:val="single" w:color="CCCCCC" w:sz="2" w:space="0"/>
              <w:bottom w:val="single" w:color="CCCCCC" w:sz="2" w:space="0"/>
              <w:right w:val="single" w:color="CCCCCC" w:sz="2" w:space="0"/>
            </w:tcBorders>
          </w:tcPr>
          <w:p w14:paraId="0C8294D5">
            <w:r>
              <w:rPr>
                <w:sz w:val="18"/>
                <w:szCs w:val="18"/>
              </w:rPr>
              <w:t>Administration menu item absent from left navigation</w:t>
            </w:r>
          </w:p>
        </w:tc>
      </w:tr>
      <w:tr w14:paraId="33414A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3587EE73">
            <w:r>
              <w:rPr>
                <w:sz w:val="18"/>
                <w:szCs w:val="18"/>
              </w:rPr>
              <w:t>M05</w:t>
            </w:r>
          </w:p>
        </w:tc>
        <w:tc>
          <w:tcPr>
            <w:tcW w:w="3300" w:type="dxa"/>
            <w:tcBorders>
              <w:top w:val="single" w:color="CCCCCC" w:sz="2" w:space="0"/>
              <w:left w:val="single" w:color="CCCCCC" w:sz="2" w:space="0"/>
              <w:bottom w:val="single" w:color="CCCCCC" w:sz="2" w:space="0"/>
              <w:right w:val="single" w:color="CCCCCC" w:sz="2" w:space="0"/>
            </w:tcBorders>
            <w:shd w:val="clear" w:color="auto" w:fill="EAF3EA"/>
          </w:tcPr>
          <w:p w14:paraId="07A50BA7">
            <w:r>
              <w:rPr>
                <w:sz w:val="18"/>
                <w:szCs w:val="18"/>
              </w:rPr>
              <w:t>Submit the Crops form with harvest_date before planting_date</w:t>
            </w:r>
          </w:p>
        </w:tc>
        <w:tc>
          <w:tcPr>
            <w:tcW w:w="2000" w:type="dxa"/>
            <w:tcBorders>
              <w:top w:val="single" w:color="CCCCCC" w:sz="2" w:space="0"/>
              <w:left w:val="single" w:color="CCCCCC" w:sz="2" w:space="0"/>
              <w:bottom w:val="single" w:color="CCCCCC" w:sz="2" w:space="0"/>
              <w:right w:val="single" w:color="CCCCCC" w:sz="2" w:space="0"/>
            </w:tcBorders>
            <w:shd w:val="clear" w:color="auto" w:fill="EAF3EA"/>
          </w:tcPr>
          <w:p w14:paraId="764499CD">
            <w:r>
              <w:rPr>
                <w:sz w:val="18"/>
                <w:szCs w:val="18"/>
              </w:rPr>
              <w:t>Data validation</w:t>
            </w:r>
          </w:p>
        </w:tc>
        <w:tc>
          <w:tcPr>
            <w:tcW w:w="3500" w:type="dxa"/>
            <w:tcBorders>
              <w:top w:val="single" w:color="CCCCCC" w:sz="2" w:space="0"/>
              <w:left w:val="single" w:color="CCCCCC" w:sz="2" w:space="0"/>
              <w:bottom w:val="single" w:color="CCCCCC" w:sz="2" w:space="0"/>
              <w:right w:val="single" w:color="CCCCCC" w:sz="2" w:space="0"/>
            </w:tcBorders>
            <w:shd w:val="clear" w:color="auto" w:fill="EAF3EA"/>
          </w:tcPr>
          <w:p w14:paraId="0D7ADCCD">
            <w:r>
              <w:rPr>
                <w:sz w:val="18"/>
                <w:szCs w:val="18"/>
              </w:rPr>
              <w:t>Inline validation error shown before submission reaches the database</w:t>
            </w:r>
          </w:p>
        </w:tc>
      </w:tr>
      <w:tr w14:paraId="72349E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1A12B210">
            <w:r>
              <w:rPr>
                <w:sz w:val="18"/>
                <w:szCs w:val="18"/>
              </w:rPr>
              <w:t>M06</w:t>
            </w:r>
          </w:p>
        </w:tc>
        <w:tc>
          <w:tcPr>
            <w:tcW w:w="3300" w:type="dxa"/>
            <w:tcBorders>
              <w:top w:val="single" w:color="CCCCCC" w:sz="2" w:space="0"/>
              <w:left w:val="single" w:color="CCCCCC" w:sz="2" w:space="0"/>
              <w:bottom w:val="single" w:color="CCCCCC" w:sz="2" w:space="0"/>
              <w:right w:val="single" w:color="CCCCCC" w:sz="2" w:space="0"/>
            </w:tcBorders>
          </w:tcPr>
          <w:p w14:paraId="102E874A">
            <w:r>
              <w:rPr>
                <w:sz w:val="18"/>
                <w:szCs w:val="18"/>
              </w:rPr>
              <w:t>Attempt to create a BOOKING on a weekday via the Activities form</w:t>
            </w:r>
          </w:p>
        </w:tc>
        <w:tc>
          <w:tcPr>
            <w:tcW w:w="2000" w:type="dxa"/>
            <w:tcBorders>
              <w:top w:val="single" w:color="CCCCCC" w:sz="2" w:space="0"/>
              <w:left w:val="single" w:color="CCCCCC" w:sz="2" w:space="0"/>
              <w:bottom w:val="single" w:color="CCCCCC" w:sz="2" w:space="0"/>
              <w:right w:val="single" w:color="CCCCCC" w:sz="2" w:space="0"/>
            </w:tcBorders>
          </w:tcPr>
          <w:p w14:paraId="67132569">
            <w:r>
              <w:rPr>
                <w:sz w:val="18"/>
                <w:szCs w:val="18"/>
              </w:rPr>
              <w:t>Business rule (Phase X)</w:t>
            </w:r>
          </w:p>
        </w:tc>
        <w:tc>
          <w:tcPr>
            <w:tcW w:w="3500" w:type="dxa"/>
            <w:tcBorders>
              <w:top w:val="single" w:color="CCCCCC" w:sz="2" w:space="0"/>
              <w:left w:val="single" w:color="CCCCCC" w:sz="2" w:space="0"/>
              <w:bottom w:val="single" w:color="CCCCCC" w:sz="2" w:space="0"/>
              <w:right w:val="single" w:color="CCCCCC" w:sz="2" w:space="0"/>
            </w:tcBorders>
          </w:tcPr>
          <w:p w14:paraId="465AC4F4">
            <w:r>
              <w:rPr>
                <w:sz w:val="18"/>
                <w:szCs w:val="18"/>
              </w:rPr>
              <w:t>Friendly message surfaces the ORA-20030 error in plain language, not a raw Oracle error</w:t>
            </w:r>
          </w:p>
        </w:tc>
      </w:tr>
      <w:tr w14:paraId="3B900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0E959DB1">
            <w:r>
              <w:rPr>
                <w:sz w:val="18"/>
                <w:szCs w:val="18"/>
              </w:rPr>
              <w:t>M07</w:t>
            </w:r>
          </w:p>
        </w:tc>
        <w:tc>
          <w:tcPr>
            <w:tcW w:w="3300" w:type="dxa"/>
            <w:tcBorders>
              <w:top w:val="single" w:color="CCCCCC" w:sz="2" w:space="0"/>
              <w:left w:val="single" w:color="CCCCCC" w:sz="2" w:space="0"/>
              <w:bottom w:val="single" w:color="CCCCCC" w:sz="2" w:space="0"/>
              <w:right w:val="single" w:color="CCCCCC" w:sz="2" w:space="0"/>
            </w:tcBorders>
            <w:shd w:val="clear" w:color="auto" w:fill="EAF3EA"/>
          </w:tcPr>
          <w:p w14:paraId="21323AC4">
            <w:r>
              <w:rPr>
                <w:sz w:val="18"/>
                <w:szCs w:val="18"/>
              </w:rPr>
              <w:t>Attempt to create a BOOKING with overlapping dates for the same equipment</w:t>
            </w:r>
          </w:p>
        </w:tc>
        <w:tc>
          <w:tcPr>
            <w:tcW w:w="2000" w:type="dxa"/>
            <w:tcBorders>
              <w:top w:val="single" w:color="CCCCCC" w:sz="2" w:space="0"/>
              <w:left w:val="single" w:color="CCCCCC" w:sz="2" w:space="0"/>
              <w:bottom w:val="single" w:color="CCCCCC" w:sz="2" w:space="0"/>
              <w:right w:val="single" w:color="CCCCCC" w:sz="2" w:space="0"/>
            </w:tcBorders>
            <w:shd w:val="clear" w:color="auto" w:fill="EAF3EA"/>
          </w:tcPr>
          <w:p w14:paraId="18AF6ED8">
            <w:r>
              <w:rPr>
                <w:sz w:val="18"/>
                <w:szCs w:val="18"/>
              </w:rPr>
              <w:t>Business rule (Phase VIII)</w:t>
            </w:r>
          </w:p>
        </w:tc>
        <w:tc>
          <w:tcPr>
            <w:tcW w:w="3500" w:type="dxa"/>
            <w:tcBorders>
              <w:top w:val="single" w:color="CCCCCC" w:sz="2" w:space="0"/>
              <w:left w:val="single" w:color="CCCCCC" w:sz="2" w:space="0"/>
              <w:bottom w:val="single" w:color="CCCCCC" w:sz="2" w:space="0"/>
              <w:right w:val="single" w:color="CCCCCC" w:sz="2" w:space="0"/>
            </w:tcBorders>
            <w:shd w:val="clear" w:color="auto" w:fill="EAF3EA"/>
          </w:tcPr>
          <w:p w14:paraId="37A587BB">
            <w:r>
              <w:rPr>
                <w:sz w:val="18"/>
                <w:szCs w:val="18"/>
              </w:rPr>
              <w:t>Friendly message surfaces the ORA-20010 conflict error</w:t>
            </w:r>
          </w:p>
        </w:tc>
      </w:tr>
      <w:tr w14:paraId="6324AB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4E3504DE">
            <w:r>
              <w:rPr>
                <w:sz w:val="18"/>
                <w:szCs w:val="18"/>
              </w:rPr>
              <w:t>M08</w:t>
            </w:r>
          </w:p>
        </w:tc>
        <w:tc>
          <w:tcPr>
            <w:tcW w:w="3300" w:type="dxa"/>
            <w:tcBorders>
              <w:top w:val="single" w:color="CCCCCC" w:sz="2" w:space="0"/>
              <w:left w:val="single" w:color="CCCCCC" w:sz="2" w:space="0"/>
              <w:bottom w:val="single" w:color="CCCCCC" w:sz="2" w:space="0"/>
              <w:right w:val="single" w:color="CCCCCC" w:sz="2" w:space="0"/>
            </w:tcBorders>
          </w:tcPr>
          <w:p w14:paraId="5BA46196">
            <w:r>
              <w:rPr>
                <w:sz w:val="18"/>
                <w:szCs w:val="18"/>
              </w:rPr>
              <w:t>Open the Equipment Maintenance report and confirm overdue rows are visually flagged</w:t>
            </w:r>
          </w:p>
        </w:tc>
        <w:tc>
          <w:tcPr>
            <w:tcW w:w="2000" w:type="dxa"/>
            <w:tcBorders>
              <w:top w:val="single" w:color="CCCCCC" w:sz="2" w:space="0"/>
              <w:left w:val="single" w:color="CCCCCC" w:sz="2" w:space="0"/>
              <w:bottom w:val="single" w:color="CCCCCC" w:sz="2" w:space="0"/>
              <w:right w:val="single" w:color="CCCCCC" w:sz="2" w:space="0"/>
            </w:tcBorders>
          </w:tcPr>
          <w:p w14:paraId="27692C5B">
            <w:r>
              <w:rPr>
                <w:sz w:val="18"/>
                <w:szCs w:val="18"/>
              </w:rPr>
              <w:t>Reporting</w:t>
            </w:r>
          </w:p>
        </w:tc>
        <w:tc>
          <w:tcPr>
            <w:tcW w:w="3500" w:type="dxa"/>
            <w:tcBorders>
              <w:top w:val="single" w:color="CCCCCC" w:sz="2" w:space="0"/>
              <w:left w:val="single" w:color="CCCCCC" w:sz="2" w:space="0"/>
              <w:bottom w:val="single" w:color="CCCCCC" w:sz="2" w:space="0"/>
              <w:right w:val="single" w:color="CCCCCC" w:sz="2" w:space="0"/>
            </w:tcBorders>
          </w:tcPr>
          <w:p w14:paraId="5CFAD4F5">
            <w:r>
              <w:rPr>
                <w:sz w:val="18"/>
                <w:szCs w:val="18"/>
              </w:rPr>
              <w:t>Rows over 180 days since last service are highlighted</w:t>
            </w:r>
          </w:p>
        </w:tc>
      </w:tr>
      <w:tr w14:paraId="4691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shd w:val="clear" w:color="auto" w:fill="EAF3EA"/>
          </w:tcPr>
          <w:p w14:paraId="3566CD15">
            <w:r>
              <w:rPr>
                <w:sz w:val="18"/>
                <w:szCs w:val="18"/>
              </w:rPr>
              <w:t>M09</w:t>
            </w:r>
          </w:p>
        </w:tc>
        <w:tc>
          <w:tcPr>
            <w:tcW w:w="3300" w:type="dxa"/>
            <w:tcBorders>
              <w:top w:val="single" w:color="CCCCCC" w:sz="2" w:space="0"/>
              <w:left w:val="single" w:color="CCCCCC" w:sz="2" w:space="0"/>
              <w:bottom w:val="single" w:color="CCCCCC" w:sz="2" w:space="0"/>
              <w:right w:val="single" w:color="CCCCCC" w:sz="2" w:space="0"/>
            </w:tcBorders>
            <w:shd w:val="clear" w:color="auto" w:fill="EAF3EA"/>
          </w:tcPr>
          <w:p w14:paraId="3A4F8D22">
            <w:r>
              <w:rPr>
                <w:sz w:val="18"/>
                <w:szCs w:val="18"/>
              </w:rPr>
              <w:t>Filter the Farm Revenue report by a specific equipment owner</w:t>
            </w:r>
          </w:p>
        </w:tc>
        <w:tc>
          <w:tcPr>
            <w:tcW w:w="2000" w:type="dxa"/>
            <w:tcBorders>
              <w:top w:val="single" w:color="CCCCCC" w:sz="2" w:space="0"/>
              <w:left w:val="single" w:color="CCCCCC" w:sz="2" w:space="0"/>
              <w:bottom w:val="single" w:color="CCCCCC" w:sz="2" w:space="0"/>
              <w:right w:val="single" w:color="CCCCCC" w:sz="2" w:space="0"/>
            </w:tcBorders>
            <w:shd w:val="clear" w:color="auto" w:fill="EAF3EA"/>
          </w:tcPr>
          <w:p w14:paraId="4F738934">
            <w:r>
              <w:rPr>
                <w:sz w:val="18"/>
                <w:szCs w:val="18"/>
              </w:rPr>
              <w:t>Reporting</w:t>
            </w:r>
          </w:p>
        </w:tc>
        <w:tc>
          <w:tcPr>
            <w:tcW w:w="3500" w:type="dxa"/>
            <w:tcBorders>
              <w:top w:val="single" w:color="CCCCCC" w:sz="2" w:space="0"/>
              <w:left w:val="single" w:color="CCCCCC" w:sz="2" w:space="0"/>
              <w:bottom w:val="single" w:color="CCCCCC" w:sz="2" w:space="0"/>
              <w:right w:val="single" w:color="CCCCCC" w:sz="2" w:space="0"/>
            </w:tcBorders>
            <w:shd w:val="clear" w:color="auto" w:fill="EAF3EA"/>
          </w:tcPr>
          <w:p w14:paraId="38D07883">
            <w:r>
              <w:rPr>
                <w:sz w:val="18"/>
                <w:szCs w:val="18"/>
              </w:rPr>
              <w:t>Report updates to show only that owner's revenue</w:t>
            </w:r>
          </w:p>
        </w:tc>
      </w:tr>
      <w:tr w14:paraId="06127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00" w:type="dxa"/>
            <w:tcBorders>
              <w:top w:val="single" w:color="CCCCCC" w:sz="2" w:space="0"/>
              <w:left w:val="single" w:color="CCCCCC" w:sz="2" w:space="0"/>
              <w:bottom w:val="single" w:color="CCCCCC" w:sz="2" w:space="0"/>
              <w:right w:val="single" w:color="CCCCCC" w:sz="2" w:space="0"/>
            </w:tcBorders>
          </w:tcPr>
          <w:p w14:paraId="4DC78CB5">
            <w:r>
              <w:rPr>
                <w:sz w:val="18"/>
                <w:szCs w:val="18"/>
              </w:rPr>
              <w:t>M10</w:t>
            </w:r>
          </w:p>
        </w:tc>
        <w:tc>
          <w:tcPr>
            <w:tcW w:w="3300" w:type="dxa"/>
            <w:tcBorders>
              <w:top w:val="single" w:color="CCCCCC" w:sz="2" w:space="0"/>
              <w:left w:val="single" w:color="CCCCCC" w:sz="2" w:space="0"/>
              <w:bottom w:val="single" w:color="CCCCCC" w:sz="2" w:space="0"/>
              <w:right w:val="single" w:color="CCCCCC" w:sz="2" w:space="0"/>
            </w:tcBorders>
          </w:tcPr>
          <w:p w14:paraId="2F845877">
            <w:r>
              <w:rPr>
                <w:sz w:val="18"/>
                <w:szCs w:val="18"/>
              </w:rPr>
              <w:t>Session left idle beyond the configured timeout, then an action is attempted</w:t>
            </w:r>
          </w:p>
        </w:tc>
        <w:tc>
          <w:tcPr>
            <w:tcW w:w="2000" w:type="dxa"/>
            <w:tcBorders>
              <w:top w:val="single" w:color="CCCCCC" w:sz="2" w:space="0"/>
              <w:left w:val="single" w:color="CCCCCC" w:sz="2" w:space="0"/>
              <w:bottom w:val="single" w:color="CCCCCC" w:sz="2" w:space="0"/>
              <w:right w:val="single" w:color="CCCCCC" w:sz="2" w:space="0"/>
            </w:tcBorders>
          </w:tcPr>
          <w:p w14:paraId="30E2D455">
            <w:r>
              <w:rPr>
                <w:sz w:val="18"/>
                <w:szCs w:val="18"/>
              </w:rPr>
              <w:t>Session management</w:t>
            </w:r>
          </w:p>
        </w:tc>
        <w:tc>
          <w:tcPr>
            <w:tcW w:w="3500" w:type="dxa"/>
            <w:tcBorders>
              <w:top w:val="single" w:color="CCCCCC" w:sz="2" w:space="0"/>
              <w:left w:val="single" w:color="CCCCCC" w:sz="2" w:space="0"/>
              <w:bottom w:val="single" w:color="CCCCCC" w:sz="2" w:space="0"/>
              <w:right w:val="single" w:color="CCCCCC" w:sz="2" w:space="0"/>
            </w:tcBorders>
          </w:tcPr>
          <w:p w14:paraId="399708F2">
            <w:r>
              <w:rPr>
                <w:sz w:val="18"/>
                <w:szCs w:val="18"/>
              </w:rPr>
              <w:t>User is redirected to the login page</w:t>
            </w:r>
          </w:p>
        </w:tc>
      </w:tr>
    </w:tbl>
    <w:p w14:paraId="7801B1AC">
      <w:r>
        <w:br w:type="page"/>
      </w:r>
    </w:p>
    <w:p w14:paraId="6AE32AAA">
      <w:pPr>
        <w:pStyle w:val="2"/>
        <w:spacing w:before="400" w:after="200"/>
      </w:pPr>
      <w:bookmarkStart w:id="4" w:name="_Toc17332"/>
      <w:r>
        <w:t>4. Defect Handling and Retesting Approach</w:t>
      </w:r>
      <w:bookmarkEnd w:id="4"/>
    </w:p>
    <w:p w14:paraId="2D17202D">
      <w:pPr>
        <w:spacing w:after="150"/>
      </w:pPr>
      <w:r>
        <w:t>If a test fails, the fix is always made at the layer where the rule is actually defined, not papered over at a higher layer:</w:t>
      </w:r>
    </w:p>
    <w:p w14:paraId="6E2C2EEA">
      <w:pPr>
        <w:pStyle w:val="17"/>
        <w:numPr>
          <w:ilvl w:val="0"/>
          <w:numId w:val="1"/>
        </w:numPr>
        <w:spacing w:after="60"/>
      </w:pPr>
      <w:r>
        <w:t>A failed constraint/trigger test (T04–T13) means the fix belongs in the CreateTables or Triggers script — never in application-level validation alone, since application validation is a convenience for the user, not the actual guarantee.</w:t>
      </w:r>
    </w:p>
    <w:p w14:paraId="36647CD7">
      <w:pPr>
        <w:pStyle w:val="17"/>
        <w:numPr>
          <w:ilvl w:val="0"/>
          <w:numId w:val="1"/>
        </w:numPr>
        <w:spacing w:after="60"/>
      </w:pPr>
      <w:r>
        <w:t>A failed function/procedure/package test (T17–T21) means the fix belongs in the corresponding Phase VIII/IX/XI script.</w:t>
      </w:r>
    </w:p>
    <w:p w14:paraId="45141680">
      <w:pPr>
        <w:pStyle w:val="17"/>
        <w:numPr>
          <w:ilvl w:val="0"/>
          <w:numId w:val="1"/>
        </w:numPr>
        <w:spacing w:after="60"/>
      </w:pPr>
      <w:r>
        <w:t>A failed manual APEX test means the fix belongs in the page design documented in Phase XVI.</w:t>
      </w:r>
    </w:p>
    <w:p w14:paraId="0566E7B9">
      <w:pPr>
        <w:spacing w:after="150"/>
      </w:pPr>
      <w:r>
        <w:t>After any fix, the full automated suite is rerun in full — not just the previously failing test — since a fix to shared logic (for example, a package function used by several tests) could affect other results.</w:t>
      </w:r>
    </w:p>
    <w:p w14:paraId="635367BB">
      <w:pPr>
        <w:spacing w:after="200"/>
      </w:pPr>
    </w:p>
    <w:p w14:paraId="3B7FF186">
      <w:pPr>
        <w:spacing w:after="150"/>
      </w:pPr>
      <w:r>
        <w:rPr>
          <w:i/>
          <w:iCs/>
          <w:color w:val="888888"/>
          <w:sz w:val="20"/>
          <w:szCs w:val="20"/>
        </w:rPr>
        <w:t>End of Phase XVII: Testing &amp; Validation Plan</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F5A1976"/>
    <w:multiLevelType w:val="multilevel"/>
    <w:tmpl w:val="4F5A1976"/>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61BD1F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spacing w:before="400" w:after="200"/>
      <w:outlineLvl w:val="0"/>
    </w:pPr>
    <w:rPr>
      <w:rFonts w:ascii="Calibri" w:hAnsi="Calibri" w:eastAsia="Calibri" w:cs="Calibri"/>
      <w:b/>
      <w:bCs/>
      <w:color w:val="1F3A5F"/>
      <w:sz w:val="32"/>
      <w:szCs w:val="32"/>
    </w:rPr>
  </w:style>
  <w:style w:type="paragraph" w:styleId="3">
    <w:name w:val="heading 2"/>
    <w:next w:val="1"/>
    <w:qFormat/>
    <w:uiPriority w:val="0"/>
    <w:pPr>
      <w:spacing w:before="300" w:after="150"/>
      <w:outlineLvl w:val="1"/>
    </w:pPr>
    <w:rPr>
      <w:rFonts w:ascii="Calibri" w:hAnsi="Calibri" w:eastAsia="Calibri" w:cs="Calibri"/>
      <w:b/>
      <w:bCs/>
      <w:color w:val="3A7D44"/>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uiPriority w:val="99"/>
    <w:pPr>
      <w:spacing w:after="0" w:line="240" w:lineRule="auto"/>
    </w:pPr>
    <w:rPr>
      <w:rFonts w:ascii="Calibri" w:hAnsi="Calibri" w:eastAsia="Calibri" w:cs="Calibri"/>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toc 1"/>
    <w:basedOn w:val="1"/>
    <w:next w:val="1"/>
    <w:uiPriority w:val="0"/>
  </w:style>
  <w:style w:type="paragraph" w:styleId="17">
    <w:name w:val="List Paragraph"/>
    <w:qFormat/>
    <w:uiPriority w:val="0"/>
    <w:rPr>
      <w:rFonts w:ascii="Calibri" w:hAnsi="Calibri" w:eastAsia="Calibri" w:cs="Calibri"/>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544</Words>
  <Characters>3323</Characters>
  <TotalTime>17</TotalTime>
  <ScaleCrop>false</ScaleCrop>
  <LinksUpToDate>false</LinksUpToDate>
  <CharactersWithSpaces>3762</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2026-07-08T00:05:00Z</dcterms:created>
  <dc:creator>Un-named</dc:creator>
  <cp:lastModifiedBy>Ruben King</cp:lastModifiedBy>
  <dcterms:modified xsi:type="dcterms:W3CDTF">2026-07-12T05:59:19Z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eyJoZGlkIjoiMzQxMjQzODkwZjY2Y2NjZjQ0MDk0MzVkZjUzYzZjMjkiLCJ1c2VySWQiOiIyMTU5NTgyMDU3ODE5MyJ9</vt:lpwstr>
  </property>
  <property fmtid="{D5CDD505-2E9C-101B-9397-08002B2CF9AE}" pid="3" name="KSOProductBuildVer">
    <vt:lpwstr>1033-12.1.0.26372</vt:lpwstr>
  </property>
  <property fmtid="{D5CDD505-2E9C-101B-9397-08002B2CF9AE}" pid="4" name="ICV">
    <vt:lpwstr>FD9FFB94F79E4BFE8E368FFB6C35D06D_12</vt:lpwstr>
  </property>
</Properties>
</file>