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32"/>
          <w:szCs w:val="32"/>
        </w:rPr>
      </w:pPr>
      <w:bookmarkStart w:colFirst="0" w:colLast="0" w:name="_heading=h.nfc7a0ei2s9b" w:id="0"/>
      <w:bookmarkEnd w:id="0"/>
      <w:r w:rsidDel="00000000" w:rsidR="00000000" w:rsidRPr="00000000">
        <w:rPr>
          <w:b w:val="1"/>
          <w:bCs w:val="1"/>
          <w:sz w:val="32"/>
          <w:szCs w:val="32"/>
          <w:rtl w:val="0"/>
        </w:rPr>
        <w:t xml:space="preserve">       Predictive Modeling of EV Charging Congestion</w:t>
      </w:r>
    </w:p>
    <w:p w:rsidR="00000000" w:rsidDel="00000000" w:rsidP="00000000" w:rsidRDefault="00000000" w:rsidRPr="00000000" w14:paraId="00000002">
      <w:pPr>
        <w:spacing w:after="80" w:lineRule="auto"/>
        <w:jc w:val="center"/>
        <w:rPr>
          <w:sz w:val="18"/>
          <w:szCs w:val="18"/>
        </w:rPr>
      </w:pPr>
      <w:r w:rsidDel="00000000" w:rsidR="00000000" w:rsidRPr="00000000">
        <w:rPr>
          <w:b w:val="1"/>
          <w:bCs w:val="1"/>
          <w:sz w:val="32"/>
          <w:szCs w:val="32"/>
          <w:rtl w:val="0"/>
        </w:rPr>
        <w:t xml:space="preserve">   Geospatial Supply-Demand Gap Analysis</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1993900</wp:posOffset>
            </wp:positionH>
            <wp:positionV relativeFrom="paragraph">
              <wp:posOffset>368300</wp:posOffset>
            </wp:positionV>
            <wp:extent cx="2049780" cy="2011680"/>
            <wp:effectExtent b="0" l="0" r="0" t="0"/>
            <wp:wrapTopAndBottom distB="0" dist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49780" cy="2011680"/>
                    </a:xfrm>
                    <a:prstGeom prst="rect"/>
                    <a:ln/>
                  </pic:spPr>
                </pic:pic>
              </a:graphicData>
            </a:graphic>
          </wp:anchor>
        </w:drawing>
      </w:r>
    </w:p>
    <w:p w:rsidR="00000000" w:rsidDel="00000000" w:rsidP="00000000" w:rsidRDefault="00000000" w:rsidRPr="00000000" w14:paraId="00000004">
      <w:pPr>
        <w:spacing w:after="60" w:before="60" w:lineRule="auto"/>
        <w:jc w:val="center"/>
        <w:rPr/>
      </w:pPr>
      <w:r w:rsidDel="00000000" w:rsidR="00000000" w:rsidRPr="00000000">
        <w:rPr>
          <w:rtl w:val="0"/>
        </w:rPr>
        <w:br w:type="textWrapping"/>
      </w:r>
    </w:p>
    <w:p w:rsidR="00000000" w:rsidDel="00000000" w:rsidP="00000000" w:rsidRDefault="00000000" w:rsidRPr="00000000" w14:paraId="00000005">
      <w:pPr>
        <w:spacing w:after="40" w:before="40" w:lineRule="auto"/>
        <w:jc w:val="center"/>
        <w:rPr>
          <w:b w:val="1"/>
          <w:bCs w:val="1"/>
          <w:color w:val="000000"/>
          <w:sz w:val="26"/>
          <w:szCs w:val="26"/>
        </w:rPr>
      </w:pPr>
      <w:r w:rsidDel="00000000" w:rsidR="00000000" w:rsidRPr="00000000">
        <w:rPr>
          <w:b w:val="1"/>
          <w:bCs w:val="1"/>
          <w:color w:val="000000"/>
          <w:sz w:val="26"/>
          <w:szCs w:val="26"/>
          <w:rtl w:val="0"/>
        </w:rPr>
        <w:t xml:space="preserve">     MPBA G513 — Predictive Analytics</w:t>
      </w:r>
    </w:p>
    <w:p w:rsidR="00000000" w:rsidDel="00000000" w:rsidP="00000000" w:rsidRDefault="00000000" w:rsidRPr="00000000" w14:paraId="00000006">
      <w:pPr>
        <w:spacing w:after="40" w:before="4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7">
      <w:pPr>
        <w:spacing w:after="40" w:before="40" w:line="360" w:lineRule="auto"/>
        <w:jc w:val="center"/>
        <w:rPr>
          <w:b w:val="1"/>
          <w:bCs w:val="1"/>
          <w:color w:val="000000"/>
          <w:sz w:val="26"/>
          <w:szCs w:val="26"/>
        </w:rPr>
      </w:pPr>
      <w:r w:rsidDel="00000000" w:rsidR="00000000" w:rsidRPr="00000000">
        <w:rPr>
          <w:b w:val="1"/>
          <w:bCs w:val="1"/>
          <w:color w:val="000000"/>
          <w:sz w:val="26"/>
          <w:szCs w:val="26"/>
          <w:rtl w:val="0"/>
        </w:rPr>
        <w:t xml:space="preserve">SUBMITTED </w:t>
        <w:br w:type="textWrapping"/>
        <w:t xml:space="preserve">TO</w:t>
      </w:r>
    </w:p>
    <w:p w:rsidR="00000000" w:rsidDel="00000000" w:rsidP="00000000" w:rsidRDefault="00000000" w:rsidRPr="00000000" w14:paraId="00000008">
      <w:pPr>
        <w:spacing w:after="40" w:before="40" w:line="360" w:lineRule="auto"/>
        <w:jc w:val="center"/>
        <w:rPr>
          <w:b w:val="1"/>
          <w:bCs w:val="1"/>
          <w:color w:val="000000"/>
          <w:sz w:val="26"/>
          <w:szCs w:val="26"/>
        </w:rPr>
      </w:pPr>
      <w:r w:rsidDel="00000000" w:rsidR="00000000" w:rsidRPr="00000000">
        <w:rPr>
          <w:b w:val="1"/>
          <w:bCs w:val="1"/>
          <w:color w:val="000000"/>
          <w:sz w:val="26"/>
          <w:szCs w:val="26"/>
          <w:rtl w:val="0"/>
        </w:rPr>
        <w:t xml:space="preserve"> Prof. Abhishek Verma</w:t>
      </w:r>
    </w:p>
    <w:p w:rsidR="00000000" w:rsidDel="00000000" w:rsidP="00000000" w:rsidRDefault="00000000" w:rsidRPr="00000000" w14:paraId="00000009">
      <w:pPr>
        <w:spacing w:after="40" w:before="4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A">
      <w:pPr>
        <w:spacing w:after="40" w:before="40" w:lineRule="auto"/>
        <w:jc w:val="center"/>
        <w:rPr>
          <w:b w:val="1"/>
          <w:bCs w:val="1"/>
          <w:color w:val="404040"/>
        </w:rPr>
      </w:pPr>
      <w:r w:rsidDel="00000000" w:rsidR="00000000" w:rsidRPr="00000000">
        <w:rPr>
          <w:b w:val="1"/>
          <w:bCs w:val="1"/>
          <w:color w:val="000000"/>
          <w:sz w:val="26"/>
          <w:szCs w:val="26"/>
          <w:rtl w:val="0"/>
        </w:rPr>
        <w:t xml:space="preserve">SUBMITTED BY</w:t>
      </w:r>
      <w:r w:rsidDel="00000000" w:rsidR="00000000" w:rsidRPr="00000000">
        <w:rPr>
          <w:b w:val="1"/>
          <w:bCs w:val="1"/>
          <w:color w:val="000000"/>
          <w:sz w:val="28"/>
          <w:szCs w:val="28"/>
          <w:rtl w:val="0"/>
        </w:rPr>
        <w:t xml:space="preserve"> </w:t>
      </w:r>
      <w:r w:rsidDel="00000000" w:rsidR="00000000" w:rsidRPr="00000000">
        <w:rPr>
          <w:b w:val="1"/>
          <w:bCs w:val="1"/>
          <w:color w:val="1f3864"/>
          <w:sz w:val="26"/>
          <w:szCs w:val="26"/>
          <w:rtl w:val="0"/>
        </w:rPr>
        <w:t xml:space="preserve">GROUP 10</w:t>
      </w:r>
      <w:r w:rsidDel="00000000" w:rsidR="00000000" w:rsidRPr="00000000">
        <w:rPr>
          <w:b w:val="1"/>
          <w:bCs w:val="1"/>
          <w:color w:val="1f3864"/>
          <w:rtl w:val="0"/>
        </w:rPr>
        <w:br w:type="textWrapping"/>
        <w:br w:type="textWrapping"/>
      </w:r>
      <w:r w:rsidDel="00000000" w:rsidR="00000000" w:rsidRPr="00000000">
        <w:rPr>
          <w:rtl w:val="0"/>
        </w:rPr>
      </w:r>
    </w:p>
    <w:tbl>
      <w:tblPr>
        <w:tblStyle w:val="Table1"/>
        <w:tblW w:w="7940.0" w:type="dxa"/>
        <w:jc w:val="left"/>
        <w:tblInd w:w="983.0" w:type="dxa"/>
        <w:tblLayout w:type="fixed"/>
        <w:tblLook w:val="0400"/>
      </w:tblPr>
      <w:tblGrid>
        <w:gridCol w:w="4254"/>
        <w:gridCol w:w="3686"/>
        <w:tblGridChange w:id="0">
          <w:tblGrid>
            <w:gridCol w:w="4254"/>
            <w:gridCol w:w="3686"/>
          </w:tblGrid>
        </w:tblGridChange>
      </w:tblGrid>
      <w:tr>
        <w:trPr>
          <w:cantSplit w:val="0"/>
          <w:trHeight w:val="1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BITS ID</w:t>
            </w:r>
            <w:r w:rsidDel="00000000" w:rsidR="00000000" w:rsidRPr="00000000">
              <w:rPr>
                <w:rtl w:val="0"/>
              </w:rPr>
            </w:r>
          </w:p>
        </w:tc>
      </w:tr>
      <w:tr>
        <w:trPr>
          <w:cantSplit w:val="0"/>
          <w:trHeight w:val="2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Atul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2025H1540842P</w:t>
            </w:r>
          </w:p>
        </w:tc>
      </w:tr>
      <w:tr>
        <w:trPr>
          <w:cantSplit w:val="0"/>
          <w:trHeight w:val="2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Ayushi Aggarwal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2025H1540820P</w:t>
            </w:r>
          </w:p>
        </w:tc>
      </w:tr>
      <w:tr>
        <w:trPr>
          <w:cantSplit w:val="0"/>
          <w:trHeight w:val="2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Avatansh Pandey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2025H1540809P</w:t>
            </w:r>
          </w:p>
        </w:tc>
      </w:tr>
      <w:tr>
        <w:trPr>
          <w:cantSplit w:val="0"/>
          <w:trHeight w:val="2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Jayasuriya 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2025H1540850P</w:t>
            </w:r>
          </w:p>
        </w:tc>
      </w:tr>
    </w:tbl>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tl w:val="0"/>
        </w:rPr>
      </w:r>
    </w:p>
    <w:p w:rsidR="00000000" w:rsidDel="00000000" w:rsidP="00000000" w:rsidRDefault="00000000" w:rsidRPr="00000000" w14:paraId="00000017">
      <w:pPr>
        <w:spacing w:after="40" w:lineRule="auto"/>
        <w:ind w:right="146"/>
        <w:rPr/>
      </w:pPr>
      <w:r w:rsidDel="00000000" w:rsidR="00000000" w:rsidRPr="00000000">
        <w:rPr>
          <w:rtl w:val="0"/>
        </w:rPr>
        <w:br w:type="textWrapping"/>
      </w:r>
      <w:r w:rsidDel="00000000" w:rsidR="00000000" w:rsidRPr="00000000">
        <w:rPr>
          <w:color w:val="ff0000"/>
          <w:sz w:val="22"/>
          <w:szCs w:val="22"/>
          <w:rtl w:val="0"/>
        </w:rPr>
        <w:t xml:space="preserve">                 BIRLA INSTITUTE OF TECHNOLOGY AND SCIENCE PILANI, PILANI CAMPUS</w:t>
      </w:r>
      <w:r w:rsidDel="00000000" w:rsidR="00000000" w:rsidRPr="00000000">
        <w:rPr>
          <w:rtl w:val="0"/>
        </w:rPr>
        <w:br w:type="textWrapping"/>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32"/>
          <w:szCs w:val="32"/>
          <w:u w:val="none"/>
          <w:shd w:fill="auto" w:val="clear"/>
          <w:vertAlign w:val="baseline"/>
          <w:rtl w:val="0"/>
        </w:rPr>
        <w:t xml:space="preserve">Table Contents</w:t>
      </w:r>
      <w:r w:rsidDel="00000000" w:rsidR="00000000" w:rsidRPr="00000000">
        <w:rPr>
          <w:rtl w:val="0"/>
        </w:rPr>
      </w:r>
    </w:p>
    <w:p w:rsidR="00000000" w:rsidDel="00000000" w:rsidP="00000000" w:rsidRDefault="00000000" w:rsidRPr="00000000" w14:paraId="00000019">
      <w:pPr>
        <w:spacing w:after="70" w:lineRule="auto"/>
        <w:rPr>
          <w:b w:val="1"/>
          <w:bCs w:val="1"/>
        </w:rPr>
      </w:pPr>
      <w:r w:rsidDel="00000000" w:rsidR="00000000" w:rsidRPr="00000000">
        <w:rPr>
          <w:b w:val="1"/>
          <w:bCs w:val="1"/>
          <w:sz w:val="22"/>
          <w:szCs w:val="22"/>
          <w:rtl w:val="0"/>
        </w:rPr>
        <w:t xml:space="preserve">Chapter 1: Introduction &amp; Case Study Context</w:t>
      </w:r>
      <w:r w:rsidDel="00000000" w:rsidR="00000000" w:rsidRPr="00000000">
        <w:rPr>
          <w:rtl w:val="0"/>
        </w:rPr>
      </w:r>
    </w:p>
    <w:p w:rsidR="00000000" w:rsidDel="00000000" w:rsidP="00000000" w:rsidRDefault="00000000" w:rsidRPr="00000000" w14:paraId="0000001A">
      <w:pPr>
        <w:spacing w:after="70" w:lineRule="auto"/>
        <w:rPr/>
      </w:pPr>
      <w:r w:rsidDel="00000000" w:rsidR="00000000" w:rsidRPr="00000000">
        <w:rPr>
          <w:sz w:val="22"/>
          <w:szCs w:val="22"/>
          <w:rtl w:val="0"/>
        </w:rPr>
        <w:t xml:space="preserve">    1.1  </w:t>
      </w:r>
      <w:r w:rsidDel="00000000" w:rsidR="00000000" w:rsidRPr="00000000">
        <w:rPr>
          <w:rtl w:val="0"/>
        </w:rPr>
        <w:t xml:space="preserve">Motive for the project</w:t>
      </w:r>
    </w:p>
    <w:p w:rsidR="00000000" w:rsidDel="00000000" w:rsidP="00000000" w:rsidRDefault="00000000" w:rsidRPr="00000000" w14:paraId="0000001B">
      <w:pPr>
        <w:spacing w:after="70" w:lineRule="auto"/>
        <w:rPr/>
      </w:pPr>
      <w:r w:rsidDel="00000000" w:rsidR="00000000" w:rsidRPr="00000000">
        <w:rPr>
          <w:sz w:val="22"/>
          <w:szCs w:val="22"/>
          <w:rtl w:val="0"/>
        </w:rPr>
        <w:t xml:space="preserve">    1.2  The Emerging Challenge</w:t>
      </w:r>
      <w:r w:rsidDel="00000000" w:rsidR="00000000" w:rsidRPr="00000000">
        <w:rPr>
          <w:rtl w:val="0"/>
        </w:rPr>
      </w:r>
    </w:p>
    <w:p w:rsidR="00000000" w:rsidDel="00000000" w:rsidP="00000000" w:rsidRDefault="00000000" w:rsidRPr="00000000" w14:paraId="0000001C">
      <w:pPr>
        <w:spacing w:after="70" w:lineRule="auto"/>
        <w:rPr/>
      </w:pPr>
      <w:r w:rsidDel="00000000" w:rsidR="00000000" w:rsidRPr="00000000">
        <w:rPr>
          <w:sz w:val="22"/>
          <w:szCs w:val="22"/>
          <w:rtl w:val="0"/>
        </w:rPr>
        <w:t xml:space="preserve">    1.3  Overview of the Study</w:t>
      </w:r>
      <w:r w:rsidDel="00000000" w:rsidR="00000000" w:rsidRPr="00000000">
        <w:rPr>
          <w:rtl w:val="0"/>
        </w:rPr>
      </w:r>
    </w:p>
    <w:p w:rsidR="00000000" w:rsidDel="00000000" w:rsidP="00000000" w:rsidRDefault="00000000" w:rsidRPr="00000000" w14:paraId="0000001D">
      <w:pPr>
        <w:spacing w:after="70" w:lineRule="auto"/>
        <w:rPr>
          <w:b w:val="1"/>
          <w:bCs w:val="1"/>
        </w:rPr>
      </w:pPr>
      <w:r w:rsidDel="00000000" w:rsidR="00000000" w:rsidRPr="00000000">
        <w:rPr>
          <w:b w:val="1"/>
          <w:bCs w:val="1"/>
          <w:sz w:val="22"/>
          <w:szCs w:val="22"/>
          <w:rtl w:val="0"/>
        </w:rPr>
        <w:t xml:space="preserve">Chapter 2: Literature Review</w:t>
      </w:r>
      <w:r w:rsidDel="00000000" w:rsidR="00000000" w:rsidRPr="00000000">
        <w:rPr>
          <w:rtl w:val="0"/>
        </w:rPr>
      </w:r>
    </w:p>
    <w:p w:rsidR="00000000" w:rsidDel="00000000" w:rsidP="00000000" w:rsidRDefault="00000000" w:rsidRPr="00000000" w14:paraId="0000001E">
      <w:pPr>
        <w:spacing w:after="70" w:lineRule="auto"/>
        <w:rPr/>
      </w:pPr>
      <w:r w:rsidDel="00000000" w:rsidR="00000000" w:rsidRPr="00000000">
        <w:rPr>
          <w:sz w:val="22"/>
          <w:szCs w:val="22"/>
          <w:rtl w:val="0"/>
        </w:rPr>
        <w:t xml:space="preserve">    2.1  ML for EV Charging Demand Forecasting</w:t>
      </w:r>
      <w:r w:rsidDel="00000000" w:rsidR="00000000" w:rsidRPr="00000000">
        <w:rPr>
          <w:rtl w:val="0"/>
        </w:rPr>
      </w:r>
    </w:p>
    <w:p w:rsidR="00000000" w:rsidDel="00000000" w:rsidP="00000000" w:rsidRDefault="00000000" w:rsidRPr="00000000" w14:paraId="0000001F">
      <w:pPr>
        <w:spacing w:after="70" w:lineRule="auto"/>
        <w:rPr/>
      </w:pPr>
      <w:r w:rsidDel="00000000" w:rsidR="00000000" w:rsidRPr="00000000">
        <w:rPr>
          <w:sz w:val="22"/>
          <w:szCs w:val="22"/>
          <w:rtl w:val="0"/>
        </w:rPr>
        <w:t xml:space="preserve">    2.2  Geospatial Optimisation for Charger Placement</w:t>
      </w: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sz w:val="22"/>
          <w:szCs w:val="22"/>
          <w:rtl w:val="0"/>
        </w:rPr>
        <w:t xml:space="preserve">    2.3  Supply-Demand Gap Analysis in EV Infrastructure</w:t>
      </w:r>
      <w:r w:rsidDel="00000000" w:rsidR="00000000" w:rsidRPr="00000000">
        <w:rPr>
          <w:rtl w:val="0"/>
        </w:rPr>
      </w:r>
    </w:p>
    <w:p w:rsidR="00000000" w:rsidDel="00000000" w:rsidP="00000000" w:rsidRDefault="00000000" w:rsidRPr="00000000" w14:paraId="00000021">
      <w:pPr>
        <w:spacing w:after="70" w:lineRule="auto"/>
        <w:rPr/>
      </w:pPr>
      <w:r w:rsidDel="00000000" w:rsidR="00000000" w:rsidRPr="00000000">
        <w:rPr>
          <w:sz w:val="22"/>
          <w:szCs w:val="22"/>
          <w:rtl w:val="0"/>
        </w:rPr>
        <w:t xml:space="preserve">    2.4  Indian EV Ecosystem and Policy Context</w:t>
      </w:r>
      <w:r w:rsidDel="00000000" w:rsidR="00000000" w:rsidRPr="00000000">
        <w:rPr>
          <w:rtl w:val="0"/>
        </w:rPr>
      </w:r>
    </w:p>
    <w:p w:rsidR="00000000" w:rsidDel="00000000" w:rsidP="00000000" w:rsidRDefault="00000000" w:rsidRPr="00000000" w14:paraId="00000022">
      <w:pPr>
        <w:spacing w:after="70" w:lineRule="auto"/>
        <w:rPr/>
      </w:pPr>
      <w:r w:rsidDel="00000000" w:rsidR="00000000" w:rsidRPr="00000000">
        <w:rPr>
          <w:sz w:val="22"/>
          <w:szCs w:val="22"/>
          <w:rtl w:val="0"/>
        </w:rPr>
        <w:t xml:space="preserve">    2.5  Research Gap and Positioning</w:t>
      </w:r>
      <w:r w:rsidDel="00000000" w:rsidR="00000000" w:rsidRPr="00000000">
        <w:rPr>
          <w:rtl w:val="0"/>
        </w:rPr>
      </w:r>
    </w:p>
    <w:p w:rsidR="00000000" w:rsidDel="00000000" w:rsidP="00000000" w:rsidRDefault="00000000" w:rsidRPr="00000000" w14:paraId="00000023">
      <w:pPr>
        <w:spacing w:after="70" w:lineRule="auto"/>
        <w:rPr>
          <w:b w:val="1"/>
          <w:bCs w:val="1"/>
        </w:rPr>
      </w:pPr>
      <w:r w:rsidDel="00000000" w:rsidR="00000000" w:rsidRPr="00000000">
        <w:rPr>
          <w:b w:val="1"/>
          <w:bCs w:val="1"/>
          <w:sz w:val="22"/>
          <w:szCs w:val="22"/>
          <w:rtl w:val="0"/>
        </w:rPr>
        <w:t xml:space="preserve">Chapter 3: Problem Statement, Objectives &amp; Scope</w:t>
      </w:r>
      <w:r w:rsidDel="00000000" w:rsidR="00000000" w:rsidRPr="00000000">
        <w:rPr>
          <w:rtl w:val="0"/>
        </w:rPr>
      </w:r>
    </w:p>
    <w:p w:rsidR="00000000" w:rsidDel="00000000" w:rsidP="00000000" w:rsidRDefault="00000000" w:rsidRPr="00000000" w14:paraId="00000024">
      <w:pPr>
        <w:spacing w:after="70" w:lineRule="auto"/>
        <w:rPr/>
      </w:pPr>
      <w:r w:rsidDel="00000000" w:rsidR="00000000" w:rsidRPr="00000000">
        <w:rPr>
          <w:sz w:val="22"/>
          <w:szCs w:val="22"/>
          <w:rtl w:val="0"/>
        </w:rPr>
        <w:t xml:space="preserve">    3.1  Statement of the Problem</w:t>
      </w:r>
      <w:r w:rsidDel="00000000" w:rsidR="00000000" w:rsidRPr="00000000">
        <w:rPr>
          <w:rtl w:val="0"/>
        </w:rPr>
      </w:r>
    </w:p>
    <w:p w:rsidR="00000000" w:rsidDel="00000000" w:rsidP="00000000" w:rsidRDefault="00000000" w:rsidRPr="00000000" w14:paraId="00000025">
      <w:pPr>
        <w:spacing w:after="70" w:lineRule="auto"/>
        <w:rPr/>
      </w:pPr>
      <w:r w:rsidDel="00000000" w:rsidR="00000000" w:rsidRPr="00000000">
        <w:rPr>
          <w:sz w:val="22"/>
          <w:szCs w:val="22"/>
          <w:rtl w:val="0"/>
        </w:rPr>
        <w:t xml:space="preserve">    3.</w:t>
      </w:r>
      <w:r w:rsidDel="00000000" w:rsidR="00000000" w:rsidRPr="00000000">
        <w:rPr>
          <w:rtl w:val="0"/>
        </w:rPr>
        <w:t xml:space="preserve">2</w:t>
      </w:r>
      <w:r w:rsidDel="00000000" w:rsidR="00000000" w:rsidRPr="00000000">
        <w:rPr>
          <w:sz w:val="22"/>
          <w:szCs w:val="22"/>
          <w:rtl w:val="0"/>
        </w:rPr>
        <w:t xml:space="preserve">  Originality</w:t>
      </w:r>
      <w:r w:rsidDel="00000000" w:rsidR="00000000" w:rsidRPr="00000000">
        <w:rPr>
          <w:rtl w:val="0"/>
        </w:rPr>
      </w:r>
    </w:p>
    <w:p w:rsidR="00000000" w:rsidDel="00000000" w:rsidP="00000000" w:rsidRDefault="00000000" w:rsidRPr="00000000" w14:paraId="00000026">
      <w:pPr>
        <w:spacing w:after="70" w:lineRule="auto"/>
        <w:rPr/>
      </w:pPr>
      <w:r w:rsidDel="00000000" w:rsidR="00000000" w:rsidRPr="00000000">
        <w:rPr>
          <w:sz w:val="22"/>
          <w:szCs w:val="22"/>
          <w:rtl w:val="0"/>
        </w:rPr>
        <w:t xml:space="preserve">    3.</w:t>
      </w:r>
      <w:r w:rsidDel="00000000" w:rsidR="00000000" w:rsidRPr="00000000">
        <w:rPr>
          <w:rtl w:val="0"/>
        </w:rPr>
        <w:t xml:space="preserve">3</w:t>
      </w:r>
      <w:r w:rsidDel="00000000" w:rsidR="00000000" w:rsidRPr="00000000">
        <w:rPr>
          <w:sz w:val="22"/>
          <w:szCs w:val="22"/>
          <w:rtl w:val="0"/>
        </w:rPr>
        <w:t xml:space="preserve">  Objectives</w:t>
      </w:r>
      <w:r w:rsidDel="00000000" w:rsidR="00000000" w:rsidRPr="00000000">
        <w:rPr>
          <w:rtl w:val="0"/>
        </w:rPr>
      </w:r>
    </w:p>
    <w:p w:rsidR="00000000" w:rsidDel="00000000" w:rsidP="00000000" w:rsidRDefault="00000000" w:rsidRPr="00000000" w14:paraId="00000027">
      <w:pPr>
        <w:spacing w:after="70" w:lineRule="auto"/>
        <w:rPr>
          <w:b w:val="1"/>
          <w:bCs w:val="1"/>
        </w:rPr>
      </w:pPr>
      <w:r w:rsidDel="00000000" w:rsidR="00000000" w:rsidRPr="00000000">
        <w:rPr>
          <w:b w:val="1"/>
          <w:bCs w:val="1"/>
          <w:sz w:val="22"/>
          <w:szCs w:val="22"/>
          <w:rtl w:val="0"/>
        </w:rPr>
        <w:t xml:space="preserve">Chapter 4: Methodology &amp; Model Development</w:t>
      </w:r>
      <w:r w:rsidDel="00000000" w:rsidR="00000000" w:rsidRPr="00000000">
        <w:rPr>
          <w:rtl w:val="0"/>
        </w:rPr>
      </w:r>
    </w:p>
    <w:p w:rsidR="00000000" w:rsidDel="00000000" w:rsidP="00000000" w:rsidRDefault="00000000" w:rsidRPr="00000000" w14:paraId="00000028">
      <w:pPr>
        <w:spacing w:after="70" w:lineRule="auto"/>
        <w:rPr/>
      </w:pPr>
      <w:r w:rsidDel="00000000" w:rsidR="00000000" w:rsidRPr="00000000">
        <w:rPr>
          <w:sz w:val="22"/>
          <w:szCs w:val="22"/>
          <w:rtl w:val="0"/>
        </w:rPr>
        <w:t xml:space="preserve">    4.1  Data Sources &amp; Collection Strategy</w:t>
      </w:r>
      <w:r w:rsidDel="00000000" w:rsidR="00000000" w:rsidRPr="00000000">
        <w:rPr>
          <w:rtl w:val="0"/>
        </w:rPr>
      </w:r>
    </w:p>
    <w:p w:rsidR="00000000" w:rsidDel="00000000" w:rsidP="00000000" w:rsidRDefault="00000000" w:rsidRPr="00000000" w14:paraId="00000029">
      <w:pPr>
        <w:spacing w:after="70" w:lineRule="auto"/>
        <w:rPr/>
      </w:pPr>
      <w:r w:rsidDel="00000000" w:rsidR="00000000" w:rsidRPr="00000000">
        <w:rPr>
          <w:sz w:val="22"/>
          <w:szCs w:val="22"/>
          <w:rtl w:val="0"/>
        </w:rPr>
        <w:t xml:space="preserve">    4.2  Statistical Preprocessing &amp; Verification</w:t>
      </w:r>
      <w:r w:rsidDel="00000000" w:rsidR="00000000" w:rsidRPr="00000000">
        <w:rPr>
          <w:rtl w:val="0"/>
        </w:rPr>
      </w:r>
    </w:p>
    <w:p w:rsidR="00000000" w:rsidDel="00000000" w:rsidP="00000000" w:rsidRDefault="00000000" w:rsidRPr="00000000" w14:paraId="0000002A">
      <w:pPr>
        <w:spacing w:after="70" w:lineRule="auto"/>
        <w:rPr/>
      </w:pPr>
      <w:r w:rsidDel="00000000" w:rsidR="00000000" w:rsidRPr="00000000">
        <w:rPr>
          <w:sz w:val="22"/>
          <w:szCs w:val="22"/>
          <w:rtl w:val="0"/>
        </w:rPr>
        <w:t xml:space="preserve">    4.3  Phase 1 — DBSCAN Geospatial Clustering</w:t>
      </w:r>
      <w:r w:rsidDel="00000000" w:rsidR="00000000" w:rsidRPr="00000000">
        <w:rPr>
          <w:rtl w:val="0"/>
        </w:rPr>
      </w:r>
    </w:p>
    <w:p w:rsidR="00000000" w:rsidDel="00000000" w:rsidP="00000000" w:rsidRDefault="00000000" w:rsidRPr="00000000" w14:paraId="0000002B">
      <w:pPr>
        <w:spacing w:after="70" w:lineRule="auto"/>
        <w:rPr/>
      </w:pPr>
      <w:r w:rsidDel="00000000" w:rsidR="00000000" w:rsidRPr="00000000">
        <w:rPr>
          <w:sz w:val="22"/>
          <w:szCs w:val="22"/>
          <w:rtl w:val="0"/>
        </w:rPr>
        <w:t xml:space="preserve">    4.4  Phase 2 — Congestion Index (CI) &amp; CaaS Deployment Score (CDS)</w:t>
      </w:r>
      <w:r w:rsidDel="00000000" w:rsidR="00000000" w:rsidRPr="00000000">
        <w:rPr>
          <w:rtl w:val="0"/>
        </w:rPr>
      </w:r>
    </w:p>
    <w:p w:rsidR="00000000" w:rsidDel="00000000" w:rsidP="00000000" w:rsidRDefault="00000000" w:rsidRPr="00000000" w14:paraId="0000002C">
      <w:pPr>
        <w:spacing w:after="70" w:lineRule="auto"/>
        <w:rPr/>
      </w:pPr>
      <w:r w:rsidDel="00000000" w:rsidR="00000000" w:rsidRPr="00000000">
        <w:rPr>
          <w:sz w:val="22"/>
          <w:szCs w:val="22"/>
          <w:rtl w:val="0"/>
        </w:rPr>
        <w:t xml:space="preserve">    4.5  Phase 3 — Prophet Time Series Forecasting</w:t>
      </w:r>
      <w:r w:rsidDel="00000000" w:rsidR="00000000" w:rsidRPr="00000000">
        <w:rPr>
          <w:rtl w:val="0"/>
        </w:rPr>
      </w:r>
    </w:p>
    <w:p w:rsidR="00000000" w:rsidDel="00000000" w:rsidP="00000000" w:rsidRDefault="00000000" w:rsidRPr="00000000" w14:paraId="0000002D">
      <w:pPr>
        <w:spacing w:after="70" w:lineRule="auto"/>
        <w:rPr/>
      </w:pPr>
      <w:r w:rsidDel="00000000" w:rsidR="00000000" w:rsidRPr="00000000">
        <w:rPr>
          <w:sz w:val="22"/>
          <w:szCs w:val="22"/>
          <w:rtl w:val="0"/>
        </w:rPr>
        <w:t xml:space="preserve">    4.6  Phase 4 — XGBoost Zone Ranking</w:t>
      </w:r>
      <w:r w:rsidDel="00000000" w:rsidR="00000000" w:rsidRPr="00000000">
        <w:rPr>
          <w:rtl w:val="0"/>
        </w:rPr>
      </w:r>
    </w:p>
    <w:p w:rsidR="00000000" w:rsidDel="00000000" w:rsidP="00000000" w:rsidRDefault="00000000" w:rsidRPr="00000000" w14:paraId="0000002E">
      <w:pPr>
        <w:spacing w:after="70" w:lineRule="auto"/>
        <w:rPr/>
      </w:pPr>
      <w:r w:rsidDel="00000000" w:rsidR="00000000" w:rsidRPr="00000000">
        <w:rPr>
          <w:sz w:val="22"/>
          <w:szCs w:val="22"/>
          <w:rtl w:val="0"/>
        </w:rPr>
        <w:t xml:space="preserve">    4.7  Characteristic Features of the Methodology</w:t>
      </w:r>
      <w:r w:rsidDel="00000000" w:rsidR="00000000" w:rsidRPr="00000000">
        <w:rPr>
          <w:rtl w:val="0"/>
        </w:rPr>
      </w:r>
    </w:p>
    <w:p w:rsidR="00000000" w:rsidDel="00000000" w:rsidP="00000000" w:rsidRDefault="00000000" w:rsidRPr="00000000" w14:paraId="0000002F">
      <w:pPr>
        <w:spacing w:after="70" w:lineRule="auto"/>
        <w:rPr>
          <w:b w:val="1"/>
          <w:bCs w:val="1"/>
        </w:rPr>
      </w:pPr>
      <w:r w:rsidDel="00000000" w:rsidR="00000000" w:rsidRPr="00000000">
        <w:rPr>
          <w:b w:val="1"/>
          <w:bCs w:val="1"/>
          <w:sz w:val="22"/>
          <w:szCs w:val="22"/>
          <w:rtl w:val="0"/>
        </w:rPr>
        <w:t xml:space="preserve">Chapter 5: Results &amp; Analysis</w:t>
      </w:r>
      <w:r w:rsidDel="00000000" w:rsidR="00000000" w:rsidRPr="00000000">
        <w:rPr>
          <w:rtl w:val="0"/>
        </w:rPr>
      </w:r>
    </w:p>
    <w:p w:rsidR="00000000" w:rsidDel="00000000" w:rsidP="00000000" w:rsidRDefault="00000000" w:rsidRPr="00000000" w14:paraId="00000030">
      <w:pPr>
        <w:spacing w:after="70" w:lineRule="auto"/>
        <w:rPr/>
      </w:pPr>
      <w:r w:rsidDel="00000000" w:rsidR="00000000" w:rsidRPr="00000000">
        <w:rPr>
          <w:sz w:val="22"/>
          <w:szCs w:val="22"/>
          <w:rtl w:val="0"/>
        </w:rPr>
        <w:t xml:space="preserve">    5.1  Exploratory Data Analysis</w:t>
      </w:r>
      <w:r w:rsidDel="00000000" w:rsidR="00000000" w:rsidRPr="00000000">
        <w:rPr>
          <w:rtl w:val="0"/>
        </w:rPr>
      </w:r>
    </w:p>
    <w:p w:rsidR="00000000" w:rsidDel="00000000" w:rsidP="00000000" w:rsidRDefault="00000000" w:rsidRPr="00000000" w14:paraId="00000031">
      <w:pPr>
        <w:spacing w:after="70" w:lineRule="auto"/>
        <w:rPr/>
      </w:pPr>
      <w:r w:rsidDel="00000000" w:rsidR="00000000" w:rsidRPr="00000000">
        <w:rPr>
          <w:sz w:val="22"/>
          <w:szCs w:val="22"/>
          <w:rtl w:val="0"/>
        </w:rPr>
        <w:t xml:space="preserve">    5.2  Clustering Results &amp; Charging Desert Identification</w:t>
      </w:r>
      <w:r w:rsidDel="00000000" w:rsidR="00000000" w:rsidRPr="00000000">
        <w:rPr>
          <w:rtl w:val="0"/>
        </w:rPr>
      </w:r>
    </w:p>
    <w:p w:rsidR="00000000" w:rsidDel="00000000" w:rsidP="00000000" w:rsidRDefault="00000000" w:rsidRPr="00000000" w14:paraId="00000032">
      <w:pPr>
        <w:spacing w:after="70" w:lineRule="auto"/>
        <w:rPr/>
      </w:pPr>
      <w:r w:rsidDel="00000000" w:rsidR="00000000" w:rsidRPr="00000000">
        <w:rPr>
          <w:sz w:val="22"/>
          <w:szCs w:val="22"/>
          <w:rtl w:val="0"/>
        </w:rPr>
        <w:t xml:space="preserve">    5.3  Congestion Index Distribution &amp; Zone Rankings</w:t>
      </w:r>
      <w:r w:rsidDel="00000000" w:rsidR="00000000" w:rsidRPr="00000000">
        <w:rPr>
          <w:rtl w:val="0"/>
        </w:rPr>
      </w:r>
    </w:p>
    <w:p w:rsidR="00000000" w:rsidDel="00000000" w:rsidP="00000000" w:rsidRDefault="00000000" w:rsidRPr="00000000" w14:paraId="00000033">
      <w:pPr>
        <w:spacing w:after="70" w:lineRule="auto"/>
        <w:rPr/>
      </w:pPr>
      <w:r w:rsidDel="00000000" w:rsidR="00000000" w:rsidRPr="00000000">
        <w:rPr>
          <w:sz w:val="22"/>
          <w:szCs w:val="22"/>
          <w:rtl w:val="0"/>
        </w:rPr>
        <w:t xml:space="preserve">    5.4  Predictive Model Performance</w:t>
      </w:r>
      <w:r w:rsidDel="00000000" w:rsidR="00000000" w:rsidRPr="00000000">
        <w:rPr>
          <w:rtl w:val="0"/>
        </w:rPr>
      </w:r>
    </w:p>
    <w:p w:rsidR="00000000" w:rsidDel="00000000" w:rsidP="00000000" w:rsidRDefault="00000000" w:rsidRPr="00000000" w14:paraId="00000034">
      <w:pPr>
        <w:spacing w:after="70" w:lineRule="auto"/>
        <w:rPr>
          <w:b w:val="1"/>
          <w:bCs w:val="1"/>
        </w:rPr>
      </w:pPr>
      <w:r w:rsidDel="00000000" w:rsidR="00000000" w:rsidRPr="00000000">
        <w:rPr>
          <w:b w:val="1"/>
          <w:bCs w:val="1"/>
          <w:sz w:val="22"/>
          <w:szCs w:val="22"/>
          <w:rtl w:val="0"/>
        </w:rPr>
        <w:t xml:space="preserve">Chapter 6: Discussion &amp; Managerial Implications</w:t>
      </w:r>
      <w:r w:rsidDel="00000000" w:rsidR="00000000" w:rsidRPr="00000000">
        <w:rPr>
          <w:rtl w:val="0"/>
        </w:rPr>
      </w:r>
    </w:p>
    <w:p w:rsidR="00000000" w:rsidDel="00000000" w:rsidP="00000000" w:rsidRDefault="00000000" w:rsidRPr="00000000" w14:paraId="00000035">
      <w:pPr>
        <w:spacing w:after="70" w:lineRule="auto"/>
        <w:rPr/>
      </w:pPr>
      <w:r w:rsidDel="00000000" w:rsidR="00000000" w:rsidRPr="00000000">
        <w:rPr>
          <w:sz w:val="22"/>
          <w:szCs w:val="22"/>
          <w:rtl w:val="0"/>
        </w:rPr>
        <w:t xml:space="preserve">    6.1  Key Findings</w:t>
      </w:r>
      <w:r w:rsidDel="00000000" w:rsidR="00000000" w:rsidRPr="00000000">
        <w:rPr>
          <w:rtl w:val="0"/>
        </w:rPr>
      </w:r>
    </w:p>
    <w:p w:rsidR="00000000" w:rsidDel="00000000" w:rsidP="00000000" w:rsidRDefault="00000000" w:rsidRPr="00000000" w14:paraId="00000036">
      <w:pPr>
        <w:spacing w:after="70" w:lineRule="auto"/>
        <w:rPr/>
      </w:pPr>
      <w:r w:rsidDel="00000000" w:rsidR="00000000" w:rsidRPr="00000000">
        <w:rPr>
          <w:sz w:val="22"/>
          <w:szCs w:val="22"/>
          <w:rtl w:val="0"/>
        </w:rPr>
        <w:t xml:space="preserve">    6.2  Managerial Implications for CPOs</w:t>
      </w:r>
      <w:r w:rsidDel="00000000" w:rsidR="00000000" w:rsidRPr="00000000">
        <w:rPr>
          <w:rtl w:val="0"/>
        </w:rPr>
      </w:r>
    </w:p>
    <w:p w:rsidR="00000000" w:rsidDel="00000000" w:rsidP="00000000" w:rsidRDefault="00000000" w:rsidRPr="00000000" w14:paraId="00000037">
      <w:pPr>
        <w:spacing w:after="70" w:lineRule="auto"/>
        <w:rPr/>
      </w:pPr>
      <w:r w:rsidDel="00000000" w:rsidR="00000000" w:rsidRPr="00000000">
        <w:rPr>
          <w:sz w:val="22"/>
          <w:szCs w:val="22"/>
          <w:rtl w:val="0"/>
        </w:rPr>
        <w:t xml:space="preserve">    6.3  Policy Implications</w:t>
      </w:r>
      <w:r w:rsidDel="00000000" w:rsidR="00000000" w:rsidRPr="00000000">
        <w:rPr>
          <w:rtl w:val="0"/>
        </w:rPr>
      </w:r>
    </w:p>
    <w:p w:rsidR="00000000" w:rsidDel="00000000" w:rsidP="00000000" w:rsidRDefault="00000000" w:rsidRPr="00000000" w14:paraId="00000038">
      <w:pPr>
        <w:spacing w:after="70" w:lineRule="auto"/>
        <w:rPr>
          <w:b w:val="1"/>
          <w:bCs w:val="1"/>
        </w:rPr>
      </w:pPr>
      <w:r w:rsidDel="00000000" w:rsidR="00000000" w:rsidRPr="00000000">
        <w:rPr>
          <w:b w:val="1"/>
          <w:bCs w:val="1"/>
          <w:sz w:val="22"/>
          <w:szCs w:val="22"/>
          <w:rtl w:val="0"/>
        </w:rPr>
        <w:t xml:space="preserve">Chapter 7: Conclusions, Limitations &amp; Future Scope</w:t>
      </w:r>
      <w:r w:rsidDel="00000000" w:rsidR="00000000" w:rsidRPr="00000000">
        <w:rPr>
          <w:rtl w:val="0"/>
        </w:rPr>
      </w:r>
    </w:p>
    <w:p w:rsidR="00000000" w:rsidDel="00000000" w:rsidP="00000000" w:rsidRDefault="00000000" w:rsidRPr="00000000" w14:paraId="00000039">
      <w:pPr>
        <w:spacing w:after="70" w:lineRule="auto"/>
        <w:rPr/>
      </w:pPr>
      <w:r w:rsidDel="00000000" w:rsidR="00000000" w:rsidRPr="00000000">
        <w:rPr>
          <w:sz w:val="22"/>
          <w:szCs w:val="22"/>
          <w:rtl w:val="0"/>
        </w:rPr>
        <w:t xml:space="preserve">    7.1  Contributions</w:t>
      </w:r>
      <w:r w:rsidDel="00000000" w:rsidR="00000000" w:rsidRPr="00000000">
        <w:rPr>
          <w:rtl w:val="0"/>
        </w:rPr>
      </w:r>
    </w:p>
    <w:p w:rsidR="00000000" w:rsidDel="00000000" w:rsidP="00000000" w:rsidRDefault="00000000" w:rsidRPr="00000000" w14:paraId="0000003A">
      <w:pPr>
        <w:spacing w:after="70" w:lineRule="auto"/>
        <w:rPr/>
      </w:pPr>
      <w:r w:rsidDel="00000000" w:rsidR="00000000" w:rsidRPr="00000000">
        <w:rPr>
          <w:sz w:val="22"/>
          <w:szCs w:val="22"/>
          <w:rtl w:val="0"/>
        </w:rPr>
        <w:t xml:space="preserve">    7.2  Limitations</w:t>
      </w:r>
      <w:r w:rsidDel="00000000" w:rsidR="00000000" w:rsidRPr="00000000">
        <w:rPr>
          <w:rtl w:val="0"/>
        </w:rPr>
      </w:r>
    </w:p>
    <w:p w:rsidR="00000000" w:rsidDel="00000000" w:rsidP="00000000" w:rsidRDefault="00000000" w:rsidRPr="00000000" w14:paraId="0000003B">
      <w:pPr>
        <w:spacing w:after="70" w:lineRule="auto"/>
        <w:rPr/>
      </w:pPr>
      <w:r w:rsidDel="00000000" w:rsidR="00000000" w:rsidRPr="00000000">
        <w:rPr>
          <w:sz w:val="22"/>
          <w:szCs w:val="22"/>
          <w:rtl w:val="0"/>
        </w:rPr>
        <w:t xml:space="preserve">    7.3  Scope for Future Research</w:t>
      </w:r>
      <w:r w:rsidDel="00000000" w:rsidR="00000000" w:rsidRPr="00000000">
        <w:rPr>
          <w:rtl w:val="0"/>
        </w:rPr>
      </w:r>
    </w:p>
    <w:p w:rsidR="00000000" w:rsidDel="00000000" w:rsidP="00000000" w:rsidRDefault="00000000" w:rsidRPr="00000000" w14:paraId="0000003C">
      <w:pPr>
        <w:spacing w:after="70" w:lineRule="auto"/>
        <w:rPr>
          <w:b w:val="1"/>
          <w:bCs w:val="1"/>
        </w:rPr>
      </w:pPr>
      <w:r w:rsidDel="00000000" w:rsidR="00000000" w:rsidRPr="00000000">
        <w:rPr>
          <w:b w:val="1"/>
          <w:bCs w:val="1"/>
          <w:sz w:val="22"/>
          <w:szCs w:val="22"/>
          <w:rtl w:val="0"/>
        </w:rPr>
        <w:t xml:space="preserve">References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Chapter 1: Introduction &amp; Case Study Context</w:t>
      </w:r>
    </w:p>
    <w:p w:rsidR="00000000" w:rsidDel="00000000" w:rsidP="00000000" w:rsidRDefault="00000000" w:rsidRPr="00000000" w14:paraId="0000003F">
      <w:pPr>
        <w:pStyle w:val="Heading1"/>
        <w:rPr>
          <w:color w:val="000000"/>
          <w:sz w:val="28"/>
          <w:szCs w:val="28"/>
        </w:rPr>
      </w:pPr>
      <w:r w:rsidDel="00000000" w:rsidR="00000000" w:rsidRPr="00000000">
        <w:rPr>
          <w:color w:val="000000"/>
          <w:sz w:val="28"/>
          <w:szCs w:val="28"/>
          <w:rtl w:val="0"/>
        </w:rPr>
        <w:t xml:space="preserve">1.1</w:t>
      </w:r>
      <w:r w:rsidDel="00000000" w:rsidR="00000000" w:rsidRPr="00000000">
        <w:rPr>
          <w:rFonts w:ascii="Arial" w:cs="Arial" w:eastAsia="Arial" w:hAnsi="Arial"/>
          <w:color w:val="000000"/>
          <w:sz w:val="20"/>
          <w:szCs w:val="20"/>
          <w:rtl w:val="0"/>
        </w:rPr>
        <w:t xml:space="preserve">  </w:t>
      </w:r>
      <w:r w:rsidDel="00000000" w:rsidR="00000000" w:rsidRPr="00000000">
        <w:rPr>
          <w:color w:val="000000"/>
          <w:sz w:val="28"/>
          <w:szCs w:val="28"/>
          <w:rtl w:val="0"/>
        </w:rPr>
        <w:t xml:space="preserve">Motive for the project</w:t>
      </w:r>
    </w:p>
    <w:p w:rsidR="00000000" w:rsidDel="00000000" w:rsidP="00000000" w:rsidRDefault="00000000" w:rsidRPr="00000000" w14:paraId="00000040">
      <w:pPr>
        <w:spacing w:after="100" w:before="80" w:line="276" w:lineRule="auto"/>
        <w:jc w:val="both"/>
        <w:rPr/>
      </w:pPr>
      <w:r w:rsidDel="00000000" w:rsidR="00000000" w:rsidRPr="00000000">
        <w:rPr>
          <w:rtl w:val="0"/>
        </w:rPr>
        <w:t xml:space="preserve">This project began with a simple but powerful observation — India's EV adoption story is no longer about whether people will buy electric vehicles. That question has been answered. Over 1.3 million EVs are registered today, the government has committed 11,500 crore under FAME-II, and PM E-DRIVE launched in October 2024 to accelerate the next wave. The real question — the one nobody has a clean data-driven answer to yet — is: where should the chargers go?</w:t>
        <w:br w:type="textWrapping"/>
        <w:br w:type="textWrapping"/>
        <w:t xml:space="preserve">India has 29,000 public EV charging stations against approximately 6.8 million registered EVs — a charger-to-EV ratio of roughly 1:235. The government target is 1.3 million charging stations by 2030. That is a 45x scale-up in under five years. But the problem isn't just quantity. It's placement intelligence. Charging station deployment in India today is driven by three flawed logics: land availability, operator preference, and government mandate. None of these are demand-driven. The consequence is a split failure — overcrowding in the right places and underutilization in the wrong ones</w:t>
      </w:r>
    </w:p>
    <w:p w:rsidR="00000000" w:rsidDel="00000000" w:rsidP="00000000" w:rsidRDefault="00000000" w:rsidRPr="00000000" w14:paraId="00000041">
      <w:pPr>
        <w:spacing w:after="160" w:line="276" w:lineRule="auto"/>
        <w:jc w:val="both"/>
        <w:rPr>
          <w:b w:val="1"/>
          <w:bCs w:val="1"/>
          <w:sz w:val="28"/>
          <w:szCs w:val="28"/>
        </w:rPr>
      </w:pPr>
      <w:r w:rsidDel="00000000" w:rsidR="00000000" w:rsidRPr="00000000">
        <w:rPr>
          <w:b w:val="1"/>
          <w:bCs w:val="1"/>
          <w:sz w:val="28"/>
          <w:szCs w:val="28"/>
          <w:rtl w:val="0"/>
        </w:rPr>
        <w:t xml:space="preserve">1.2  The Emerging Challenge</w:t>
      </w:r>
    </w:p>
    <w:p w:rsidR="00000000" w:rsidDel="00000000" w:rsidP="00000000" w:rsidRDefault="00000000" w:rsidRPr="00000000" w14:paraId="00000042">
      <w:pPr>
        <w:spacing w:after="160" w:line="276" w:lineRule="auto"/>
        <w:jc w:val="both"/>
        <w:rPr/>
      </w:pPr>
      <w:bookmarkStart w:colFirst="0" w:colLast="0" w:name="_heading=h.meokl1s9iv14" w:id="1"/>
      <w:bookmarkEnd w:id="1"/>
      <w:r w:rsidDel="00000000" w:rsidR="00000000" w:rsidRPr="00000000">
        <w:rPr>
          <w:rtl w:val="0"/>
        </w:rPr>
        <w:t xml:space="preserve">The failure is not one of quantity but of placement logic. Current deployment decisions rely on land availability and operator relationships rather than demand data. The result is a tri-fold failure: 25–45 minute wait times at correctly-intuited commercial hotspots; 8–12% utilisation rates at misplaced residential-zone chargers (28-month payback); and complete charging deserts in peri-urban corridors growing above 100% YoY in EV registrations. The information gap common to all three failures is the absence of zone-level demand forecasting and placement intelligence.</w:t>
      </w:r>
    </w:p>
    <w:p w:rsidR="00000000" w:rsidDel="00000000" w:rsidP="00000000" w:rsidRDefault="00000000" w:rsidRPr="00000000" w14:paraId="00000043">
      <w:pPr>
        <w:spacing w:after="160" w:line="276" w:lineRule="auto"/>
        <w:jc w:val="both"/>
        <w:rPr/>
      </w:pPr>
      <w:r w:rsidDel="00000000" w:rsidR="00000000" w:rsidRPr="00000000">
        <w:rPr>
          <w:b w:val="1"/>
          <w:bCs w:val="1"/>
          <w:sz w:val="28"/>
          <w:szCs w:val="28"/>
          <w:rtl w:val="0"/>
        </w:rPr>
        <w:t xml:space="preserve">1.3 Overview of the Study</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rtl w:val="0"/>
        </w:rPr>
        <w:t xml:space="preserve">This project develops the EV Charging Demand Intelligence Platform — a predictive decision-support system using open-source data, spatial clustering, and ensemble machine learning to rank micro-zones for fast-charger deployment across the Bengaluru metropolitan area (40 zones, 1 km × 1 km grid). The platform's design reflects a key market insight: CPOs such as Bolt.Earth (56% private market share, 100,000+ deployed chargers) make ₹15–20 lakh CAPEX commitments locked for five or more years, while CaaS operators such as Teslavolts (GIFT City, Gujarat) deploy mobile PowerPod/PowerVault units at ₹15,000 per move, revocable in 24 hours. Both actors need different outputs from the same underlying data — the dual Congestion Index (CI) and CaaS Deployment Score (CDS) architecture directly serves this split.</w:t>
      </w:r>
    </w:p>
    <w:p w:rsidR="00000000" w:rsidDel="00000000" w:rsidP="00000000" w:rsidRDefault="00000000" w:rsidRPr="00000000" w14:paraId="00000045">
      <w:pPr>
        <w:spacing w:after="160" w:line="276" w:lineRule="auto"/>
        <w:jc w:val="both"/>
        <w:rPr>
          <w:sz w:val="28"/>
          <w:szCs w:val="28"/>
        </w:rPr>
      </w:pPr>
      <w:r w:rsidDel="00000000" w:rsidR="00000000" w:rsidRPr="00000000">
        <w:rPr>
          <w:rtl w:val="0"/>
        </w:rPr>
      </w:r>
    </w:p>
    <w:p w:rsidR="00000000" w:rsidDel="00000000" w:rsidP="00000000" w:rsidRDefault="00000000" w:rsidRPr="00000000" w14:paraId="00000046">
      <w:pPr>
        <w:pStyle w:val="Heading1"/>
        <w:spacing w:line="276" w:lineRule="auto"/>
        <w:rPr>
          <w:color w:val="1f4e79"/>
        </w:rPr>
      </w:pPr>
      <w:r w:rsidDel="00000000" w:rsidR="00000000" w:rsidRPr="00000000">
        <w:rPr>
          <w:rtl w:val="0"/>
        </w:rPr>
      </w:r>
    </w:p>
    <w:p w:rsidR="00000000" w:rsidDel="00000000" w:rsidP="00000000" w:rsidRDefault="00000000" w:rsidRPr="00000000" w14:paraId="00000047">
      <w:pPr>
        <w:pStyle w:val="Heading1"/>
        <w:spacing w:line="276" w:lineRule="auto"/>
        <w:rPr/>
      </w:pPr>
      <w:r w:rsidDel="00000000" w:rsidR="00000000" w:rsidRPr="00000000">
        <w:rPr>
          <w:color w:val="1f4e79"/>
          <w:rtl w:val="0"/>
        </w:rPr>
        <w:t xml:space="preserve">Chapter 2: Literature Review</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tl w:val="0"/>
        </w:rPr>
        <w:t xml:space="preserve">This chapter synthesises research published between 2018 and 2026 across five thematic areas. The review establishes theoretical foundations, identifies methodological precedents, and positions this project's contributions against the existing body of work.</w:t>
      </w:r>
    </w:p>
    <w:p w:rsidR="00000000" w:rsidDel="00000000" w:rsidP="00000000" w:rsidRDefault="00000000" w:rsidRPr="00000000" w14:paraId="00000049">
      <w:pPr>
        <w:spacing w:after="160" w:line="276" w:lineRule="auto"/>
        <w:jc w:val="both"/>
        <w:rPr/>
      </w:pPr>
      <w:r w:rsidDel="00000000" w:rsidR="00000000" w:rsidRPr="00000000">
        <w:rPr>
          <w:b w:val="1"/>
          <w:bCs w:val="1"/>
          <w:sz w:val="28"/>
          <w:szCs w:val="28"/>
          <w:rtl w:val="0"/>
        </w:rPr>
        <w:t xml:space="preserve">2.1 Machine Learning for EV Charging Demand Forecasting</w:t>
      </w:r>
      <w:r w:rsidDel="00000000" w:rsidR="00000000" w:rsidRPr="00000000">
        <w:rPr>
          <w:rtl w:val="0"/>
        </w:rPr>
      </w:r>
    </w:p>
    <w:p w:rsidR="00000000" w:rsidDel="00000000" w:rsidP="00000000" w:rsidRDefault="00000000" w:rsidRPr="00000000" w14:paraId="0000004A">
      <w:pPr>
        <w:spacing w:after="160" w:line="276" w:lineRule="auto"/>
        <w:jc w:val="both"/>
        <w:rPr/>
      </w:pPr>
      <w:sdt>
        <w:sdtPr>
          <w:id w:val="1115866847"/>
          <w:tag w:val="goog_rdk_0"/>
        </w:sdtPr>
        <w:sdtContent>
          <w:r w:rsidDel="00000000" w:rsidR="00000000" w:rsidRPr="00000000">
            <w:rPr>
              <w:rFonts w:ascii="Gungsuh" w:cs="Gungsuh" w:eastAsia="Gungsuh" w:hAnsi="Gungsuh"/>
              <w:rtl w:val="0"/>
            </w:rPr>
            <w:t xml:space="preserve">Hussain and Eswarakrishnan (2025) proposed a hybrid LSTM-Transformer model for 30–240 day charging demand prediction, achieving 16–17% lower MAE than standalone LSTM at the 30-day horizon. Mao et al. (2026) built a stacked ensemble combining Random Forest, GBDT, LightGBM, and BiLSTM across four Chinese cities, reporting 6–20% MAE improvement over single-model baselines. Their SHAP analysis identified charger power rating and pricing as dominant demand predictors — consistent with this project's 3× fast-charger weighting in the CI denominator. Orzechowski et al. (2023) achieved SMAPE ≈ 5.9% on a multi-station UK medium-term forecasting framework using deep learning on three years of data. Zhang et al. (2025), applying XGBoost and CatBoost to California charging data, found that a 30% increase in renewable energy share correlated with a 47% rise in charging demand — illustrating the policy-sensitivity of demand forecasts that motivates this project's Prophet changepoint treatment.</w:t>
          </w:r>
        </w:sdtContent>
      </w:sdt>
    </w:p>
    <w:p w:rsidR="00000000" w:rsidDel="00000000" w:rsidP="00000000" w:rsidRDefault="00000000" w:rsidRPr="00000000" w14:paraId="0000004B">
      <w:pPr>
        <w:spacing w:after="160" w:line="276" w:lineRule="auto"/>
        <w:jc w:val="both"/>
        <w:rPr/>
      </w:pPr>
      <w:r w:rsidDel="00000000" w:rsidR="00000000" w:rsidRPr="00000000">
        <w:rPr>
          <w:b w:val="1"/>
          <w:bCs w:val="1"/>
          <w:sz w:val="28"/>
          <w:szCs w:val="28"/>
          <w:rtl w:val="0"/>
        </w:rPr>
        <w:t xml:space="preserve">2.2 Geospatial Optimisation for Charger Placement</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tl w:val="0"/>
        </w:rPr>
        <w:t xml:space="preserve">Roy et al. (2025) demonstrated a 15–22% higher utility score over existing placements using a GIS-MCDM-metaheuristic approach in Bhubaneswar, India, confirming that systematic optimisation outperforms intuitive siting. Abdullahi et al. (2024) augmented K-Means with EV-specific penalty terms to prevent clustering in low-demand zones — a methodological limitation that this project resolves by replacing K-Means with DBSCAN, which discovers irregularly shaped clusters without a pre-specified cluster count. Prakobkaew and Sirisumrannukul (2024) used a mixed-integer covering location model with GIS grid partitioning at national scale in Thailand, validating that grid-based spatial frameworks produce replicable, scalable placement intelligence.</w:t>
      </w:r>
    </w:p>
    <w:p w:rsidR="00000000" w:rsidDel="00000000" w:rsidP="00000000" w:rsidRDefault="00000000" w:rsidRPr="00000000" w14:paraId="0000004D">
      <w:pPr>
        <w:spacing w:after="160" w:line="276" w:lineRule="auto"/>
        <w:jc w:val="both"/>
        <w:rPr/>
      </w:pPr>
      <w:r w:rsidDel="00000000" w:rsidR="00000000" w:rsidRPr="00000000">
        <w:rPr>
          <w:b w:val="1"/>
          <w:bCs w:val="1"/>
          <w:sz w:val="28"/>
          <w:szCs w:val="28"/>
          <w:rtl w:val="0"/>
        </w:rPr>
        <w:t xml:space="preserve">2.3 Supply-Demand Gap Analysis in EV Infrastructure</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tl w:val="0"/>
        </w:rPr>
        <w:t xml:space="preserve">Li et al. (2024) used a CNN-LSTM hybrid to project China's EV-to-charger ratio to approximately 10.2:1 by 2025, demonstrating that dynamic gap analysis — incorporating growth forecasting rather than static snapshots — is necessary for investment planning. Jha et al. (2025) applied the Enhanced Two-Step Floating Catchment Area (E2SFCA) method to Delhi's charging network, estimating 105 urban and 150 peri-urban additional stations for 93% coverage. This project's Congestion Index extends such analyses by incorporating temporal growth dynamics and grid stability into the supply-demand ratio, producing a richer signal than area-coverage metrics provide.</w:t>
      </w:r>
    </w:p>
    <w:p w:rsidR="00000000" w:rsidDel="00000000" w:rsidP="00000000" w:rsidRDefault="00000000" w:rsidRPr="00000000" w14:paraId="0000004F">
      <w:pPr>
        <w:spacing w:after="160" w:line="276"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b w:val="1"/>
          <w:bCs w:val="1"/>
          <w:sz w:val="28"/>
          <w:szCs w:val="28"/>
          <w:rtl w:val="0"/>
        </w:rPr>
        <w:t xml:space="preserve">2.4 Indian EV Ecosystem and Policy Context</w:t>
      </w:r>
      <w:r w:rsidDel="00000000" w:rsidR="00000000" w:rsidRPr="00000000">
        <w:rPr>
          <w:rtl w:val="0"/>
        </w:rPr>
      </w:r>
    </w:p>
    <w:p w:rsidR="00000000" w:rsidDel="00000000" w:rsidP="00000000" w:rsidRDefault="00000000" w:rsidRPr="00000000" w14:paraId="00000051">
      <w:pPr>
        <w:spacing w:after="160" w:line="276" w:lineRule="auto"/>
        <w:jc w:val="both"/>
        <w:rPr/>
      </w:pPr>
      <w:r w:rsidDel="00000000" w:rsidR="00000000" w:rsidRPr="00000000">
        <w:rPr>
          <w:rtl w:val="0"/>
        </w:rPr>
        <w:t xml:space="preserve">Khan et al. (2025) confirmed charger availability as a top adoption barrier from both manufacturer and consumer perspectives. Rajmal and Gupta (2025) established a statistically significant positive correlation between public charger density and EV adoption rates across Indian states using panel data — econometric evidence that infrastructure investment directly drives demand growth. India's policy architecture has evolved from FAME-II (₹11,500 crore, 2019–2024) to PM E-DRIVE (₹10,900 crore, 2024–2028), which allocates ₹2,000 crore specifically for 72,300 public fast-charging points (Ministry of Heavy Industries, 2024). Despite this ambition, only 9.6% of required infrastructure funding has been mobilised (India EV Digest, 2023), highlighting a capital gap that ROI-focused placement tools can help bridge by improving CPO investor confidence.</w:t>
      </w:r>
    </w:p>
    <w:p w:rsidR="00000000" w:rsidDel="00000000" w:rsidP="00000000" w:rsidRDefault="00000000" w:rsidRPr="00000000" w14:paraId="00000052">
      <w:pPr>
        <w:pStyle w:val="Heading1"/>
        <w:rPr>
          <w:color w:val="000000"/>
          <w:sz w:val="28"/>
          <w:szCs w:val="28"/>
        </w:rPr>
      </w:pPr>
      <w:r w:rsidDel="00000000" w:rsidR="00000000" w:rsidRPr="00000000">
        <w:rPr>
          <w:color w:val="000000"/>
          <w:sz w:val="28"/>
          <w:szCs w:val="28"/>
          <w:rtl w:val="0"/>
        </w:rPr>
        <w:t xml:space="preserve">2.5 Research Gap and Positioning</w:t>
      </w:r>
    </w:p>
    <w:p w:rsidR="00000000" w:rsidDel="00000000" w:rsidP="00000000" w:rsidRDefault="00000000" w:rsidRPr="00000000" w14:paraId="00000053">
      <w:pPr>
        <w:spacing w:line="276" w:lineRule="auto"/>
        <w:rPr/>
      </w:pPr>
      <w:r w:rsidDel="00000000" w:rsidR="00000000" w:rsidRPr="00000000">
        <w:rPr>
          <w:rtl w:val="0"/>
        </w:rPr>
        <w:t xml:space="preserve">The reviewed literature demonstrates robust individual advances in ML forecasting, geospatial optimisation, gap analysis, and Indian market studies. No existing work integrates all four dimensions — demand prediction, spatial clustering, congestion quantification, and financial viability assessment — into a unified framework calibrated for Indian commercial micro-zones. Further, most geospatial studies operate at city or district granularity; CPO investment decisions require 1–2 km micro-zone intelligence. The dual-output CAPEX/OPEX architecture and the explicit treatment of FAME-II and PM E-DRIVE as Prophet changepoints are absent from the existing literature. This project addresses all three gaps.</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3400425</wp:posOffset>
            </wp:positionH>
            <wp:positionV relativeFrom="paragraph">
              <wp:posOffset>163830</wp:posOffset>
            </wp:positionV>
            <wp:extent cx="2486025" cy="2781300"/>
            <wp:effectExtent b="0" l="0" r="0" t="0"/>
            <wp:wrapNone/>
            <wp:docPr id="6" name="image8.jpg"/>
            <a:graphic>
              <a:graphicData uri="http://schemas.openxmlformats.org/drawingml/2006/picture">
                <pic:pic>
                  <pic:nvPicPr>
                    <pic:cNvPr id="0" name="image8.jpg"/>
                    <pic:cNvPicPr preferRelativeResize="0"/>
                  </pic:nvPicPr>
                  <pic:blipFill>
                    <a:blip r:embed="rId8"/>
                    <a:srcRect b="17672" l="0" r="0" t="19396"/>
                    <a:stretch>
                      <a:fillRect/>
                    </a:stretch>
                  </pic:blipFill>
                  <pic:spPr>
                    <a:xfrm>
                      <a:off x="0" y="0"/>
                      <a:ext cx="2486025" cy="2781300"/>
                    </a:xfrm>
                    <a:prstGeom prst="rect"/>
                    <a:ln/>
                  </pic:spPr>
                </pic:pic>
              </a:graphicData>
            </a:graphic>
          </wp:anchor>
        </w:drawing>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0</wp:posOffset>
            </wp:positionV>
            <wp:extent cx="2800350" cy="1915284"/>
            <wp:effectExtent b="0" l="0" r="0" t="0"/>
            <wp:wrapNone/>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800350" cy="1915284"/>
                    </a:xfrm>
                    <a:prstGeom prst="rect"/>
                    <a:ln/>
                  </pic:spPr>
                </pic:pic>
              </a:graphicData>
            </a:graphic>
          </wp:anchor>
        </w:drawing>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Chapter 3: Problem Statement, Objective &amp; Scope</w:t>
        <w:br w:type="textWrapping"/>
        <w:br w:type="textWrapping"/>
      </w:r>
      <w:r w:rsidDel="00000000" w:rsidR="00000000" w:rsidRPr="00000000">
        <w:rPr>
          <w:color w:val="000000"/>
          <w:sz w:val="28"/>
          <w:szCs w:val="28"/>
          <w:rtl w:val="0"/>
        </w:rPr>
        <w:t xml:space="preserve">3.1 Statement of the Problem</w:t>
      </w:r>
      <w:r w:rsidDel="00000000" w:rsidR="00000000" w:rsidRPr="00000000">
        <w:rPr>
          <w:rtl w:val="0"/>
        </w:rPr>
      </w:r>
    </w:p>
    <w:p w:rsidR="00000000" w:rsidDel="00000000" w:rsidP="00000000" w:rsidRDefault="00000000" w:rsidRPr="00000000" w14:paraId="00000066">
      <w:pPr>
        <w:spacing w:after="160" w:line="276" w:lineRule="auto"/>
        <w:jc w:val="both"/>
        <w:rPr/>
      </w:pPr>
      <w:r w:rsidDel="00000000" w:rsidR="00000000" w:rsidRPr="00000000">
        <w:rPr>
          <w:rtl w:val="0"/>
        </w:rPr>
        <w:t xml:space="preserve">EV charger placement in Indian cities is reactive — driven by land availability and mandate rather than demand evidence. The result is three simultaneous failures: overcrowded hotspots (25–45 min wait times), misplaced installations (8–12% utilisation, 28-month payback), and complete charging deserts in high-growth corridors. Each misplaced DC fast-charger represents ₹15–25 lakhs in stranded CAPEX. The research question: can a public-data pipeline reliably rank micro-zones by unmet charging demand and produce calibrated, dual-horizon decision outputs for CPO investment and CaaS routing simultaneously?</w:t>
      </w:r>
    </w:p>
    <w:p w:rsidR="00000000" w:rsidDel="00000000" w:rsidP="00000000" w:rsidRDefault="00000000" w:rsidRPr="00000000" w14:paraId="00000067">
      <w:pPr>
        <w:spacing w:after="160" w:line="276" w:lineRule="auto"/>
        <w:jc w:val="both"/>
        <w:rPr>
          <w:sz w:val="32"/>
          <w:szCs w:val="32"/>
        </w:rPr>
      </w:pPr>
      <w:r w:rsidDel="00000000" w:rsidR="00000000" w:rsidRPr="00000000">
        <w:rPr>
          <w:b w:val="1"/>
          <w:bCs w:val="1"/>
          <w:sz w:val="28"/>
          <w:szCs w:val="28"/>
          <w:rtl w:val="0"/>
        </w:rPr>
        <w:t xml:space="preserve">3.2 Originality</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rtl w:val="0"/>
        </w:rPr>
        <w:t xml:space="preserve">Three contributions distinguish this work: (i) a dual-output pipeline (CI for CAPEX, CDS for OPEX) from one data architecture — no compromise serving both; (ii) repurposing DBSCAN noise-point zones as CaaS first-mover targets rather than discarding them; and (iii) FAME-II and PM E-DRIVE as explicit Prophet changepoints — treating policy events as structural demand signals, not noise.</w:t>
      </w:r>
    </w:p>
    <w:p w:rsidR="00000000" w:rsidDel="00000000" w:rsidP="00000000" w:rsidRDefault="00000000" w:rsidRPr="00000000" w14:paraId="00000069">
      <w:pPr>
        <w:spacing w:after="160" w:line="276" w:lineRule="auto"/>
        <w:jc w:val="both"/>
        <w:rPr>
          <w:b w:val="1"/>
          <w:bCs w:val="1"/>
          <w:sz w:val="28"/>
          <w:szCs w:val="28"/>
        </w:rPr>
      </w:pPr>
      <w:r w:rsidDel="00000000" w:rsidR="00000000" w:rsidRPr="00000000">
        <w:rPr>
          <w:b w:val="1"/>
          <w:bCs w:val="1"/>
          <w:sz w:val="28"/>
          <w:szCs w:val="28"/>
          <w:rtl w:val="0"/>
        </w:rPr>
        <w:t xml:space="preserve">3.3 Objectives</w:t>
      </w:r>
    </w:p>
    <w:p w:rsidR="00000000" w:rsidDel="00000000" w:rsidP="00000000" w:rsidRDefault="00000000" w:rsidRPr="00000000" w14:paraId="0000006A">
      <w:pPr>
        <w:spacing w:after="160" w:line="276" w:lineRule="auto"/>
        <w:jc w:val="both"/>
        <w:rPr>
          <w:color w:val="1f3864"/>
          <w:sz w:val="28"/>
          <w:szCs w:val="28"/>
        </w:rPr>
      </w:pPr>
      <w:r w:rsidDel="00000000" w:rsidR="00000000" w:rsidRPr="00000000">
        <w:rPr>
          <w:b w:val="1"/>
          <w:bCs w:val="1"/>
          <w:color w:val="1f3864"/>
          <w:rtl w:val="0"/>
        </w:rPr>
        <w:t xml:space="preserve">Primary: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seven-module pipeline integrating EV registration, charger supply, POI, footfall, and land cost into a unified 1 km × 1 km zone dataset for Bengaluru.</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demand clusters and charging deserts via DBSCAN; elevate noise-point zones to CaaS priority.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CI (CAPEX signal) and CDS (OPEX routing signal) per zone.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12-month zone-level EV growth via Prophet with changepoints; rank zones via XGBoost.</w:t>
      </w:r>
      <w:r w:rsidDel="00000000" w:rsidR="00000000" w:rsidRPr="00000000">
        <w:rPr>
          <w:rtl w:val="0"/>
        </w:rPr>
      </w:r>
    </w:p>
    <w:p w:rsidR="00000000" w:rsidDel="00000000" w:rsidP="00000000" w:rsidRDefault="00000000" w:rsidRPr="00000000" w14:paraId="0000006F">
      <w:pPr>
        <w:spacing w:after="160" w:line="276" w:lineRule="auto"/>
        <w:jc w:val="both"/>
        <w:rPr>
          <w:color w:val="1f3864"/>
          <w:sz w:val="28"/>
          <w:szCs w:val="28"/>
        </w:rPr>
      </w:pPr>
      <w:r w:rsidDel="00000000" w:rsidR="00000000" w:rsidRPr="00000000">
        <w:rPr>
          <w:b w:val="1"/>
          <w:bCs w:val="1"/>
          <w:color w:val="1f3864"/>
          <w:rtl w:val="0"/>
        </w:rPr>
        <w:t xml:space="preserve">Secondary: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pipeline via VIF, PCA, and Moran's I before modelling.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unit economics (payback, daily revenue, ROI tier) using Teslavolts CPO Calculator benchmarks.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 managerial and policy recommendations for CPOs and government subsidy allocators.</w:t>
      </w:r>
      <w:r w:rsidDel="00000000" w:rsidR="00000000" w:rsidRPr="00000000">
        <w:rPr>
          <w:rtl w:val="0"/>
        </w:rPr>
      </w:r>
    </w:p>
    <w:p w:rsidR="00000000" w:rsidDel="00000000" w:rsidP="00000000" w:rsidRDefault="00000000" w:rsidRPr="00000000" w14:paraId="00000073">
      <w:pPr>
        <w:pStyle w:val="Heading1"/>
        <w:spacing w:line="276" w:lineRule="auto"/>
        <w:rPr/>
      </w:pPr>
      <w:r w:rsidDel="00000000" w:rsidR="00000000" w:rsidRPr="00000000">
        <w:rPr>
          <w:rtl w:val="0"/>
        </w:rPr>
      </w:r>
    </w:p>
    <w:p w:rsidR="00000000" w:rsidDel="00000000" w:rsidP="00000000" w:rsidRDefault="00000000" w:rsidRPr="00000000" w14:paraId="00000074">
      <w:pPr>
        <w:pStyle w:val="Heading1"/>
        <w:spacing w:line="276" w:lineRule="auto"/>
        <w:rPr/>
      </w:pPr>
      <w:r w:rsidDel="00000000" w:rsidR="00000000" w:rsidRPr="00000000">
        <w:rPr>
          <w:rtl w:val="0"/>
        </w:rPr>
      </w:r>
    </w:p>
    <w:p w:rsidR="00000000" w:rsidDel="00000000" w:rsidP="00000000" w:rsidRDefault="00000000" w:rsidRPr="00000000" w14:paraId="00000075">
      <w:pPr>
        <w:pStyle w:val="Heading1"/>
        <w:rPr>
          <w:sz w:val="28"/>
          <w:szCs w:val="28"/>
        </w:rPr>
      </w:pPr>
      <w:r w:rsidDel="00000000" w:rsidR="00000000" w:rsidRPr="00000000">
        <w:rPr>
          <w:color w:val="1f4e79"/>
          <w:rtl w:val="0"/>
        </w:rPr>
        <w:t xml:space="preserve">Chapter 4: Methodology &amp; Model Development</w:t>
      </w:r>
      <w:r w:rsidDel="00000000" w:rsidR="00000000" w:rsidRPr="00000000">
        <w:rPr>
          <w:rtl w:val="0"/>
        </w:rPr>
      </w:r>
    </w:p>
    <w:p w:rsidR="00000000" w:rsidDel="00000000" w:rsidP="00000000" w:rsidRDefault="00000000" w:rsidRPr="00000000" w14:paraId="00000076">
      <w:pPr>
        <w:spacing w:after="160" w:lineRule="auto"/>
        <w:jc w:val="both"/>
        <w:rPr>
          <w:sz w:val="28"/>
          <w:szCs w:val="28"/>
        </w:rPr>
      </w:pPr>
      <w:sdt>
        <w:sdtPr>
          <w:id w:val="-1227982001"/>
          <w:tag w:val="goog_rdk_1"/>
        </w:sdtPr>
        <w:sdtContent>
          <w:r w:rsidDel="00000000" w:rsidR="00000000" w:rsidRPr="00000000">
            <w:rPr>
              <w:rFonts w:ascii="Cardo" w:cs="Cardo" w:eastAsia="Cardo" w:hAnsi="Cardo"/>
              <w:rtl w:val="0"/>
            </w:rPr>
            <w:t xml:space="preserve">The pipeline runs in four sequential phases — Cluster → Score → Forecast → Rank — preceded by a seven-module data acquisition and verification stage. Each phase feeds the next; any module can be updated independently.</w:t>
          </w:r>
        </w:sdtContent>
      </w:sdt>
      <w:r w:rsidDel="00000000" w:rsidR="00000000" w:rsidRPr="00000000">
        <w:rPr>
          <w:rtl w:val="0"/>
        </w:rPr>
      </w:r>
    </w:p>
    <w:p w:rsidR="00000000" w:rsidDel="00000000" w:rsidP="00000000" w:rsidRDefault="00000000" w:rsidRPr="00000000" w14:paraId="00000077">
      <w:pPr>
        <w:pStyle w:val="Heading2"/>
        <w:rPr>
          <w:color w:val="000000"/>
        </w:rPr>
      </w:pPr>
      <w:r w:rsidDel="00000000" w:rsidR="00000000" w:rsidRPr="00000000">
        <w:rPr>
          <w:b w:val="1"/>
          <w:bCs w:val="1"/>
          <w:color w:val="000000"/>
          <w:sz w:val="28"/>
          <w:szCs w:val="28"/>
          <w:rtl w:val="0"/>
        </w:rPr>
        <w:t xml:space="preserve">4.1 Data Sources &amp; Pipeline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tbl>
      <w:tblPr>
        <w:tblStyle w:val="Table2"/>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2"/>
        <w:gridCol w:w="1458"/>
        <w:gridCol w:w="1950"/>
        <w:gridCol w:w="2300"/>
        <w:gridCol w:w="2280"/>
        <w:tblGridChange w:id="0">
          <w:tblGrid>
            <w:gridCol w:w="1792"/>
            <w:gridCol w:w="1458"/>
            <w:gridCol w:w="1950"/>
            <w:gridCol w:w="2300"/>
            <w:gridCol w:w="2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19"/>
                <w:szCs w:val="19"/>
                <w:rtl w:val="0"/>
              </w:rPr>
              <w:t xml:space="preserve">Key Variables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19"/>
                <w:szCs w:val="19"/>
                <w:rtl w:val="0"/>
              </w:rPr>
              <w:t xml:space="preserve">Pipeline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7E">
            <w:pPr>
              <w:rPr>
                <w:sz w:val="20"/>
                <w:szCs w:val="20"/>
              </w:rPr>
            </w:pPr>
            <w:r w:rsidDel="00000000" w:rsidR="00000000" w:rsidRPr="00000000">
              <w:rPr>
                <w:sz w:val="20"/>
                <w:szCs w:val="20"/>
                <w:rtl w:val="0"/>
              </w:rPr>
              <w:t xml:space="preserve">M1 — EV Demand</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7F">
            <w:pPr>
              <w:rPr>
                <w:sz w:val="20"/>
                <w:szCs w:val="20"/>
              </w:rPr>
            </w:pPr>
            <w:r w:rsidDel="00000000" w:rsidR="00000000" w:rsidRPr="00000000">
              <w:rPr>
                <w:sz w:val="20"/>
                <w:szCs w:val="20"/>
                <w:rtl w:val="0"/>
              </w:rPr>
              <w:t xml:space="preserve">Vahan / MoRTH</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0">
            <w:pPr>
              <w:rPr>
                <w:sz w:val="20"/>
                <w:szCs w:val="20"/>
              </w:rPr>
            </w:pPr>
            <w:r w:rsidDel="00000000" w:rsidR="00000000" w:rsidRPr="00000000">
              <w:rPr>
                <w:sz w:val="20"/>
                <w:szCs w:val="20"/>
                <w:rtl w:val="0"/>
              </w:rPr>
              <w:t xml:space="preserve">Selenium automation</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1">
            <w:pPr>
              <w:rPr>
                <w:sz w:val="20"/>
                <w:szCs w:val="20"/>
              </w:rPr>
            </w:pPr>
            <w:r w:rsidDel="00000000" w:rsidR="00000000" w:rsidRPr="00000000">
              <w:rPr>
                <w:sz w:val="20"/>
                <w:szCs w:val="20"/>
                <w:rtl w:val="0"/>
              </w:rPr>
              <w:t xml:space="preserve">EV count; YoY growth rate per RTO zone</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2">
            <w:pPr>
              <w:rPr>
                <w:sz w:val="20"/>
                <w:szCs w:val="20"/>
              </w:rPr>
            </w:pPr>
            <w:r w:rsidDel="00000000" w:rsidR="00000000" w:rsidRPr="00000000">
              <w:rPr>
                <w:sz w:val="20"/>
                <w:szCs w:val="20"/>
                <w:rtl w:val="0"/>
              </w:rPr>
              <w:t xml:space="preserve">CI numerator — demand signal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3">
            <w:pPr>
              <w:rPr>
                <w:sz w:val="20"/>
                <w:szCs w:val="20"/>
              </w:rPr>
            </w:pPr>
            <w:r w:rsidDel="00000000" w:rsidR="00000000" w:rsidRPr="00000000">
              <w:rPr>
                <w:sz w:val="20"/>
                <w:szCs w:val="20"/>
                <w:rtl w:val="0"/>
              </w:rPr>
              <w:t xml:space="preserve">M2 — Charger Supply</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4">
            <w:pPr>
              <w:rPr>
                <w:sz w:val="20"/>
                <w:szCs w:val="20"/>
              </w:rPr>
            </w:pPr>
            <w:r w:rsidDel="00000000" w:rsidR="00000000" w:rsidRPr="00000000">
              <w:rPr>
                <w:sz w:val="20"/>
                <w:szCs w:val="20"/>
                <w:rtl w:val="0"/>
              </w:rPr>
              <w:t xml:space="preserve">EV Yatra, eHUB-MG</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5">
            <w:pPr>
              <w:rPr>
                <w:sz w:val="20"/>
                <w:szCs w:val="20"/>
              </w:rPr>
            </w:pPr>
            <w:r w:rsidDel="00000000" w:rsidR="00000000" w:rsidRPr="00000000">
              <w:rPr>
                <w:sz w:val="20"/>
                <w:szCs w:val="20"/>
                <w:rtl w:val="0"/>
              </w:rPr>
              <w:t xml:space="preserve">API / scraping</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6">
            <w:pPr>
              <w:rPr>
                <w:sz w:val="20"/>
                <w:szCs w:val="20"/>
              </w:rPr>
            </w:pPr>
            <w:r w:rsidDel="00000000" w:rsidR="00000000" w:rsidRPr="00000000">
              <w:rPr>
                <w:sz w:val="20"/>
                <w:szCs w:val="20"/>
                <w:rtl w:val="0"/>
              </w:rPr>
              <w:t xml:space="preserve">Slow AC (7 kW) count; DC fast (50 kW+) count</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7">
            <w:pPr>
              <w:rPr>
                <w:sz w:val="20"/>
                <w:szCs w:val="20"/>
              </w:rPr>
            </w:pPr>
            <w:r w:rsidDel="00000000" w:rsidR="00000000" w:rsidRPr="00000000">
              <w:rPr>
                <w:sz w:val="20"/>
                <w:szCs w:val="20"/>
                <w:rtl w:val="0"/>
              </w:rPr>
              <w:t xml:space="preserve">CI denominator — supply signal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8">
            <w:pPr>
              <w:rPr>
                <w:sz w:val="20"/>
                <w:szCs w:val="20"/>
              </w:rPr>
            </w:pPr>
            <w:r w:rsidDel="00000000" w:rsidR="00000000" w:rsidRPr="00000000">
              <w:rPr>
                <w:sz w:val="20"/>
                <w:szCs w:val="20"/>
                <w:rtl w:val="0"/>
              </w:rPr>
              <w:t xml:space="preserve">M3 — POI Grid</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9">
            <w:pPr>
              <w:rPr>
                <w:sz w:val="20"/>
                <w:szCs w:val="20"/>
              </w:rPr>
            </w:pPr>
            <w:r w:rsidDel="00000000" w:rsidR="00000000" w:rsidRPr="00000000">
              <w:rPr>
                <w:sz w:val="20"/>
                <w:szCs w:val="20"/>
                <w:rtl w:val="0"/>
              </w:rPr>
              <w:t xml:space="preserve">OpenStreetMap Overpass</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A">
            <w:pPr>
              <w:rPr>
                <w:sz w:val="20"/>
                <w:szCs w:val="20"/>
              </w:rPr>
            </w:pPr>
            <w:r w:rsidDel="00000000" w:rsidR="00000000" w:rsidRPr="00000000">
              <w:rPr>
                <w:sz w:val="20"/>
                <w:szCs w:val="20"/>
                <w:rtl w:val="0"/>
              </w:rPr>
              <w:t xml:space="preserve">Overpass API</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B">
            <w:pPr>
              <w:rPr>
                <w:sz w:val="20"/>
                <w:szCs w:val="20"/>
              </w:rPr>
            </w:pPr>
            <w:r w:rsidDel="00000000" w:rsidR="00000000" w:rsidRPr="00000000">
              <w:rPr>
                <w:sz w:val="20"/>
                <w:szCs w:val="20"/>
                <w:rtl w:val="0"/>
              </w:rPr>
              <w:t xml:space="preserve">poi_score (dwell × EV ownership likelihood)</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8C">
            <w:pPr>
              <w:rPr>
                <w:sz w:val="20"/>
                <w:szCs w:val="20"/>
              </w:rPr>
            </w:pPr>
            <w:r w:rsidDel="00000000" w:rsidR="00000000" w:rsidRPr="00000000">
              <w:rPr>
                <w:sz w:val="20"/>
                <w:szCs w:val="20"/>
                <w:rtl w:val="0"/>
              </w:rPr>
              <w:t xml:space="preserve">Commercial demand potential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D">
            <w:pPr>
              <w:rPr>
                <w:sz w:val="20"/>
                <w:szCs w:val="20"/>
              </w:rPr>
            </w:pPr>
            <w:r w:rsidDel="00000000" w:rsidR="00000000" w:rsidRPr="00000000">
              <w:rPr>
                <w:sz w:val="20"/>
                <w:szCs w:val="20"/>
                <w:rtl w:val="0"/>
              </w:rPr>
              <w:t xml:space="preserve">M4 — Footfall</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E">
            <w:pPr>
              <w:rPr>
                <w:sz w:val="20"/>
                <w:szCs w:val="20"/>
              </w:rPr>
            </w:pPr>
            <w:r w:rsidDel="00000000" w:rsidR="00000000" w:rsidRPr="00000000">
              <w:rPr>
                <w:sz w:val="20"/>
                <w:szCs w:val="20"/>
                <w:rtl w:val="0"/>
              </w:rPr>
              <w:t xml:space="preserve">Google Popular Times; Zomato</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8F">
            <w:pPr>
              <w:rPr>
                <w:sz w:val="20"/>
                <w:szCs w:val="20"/>
              </w:rPr>
            </w:pPr>
            <w:r w:rsidDel="00000000" w:rsidR="00000000" w:rsidRPr="00000000">
              <w:rPr>
                <w:sz w:val="20"/>
                <w:szCs w:val="20"/>
                <w:rtl w:val="0"/>
              </w:rPr>
              <w:t xml:space="preserve">Scraping / API</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90">
            <w:pPr>
              <w:rPr>
                <w:sz w:val="20"/>
                <w:szCs w:val="20"/>
              </w:rPr>
            </w:pPr>
            <w:r w:rsidDel="00000000" w:rsidR="00000000" w:rsidRPr="00000000">
              <w:rPr>
                <w:sz w:val="20"/>
                <w:szCs w:val="20"/>
                <w:rtl w:val="0"/>
              </w:rPr>
              <w:t xml:space="preserve">footfall_composite (0–100 peak busyness)</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91">
            <w:pPr>
              <w:rPr>
                <w:sz w:val="20"/>
                <w:szCs w:val="20"/>
              </w:rPr>
            </w:pPr>
            <w:r w:rsidDel="00000000" w:rsidR="00000000" w:rsidRPr="00000000">
              <w:rPr>
                <w:sz w:val="20"/>
                <w:szCs w:val="20"/>
                <w:rtl w:val="0"/>
              </w:rPr>
              <w:t xml:space="preserve">CDS numerator; peak demand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2">
            <w:pPr>
              <w:rPr>
                <w:sz w:val="20"/>
                <w:szCs w:val="20"/>
              </w:rPr>
            </w:pPr>
            <w:r w:rsidDel="00000000" w:rsidR="00000000" w:rsidRPr="00000000">
              <w:rPr>
                <w:sz w:val="20"/>
                <w:szCs w:val="20"/>
                <w:rtl w:val="0"/>
              </w:rPr>
              <w:t xml:space="preserve">M5 — Land &amp; Future Supply</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3">
            <w:pPr>
              <w:rPr>
                <w:sz w:val="20"/>
                <w:szCs w:val="20"/>
              </w:rPr>
            </w:pPr>
            <w:r w:rsidDel="00000000" w:rsidR="00000000" w:rsidRPr="00000000">
              <w:rPr>
                <w:sz w:val="20"/>
                <w:szCs w:val="20"/>
                <w:rtl w:val="0"/>
              </w:rPr>
              <w:t xml:space="preserve">MagicBricks; RERA Karnataka</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4">
            <w:pPr>
              <w:rPr>
                <w:sz w:val="20"/>
                <w:szCs w:val="20"/>
              </w:rPr>
            </w:pPr>
            <w:r w:rsidDel="00000000" w:rsidR="00000000" w:rsidRPr="00000000">
              <w:rPr>
                <w:sz w:val="20"/>
                <w:szCs w:val="20"/>
                <w:rtl w:val="0"/>
              </w:rPr>
              <w:t xml:space="preserve">Web scraping</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5">
            <w:pPr>
              <w:rPr>
                <w:sz w:val="20"/>
                <w:szCs w:val="20"/>
              </w:rPr>
            </w:pPr>
            <w:r w:rsidDel="00000000" w:rsidR="00000000" w:rsidRPr="00000000">
              <w:rPr>
                <w:sz w:val="20"/>
                <w:szCs w:val="20"/>
                <w:rtl w:val="0"/>
              </w:rPr>
              <w:t xml:space="preserve">Property price; upcoming construction pipeline</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6">
            <w:pPr>
              <w:rPr>
                <w:sz w:val="20"/>
                <w:szCs w:val="20"/>
              </w:rPr>
            </w:pPr>
            <w:r w:rsidDel="00000000" w:rsidR="00000000" w:rsidRPr="00000000">
              <w:rPr>
                <w:sz w:val="20"/>
                <w:szCs w:val="20"/>
                <w:rtl w:val="0"/>
              </w:rPr>
              <w:t xml:space="preserve">CAPEX risk; forward demand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97">
            <w:pPr>
              <w:rPr>
                <w:sz w:val="20"/>
                <w:szCs w:val="20"/>
              </w:rPr>
            </w:pPr>
            <w:r w:rsidDel="00000000" w:rsidR="00000000" w:rsidRPr="00000000">
              <w:rPr>
                <w:sz w:val="20"/>
                <w:szCs w:val="20"/>
                <w:rtl w:val="0"/>
              </w:rPr>
              <w:t xml:space="preserve">M6 — Compiler</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98">
            <w:pPr>
              <w:rPr>
                <w:sz w:val="20"/>
                <w:szCs w:val="20"/>
              </w:rPr>
            </w:pPr>
            <w:r w:rsidDel="00000000" w:rsidR="00000000" w:rsidRPr="00000000">
              <w:rPr>
                <w:sz w:val="20"/>
                <w:szCs w:val="20"/>
                <w:rtl w:val="0"/>
              </w:rPr>
              <w:t xml:space="preserve">GeoPandas spatial join</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99">
            <w:pPr>
              <w:rPr>
                <w:sz w:val="20"/>
                <w:szCs w:val="20"/>
              </w:rPr>
            </w:pPr>
            <w:r w:rsidDel="00000000" w:rsidR="00000000" w:rsidRPr="00000000">
              <w:rPr>
                <w:sz w:val="20"/>
                <w:szCs w:val="20"/>
                <w:rtl w:val="0"/>
              </w:rPr>
              <w:t xml:space="preserve">Python geospatial</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9A">
            <w:pPr>
              <w:rPr>
                <w:sz w:val="20"/>
                <w:szCs w:val="20"/>
              </w:rPr>
            </w:pPr>
            <w:r w:rsidDel="00000000" w:rsidR="00000000" w:rsidRPr="00000000">
              <w:rPr>
                <w:sz w:val="20"/>
                <w:szCs w:val="20"/>
                <w:rtl w:val="0"/>
              </w:rPr>
              <w:t xml:space="preserve">Unified 1 km grid — all features aligned</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9B">
            <w:pPr>
              <w:rPr>
                <w:sz w:val="20"/>
                <w:szCs w:val="20"/>
              </w:rPr>
            </w:pPr>
            <w:r w:rsidDel="00000000" w:rsidR="00000000" w:rsidRPr="00000000">
              <w:rPr>
                <w:sz w:val="20"/>
                <w:szCs w:val="20"/>
                <w:rtl w:val="0"/>
              </w:rPr>
              <w:t xml:space="preserve">Cross-source alignment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C">
            <w:pPr>
              <w:rPr>
                <w:sz w:val="20"/>
                <w:szCs w:val="20"/>
              </w:rPr>
            </w:pPr>
            <w:r w:rsidDel="00000000" w:rsidR="00000000" w:rsidRPr="00000000">
              <w:rPr>
                <w:sz w:val="20"/>
                <w:szCs w:val="20"/>
                <w:rtl w:val="0"/>
              </w:rPr>
              <w:t xml:space="preserve">M7 — Verification</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D">
            <w:pPr>
              <w:rPr>
                <w:sz w:val="20"/>
                <w:szCs w:val="20"/>
              </w:rPr>
            </w:pPr>
            <w:r w:rsidDel="00000000" w:rsidR="00000000" w:rsidRPr="00000000">
              <w:rPr>
                <w:sz w:val="20"/>
                <w:szCs w:val="20"/>
                <w:rtl w:val="0"/>
              </w:rPr>
              <w:t xml:space="preserve">Statistical tests</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E">
            <w:pPr>
              <w:rPr>
                <w:sz w:val="20"/>
                <w:szCs w:val="20"/>
              </w:rPr>
            </w:pPr>
            <w:r w:rsidDel="00000000" w:rsidR="00000000" w:rsidRPr="00000000">
              <w:rPr>
                <w:sz w:val="20"/>
                <w:szCs w:val="20"/>
                <w:rtl w:val="0"/>
              </w:rPr>
              <w:t xml:space="preserve">VIF, PCA, Moran's I</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9F">
            <w:pPr>
              <w:rPr>
                <w:sz w:val="20"/>
                <w:szCs w:val="20"/>
              </w:rPr>
            </w:pPr>
            <w:r w:rsidDel="00000000" w:rsidR="00000000" w:rsidRPr="00000000">
              <w:rPr>
                <w:sz w:val="20"/>
                <w:szCs w:val="20"/>
                <w:rtl w:val="0"/>
              </w:rPr>
              <w:t xml:space="preserve">VIF scores; PCA components; spatial correlation</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A0">
            <w:pPr>
              <w:rPr>
                <w:sz w:val="20"/>
                <w:szCs w:val="20"/>
              </w:rPr>
            </w:pPr>
            <w:r w:rsidDel="00000000" w:rsidR="00000000" w:rsidRPr="00000000">
              <w:rPr>
                <w:sz w:val="20"/>
                <w:szCs w:val="20"/>
                <w:rtl w:val="0"/>
              </w:rPr>
              <w:t xml:space="preserve">Pre-modelling quality check</w:t>
            </w:r>
          </w:p>
        </w:tc>
      </w:tr>
    </w:tbl>
    <w:p w:rsidR="00000000" w:rsidDel="00000000" w:rsidP="00000000" w:rsidRDefault="00000000" w:rsidRPr="00000000" w14:paraId="000000A1">
      <w:pPr>
        <w:spacing w:after="200" w:before="50" w:lineRule="auto"/>
        <w:jc w:val="center"/>
        <w:rPr>
          <w:i w:val="1"/>
          <w:iCs w:val="1"/>
        </w:rPr>
      </w:pPr>
      <w:r w:rsidDel="00000000" w:rsidR="00000000" w:rsidRPr="00000000">
        <w:rPr>
          <w:i w:val="1"/>
          <w:iCs w:val="1"/>
          <w:sz w:val="20"/>
          <w:szCs w:val="20"/>
          <w:rtl w:val="0"/>
        </w:rPr>
        <w:t xml:space="preserve">Table 4.1: Seven-Module Data Pipeline</w:t>
      </w:r>
      <w:r w:rsidDel="00000000" w:rsidR="00000000" w:rsidRPr="00000000">
        <w:rPr>
          <w:rtl w:val="0"/>
        </w:rPr>
      </w:r>
    </w:p>
    <w:p w:rsidR="00000000" w:rsidDel="00000000" w:rsidP="00000000" w:rsidRDefault="00000000" w:rsidRPr="00000000" w14:paraId="000000A2">
      <w:pPr>
        <w:spacing w:after="160" w:lineRule="auto"/>
        <w:jc w:val="both"/>
        <w:rPr/>
      </w:pPr>
      <w:sdt>
        <w:sdtPr>
          <w:id w:val="-496105590"/>
          <w:tag w:val="goog_rdk_2"/>
        </w:sdtPr>
        <w:sdtContent>
          <w:r w:rsidDel="00000000" w:rsidR="00000000" w:rsidRPr="00000000">
            <w:rPr>
              <w:rFonts w:ascii="Gungsuh" w:cs="Gungsuh" w:eastAsia="Gungsuh" w:hAnsi="Gungsuh"/>
              <w:rtl w:val="0"/>
            </w:rPr>
            <w:t xml:space="preserve">Key design decisions: M1 uses Selenium because Vahan has no public API. M2 weights DC fast chargers 3× slow chargers (throughput-adjusted: one 50 kW unit ≈ 3–4 vehicles per session window of a 7 kW unit). M3 scores POIs on dwell time and EV ownership likelihood (IT parks: 10/10; hotels: 9; malls: 8; restaurants: 5; pharmacies: 1). M5 dual function — MagicBricks provides current CAPEX risk; RERA Karnataka flags future demand zones 18–36 months ahead.</w:t>
          </w:r>
        </w:sdtContent>
      </w:sdt>
    </w:p>
    <w:p w:rsidR="00000000" w:rsidDel="00000000" w:rsidP="00000000" w:rsidRDefault="00000000" w:rsidRPr="00000000" w14:paraId="000000A3">
      <w:pPr>
        <w:spacing w:after="160" w:line="276" w:lineRule="auto"/>
        <w:jc w:val="both"/>
        <w:rPr>
          <w:b w:val="1"/>
          <w:bCs w:val="1"/>
          <w:color w:val="000000"/>
        </w:rPr>
      </w:pPr>
      <w:r w:rsidDel="00000000" w:rsidR="00000000" w:rsidRPr="00000000">
        <w:rPr>
          <w:b w:val="1"/>
          <w:bCs w:val="1"/>
          <w:color w:val="000000"/>
          <w:rtl w:val="0"/>
        </w:rPr>
        <w:t xml:space="preserve">Selenium (not API calls) </w:t>
      </w:r>
      <w:r w:rsidDel="00000000" w:rsidR="00000000" w:rsidRPr="00000000">
        <w:rPr>
          <w:rtl w:val="0"/>
        </w:rPr>
        <w:t xml:space="preserve">Vahan does not offer a public API. The only way to access historical RTO-level EV registration data is through the government portal, which requires browser-based navigation. Selenium automates that navigation programmatically.</w:t>
      </w:r>
      <w:r w:rsidDel="00000000" w:rsidR="00000000" w:rsidRPr="00000000">
        <w:rPr>
          <w:rtl w:val="0"/>
        </w:rPr>
      </w:r>
    </w:p>
    <w:p w:rsidR="00000000" w:rsidDel="00000000" w:rsidP="00000000" w:rsidRDefault="00000000" w:rsidRPr="00000000" w14:paraId="000000A4">
      <w:pPr>
        <w:spacing w:after="160" w:line="276" w:lineRule="auto"/>
        <w:jc w:val="both"/>
        <w:rPr/>
      </w:pPr>
      <w:r w:rsidDel="00000000" w:rsidR="00000000" w:rsidRPr="00000000">
        <w:rPr>
          <w:b w:val="1"/>
          <w:bCs w:val="1"/>
          <w:rtl w:val="0"/>
        </w:rPr>
        <w:t xml:space="preserve">DBSCAN (not K-Means)</w:t>
      </w:r>
      <w:r w:rsidDel="00000000" w:rsidR="00000000" w:rsidRPr="00000000">
        <w:rPr>
          <w:rtl w:val="0"/>
        </w:rPr>
        <w:t xml:space="preserve"> K-Means requires pre-specifying cluster count and produces circular clusters. Real urban demand zones are irregular. DBSCAN finds any shape and isolates outliers — the outlier detection is the mechanism that identifies charging deserts for CaaS routing. </w:t>
      </w:r>
    </w:p>
    <w:p w:rsidR="00000000" w:rsidDel="00000000" w:rsidP="00000000" w:rsidRDefault="00000000" w:rsidRPr="00000000" w14:paraId="000000A5">
      <w:pPr>
        <w:spacing w:after="160" w:line="276" w:lineRule="auto"/>
        <w:jc w:val="both"/>
        <w:rPr/>
      </w:pPr>
      <w:r w:rsidDel="00000000" w:rsidR="00000000" w:rsidRPr="00000000">
        <w:rPr>
          <w:b w:val="1"/>
          <w:bCs w:val="1"/>
          <w:rtl w:val="0"/>
        </w:rPr>
        <w:t xml:space="preserve">Prophet (not ARIMA or LSTM)</w:t>
      </w:r>
      <w:r w:rsidDel="00000000" w:rsidR="00000000" w:rsidRPr="00000000">
        <w:rPr>
          <w:rtl w:val="0"/>
        </w:rPr>
        <w:t xml:space="preserve"> ARIMA doesn't handle policy changepoints gracefully. LSTM requires far more training data than 5 years of monthly registrations can provide. Prophet is specifically designed for business time series with known event dates — exactly our situation with FAME-II and PM E-DRIVE. </w:t>
      </w:r>
    </w:p>
    <w:p w:rsidR="00000000" w:rsidDel="00000000" w:rsidP="00000000" w:rsidRDefault="00000000" w:rsidRPr="00000000" w14:paraId="000000A6">
      <w:pPr>
        <w:spacing w:after="160" w:line="276" w:lineRule="auto"/>
        <w:jc w:val="both"/>
        <w:rPr/>
      </w:pPr>
      <w:r w:rsidDel="00000000" w:rsidR="00000000" w:rsidRPr="00000000">
        <w:rPr>
          <w:b w:val="1"/>
          <w:bCs w:val="1"/>
          <w:rtl w:val="0"/>
        </w:rPr>
        <w:t xml:space="preserve">XGBoost (not Random Forest)</w:t>
      </w:r>
      <w:r w:rsidDel="00000000" w:rsidR="00000000" w:rsidRPr="00000000">
        <w:rPr>
          <w:rtl w:val="0"/>
        </w:rPr>
        <w:t xml:space="preserve"> XGBoost handles multicollinearity more robustly, produces interpretable feature importance scores, and is computationally faster for the 40-zone pilot with potential to scale to 500+ zones across multiple cities. The original proposal used Random Forest — XGBoost was the upgrade based on dataset characteristics. </w:t>
      </w:r>
    </w:p>
    <w:p w:rsidR="00000000" w:rsidDel="00000000" w:rsidP="00000000" w:rsidRDefault="00000000" w:rsidRPr="00000000" w14:paraId="000000A7">
      <w:pPr>
        <w:spacing w:after="160" w:line="276" w:lineRule="auto"/>
        <w:jc w:val="both"/>
        <w:rPr/>
      </w:pPr>
      <w:r w:rsidDel="00000000" w:rsidR="00000000" w:rsidRPr="00000000">
        <w:rPr>
          <w:b w:val="1"/>
          <w:bCs w:val="1"/>
          <w:rtl w:val="0"/>
        </w:rPr>
        <w:t xml:space="preserve">GeoPandas (not manual joins or SQL)</w:t>
      </w:r>
      <w:r w:rsidDel="00000000" w:rsidR="00000000" w:rsidRPr="00000000">
        <w:rPr>
          <w:rtl w:val="0"/>
        </w:rPr>
        <w:t xml:space="preserve"> Industry-standard Python library for geospatial operations. Spatial joins, coordinate system transformations, and 1km grid generation are all native operations with no alternative handling the multi-source geographic alignment problem as cleanly.</w:t>
      </w:r>
    </w:p>
    <w:p w:rsidR="00000000" w:rsidDel="00000000" w:rsidP="00000000" w:rsidRDefault="00000000" w:rsidRPr="00000000" w14:paraId="000000A8">
      <w:pPr>
        <w:spacing w:after="160" w:line="276" w:lineRule="auto"/>
        <w:jc w:val="both"/>
        <w:rPr/>
      </w:pPr>
      <w:r w:rsidDel="00000000" w:rsidR="00000000" w:rsidRPr="00000000">
        <w:rPr>
          <w:rtl w:val="0"/>
        </w:rPr>
        <w:t xml:space="preserve"> </w:t>
      </w:r>
      <w:r w:rsidDel="00000000" w:rsidR="00000000" w:rsidRPr="00000000">
        <w:rPr>
          <w:b w:val="1"/>
          <w:bCs w:val="1"/>
          <w:rtl w:val="0"/>
        </w:rPr>
        <w:t xml:space="preserve">Two formulas CI and CDS (not one combined formula)</w:t>
      </w:r>
      <w:r w:rsidDel="00000000" w:rsidR="00000000" w:rsidRPr="00000000">
        <w:rPr>
          <w:rtl w:val="0"/>
        </w:rPr>
        <w:t xml:space="preserve"> CAPEX and OPEX decisions have fundamentally different time horizons, commitment sizes, and optimization targets. A single formula trying to serve both would be a compromise serving neither well. Keeping them separate allows independent tuning as real data replaces proxy estimates. </w:t>
      </w:r>
    </w:p>
    <w:p w:rsidR="00000000" w:rsidDel="00000000" w:rsidP="00000000" w:rsidRDefault="00000000" w:rsidRPr="00000000" w14:paraId="000000A9">
      <w:pPr>
        <w:spacing w:after="120" w:before="240" w:lineRule="auto"/>
        <w:rPr>
          <w:b w:val="1"/>
          <w:bCs w:val="1"/>
          <w:color w:val="000000"/>
        </w:rPr>
      </w:pPr>
      <w:r w:rsidDel="00000000" w:rsidR="00000000" w:rsidRPr="00000000">
        <w:rPr>
          <w:b w:val="1"/>
          <w:bCs w:val="1"/>
          <w:rtl w:val="0"/>
        </w:rPr>
        <w:t xml:space="preserve">MagicBricks + RERA (not just property listings)</w:t>
      </w:r>
      <w:r w:rsidDel="00000000" w:rsidR="00000000" w:rsidRPr="00000000">
        <w:rPr>
          <w:rtl w:val="0"/>
        </w:rPr>
        <w:t xml:space="preserve"> MagicBricks provides current land cost estimation. RERA Karnataka adds pipeline construction projects — registered upcoming developments — which signal where EV demand will emerge 18-36 months ahead. Together they provide both current cost and future demand emergence signals.</w:t>
        <w:br w:type="textWrapping"/>
        <w:br w:type="textWrapping"/>
      </w:r>
      <w:r w:rsidDel="00000000" w:rsidR="00000000" w:rsidRPr="00000000">
        <w:rPr>
          <w:b w:val="1"/>
          <w:bCs w:val="1"/>
          <w:color w:val="000000"/>
          <w:rtl w:val="0"/>
        </w:rPr>
        <w:t xml:space="preserve">Dataset Summary Statistics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280"/>
        <w:gridCol w:w="3480"/>
        <w:tblGridChange w:id="0">
          <w:tblGrid>
            <w:gridCol w:w="3600"/>
            <w:gridCol w:w="2280"/>
            <w:gridCol w:w="3480"/>
          </w:tblGrid>
        </w:tblGridChange>
      </w:tblGrid>
      <w:tr>
        <w:trPr>
          <w:cantSplit w:val="0"/>
          <w:trHeight w:val="283" w:hRule="atLeast"/>
          <w:tblHeader w:val="1"/>
        </w:trPr>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color w:val="000000"/>
              </w:rPr>
            </w:pPr>
            <w:r w:rsidDel="00000000" w:rsidR="00000000" w:rsidRPr="00000000">
              <w:rPr>
                <w:color w:val="000000"/>
                <w:sz w:val="20"/>
                <w:szCs w:val="20"/>
                <w:rtl w:val="0"/>
              </w:rPr>
              <w:t xml:space="preserve">Total micro-zones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color w:val="000000"/>
              </w:rPr>
            </w:pPr>
            <w:r w:rsidDel="00000000" w:rsidR="00000000" w:rsidRPr="00000000">
              <w:rPr>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center"/>
              <w:rPr>
                <w:color w:val="000000"/>
              </w:rPr>
            </w:pPr>
            <w:r w:rsidDel="00000000" w:rsidR="00000000" w:rsidRPr="00000000">
              <w:rPr>
                <w:color w:val="000000"/>
                <w:sz w:val="20"/>
                <w:szCs w:val="20"/>
                <w:rtl w:val="0"/>
              </w:rPr>
              <w:t xml:space="preserve">DBSCAN on 500m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0">
            <w:pPr>
              <w:rPr>
                <w:color w:val="000000"/>
              </w:rPr>
            </w:pPr>
            <w:r w:rsidDel="00000000" w:rsidR="00000000" w:rsidRPr="00000000">
              <w:rPr>
                <w:color w:val="000000"/>
                <w:sz w:val="20"/>
                <w:szCs w:val="20"/>
                <w:rtl w:val="0"/>
              </w:rPr>
              <w:t xml:space="preserve">Total EV registrations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1">
            <w:pPr>
              <w:jc w:val="center"/>
              <w:rPr>
                <w:color w:val="000000"/>
              </w:rPr>
            </w:pPr>
            <w:r w:rsidDel="00000000" w:rsidR="00000000" w:rsidRPr="00000000">
              <w:rPr>
                <w:color w:val="000000"/>
                <w:sz w:val="20"/>
                <w:szCs w:val="20"/>
                <w:rtl w:val="0"/>
              </w:rPr>
              <w:t xml:space="preserve">88,943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2">
            <w:pPr>
              <w:jc w:val="center"/>
              <w:rPr>
                <w:color w:val="000000"/>
              </w:rPr>
            </w:pPr>
            <w:r w:rsidDel="00000000" w:rsidR="00000000" w:rsidRPr="00000000">
              <w:rPr>
                <w:color w:val="000000"/>
                <w:sz w:val="20"/>
                <w:szCs w:val="20"/>
                <w:rtl w:val="0"/>
              </w:rPr>
              <w:t xml:space="preserve">Vahan RTO — Bengaluru 7 RTOs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color w:val="000000"/>
              </w:rPr>
            </w:pPr>
            <w:sdt>
              <w:sdtPr>
                <w:id w:val="1720315208"/>
                <w:tag w:val="goog_rdk_3"/>
              </w:sdtPr>
              <w:sdtContent>
                <w:r w:rsidDel="00000000" w:rsidR="00000000" w:rsidRPr="00000000">
                  <w:rPr>
                    <w:rFonts w:ascii="Cardo" w:cs="Cardo" w:eastAsia="Cardo" w:hAnsi="Cardo"/>
                    <w:color w:val="000000"/>
                    <w:sz w:val="20"/>
                    <w:szCs w:val="20"/>
                    <w:rtl w:val="0"/>
                  </w:rPr>
                  <w:t xml:space="preserve">YoY EV growth rate (2024→2025)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color w:val="000000"/>
              </w:rPr>
            </w:pPr>
            <w:r w:rsidDel="00000000" w:rsidR="00000000" w:rsidRPr="00000000">
              <w:rPr>
                <w:color w:val="000000"/>
                <w:sz w:val="20"/>
                <w:szCs w:val="20"/>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color w:val="000000"/>
              </w:rPr>
            </w:pPr>
            <w:r w:rsidDel="00000000" w:rsidR="00000000" w:rsidRPr="00000000">
              <w:rPr>
                <w:color w:val="000000"/>
                <w:sz w:val="20"/>
                <w:szCs w:val="20"/>
                <w:rtl w:val="0"/>
              </w:rPr>
              <w:t xml:space="preserve">Vahan RTO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6">
            <w:pPr>
              <w:rPr>
                <w:color w:val="000000"/>
              </w:rPr>
            </w:pPr>
            <w:r w:rsidDel="00000000" w:rsidR="00000000" w:rsidRPr="00000000">
              <w:rPr>
                <w:color w:val="000000"/>
                <w:sz w:val="20"/>
                <w:szCs w:val="20"/>
                <w:rtl w:val="0"/>
              </w:rPr>
              <w:t xml:space="preserve">Total chargers mapped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7">
            <w:pPr>
              <w:jc w:val="center"/>
              <w:rPr>
                <w:color w:val="000000"/>
              </w:rPr>
            </w:pPr>
            <w:r w:rsidDel="00000000" w:rsidR="00000000" w:rsidRPr="00000000">
              <w:rPr>
                <w:color w:val="000000"/>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8">
            <w:pPr>
              <w:jc w:val="center"/>
              <w:rPr>
                <w:color w:val="000000"/>
              </w:rPr>
            </w:pPr>
            <w:r w:rsidDel="00000000" w:rsidR="00000000" w:rsidRPr="00000000">
              <w:rPr>
                <w:color w:val="000000"/>
                <w:sz w:val="20"/>
                <w:szCs w:val="20"/>
                <w:rtl w:val="0"/>
              </w:rPr>
              <w:t xml:space="preserve">OSM Overpass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color w:val="000000"/>
              </w:rPr>
            </w:pPr>
            <w:r w:rsidDel="00000000" w:rsidR="00000000" w:rsidRPr="00000000">
              <w:rPr>
                <w:color w:val="000000"/>
                <w:sz w:val="20"/>
                <w:szCs w:val="20"/>
                <w:rtl w:val="0"/>
              </w:rPr>
              <w:t xml:space="preserve">DC fast chargers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color w:val="000000"/>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color w:val="000000"/>
              </w:rPr>
            </w:pPr>
            <w:r w:rsidDel="00000000" w:rsidR="00000000" w:rsidRPr="00000000">
              <w:rPr>
                <w:color w:val="000000"/>
                <w:sz w:val="20"/>
                <w:szCs w:val="20"/>
                <w:rtl w:val="0"/>
              </w:rPr>
              <w:t xml:space="preserve">Keyword + operator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C">
            <w:pPr>
              <w:rPr>
                <w:color w:val="000000"/>
              </w:rPr>
            </w:pPr>
            <w:r w:rsidDel="00000000" w:rsidR="00000000" w:rsidRPr="00000000">
              <w:rPr>
                <w:color w:val="000000"/>
                <w:sz w:val="20"/>
                <w:szCs w:val="20"/>
                <w:rtl w:val="0"/>
              </w:rPr>
              <w:t xml:space="preserve">AC slow chargers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D">
            <w:pPr>
              <w:jc w:val="center"/>
              <w:rPr>
                <w:color w:val="000000"/>
              </w:rPr>
            </w:pPr>
            <w:r w:rsidDel="00000000" w:rsidR="00000000" w:rsidRPr="00000000">
              <w:rPr>
                <w:color w:val="000000"/>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E">
            <w:pPr>
              <w:jc w:val="center"/>
              <w:rPr>
                <w:color w:val="000000"/>
              </w:rPr>
            </w:pPr>
            <w:r w:rsidDel="00000000" w:rsidR="00000000" w:rsidRPr="00000000">
              <w:rPr>
                <w:color w:val="000000"/>
                <w:sz w:val="20"/>
                <w:szCs w:val="20"/>
                <w:rtl w:val="0"/>
              </w:rPr>
              <w:t xml:space="preserve">Residual after DC reclassification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color w:val="000000"/>
              </w:rPr>
            </w:pPr>
            <w:r w:rsidDel="00000000" w:rsidR="00000000" w:rsidRPr="00000000">
              <w:rPr>
                <w:color w:val="000000"/>
                <w:sz w:val="20"/>
                <w:szCs w:val="20"/>
                <w:rtl w:val="0"/>
              </w:rPr>
              <w:t xml:space="preserve">POIs collected (weighted)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color w:val="000000"/>
              </w:rPr>
            </w:pPr>
            <w:r w:rsidDel="00000000" w:rsidR="00000000" w:rsidRPr="00000000">
              <w:rPr>
                <w:color w:val="000000"/>
                <w:sz w:val="20"/>
                <w:szCs w:val="20"/>
                <w:rtl w:val="0"/>
              </w:rPr>
              <w:t xml:space="preserve">3,124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color w:val="000000"/>
              </w:rPr>
            </w:pPr>
            <w:r w:rsidDel="00000000" w:rsidR="00000000" w:rsidRPr="00000000">
              <w:rPr>
                <w:color w:val="000000"/>
                <w:sz w:val="20"/>
                <w:szCs w:val="20"/>
                <w:rtl w:val="0"/>
              </w:rPr>
              <w:t xml:space="preserve">OSM — 6 POI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2">
            <w:pPr>
              <w:rPr>
                <w:color w:val="000000"/>
              </w:rPr>
            </w:pPr>
            <w:r w:rsidDel="00000000" w:rsidR="00000000" w:rsidRPr="00000000">
              <w:rPr>
                <w:color w:val="000000"/>
                <w:sz w:val="20"/>
                <w:szCs w:val="20"/>
                <w:rtl w:val="0"/>
              </w:rPr>
              <w:t xml:space="preserve">Restaurant footfall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3">
            <w:pPr>
              <w:jc w:val="center"/>
              <w:rPr>
                <w:color w:val="000000"/>
              </w:rPr>
            </w:pPr>
            <w:r w:rsidDel="00000000" w:rsidR="00000000" w:rsidRPr="00000000">
              <w:rPr>
                <w:color w:val="000000"/>
                <w:sz w:val="20"/>
                <w:szCs w:val="20"/>
                <w:rtl w:val="0"/>
              </w:rPr>
              <w:t xml:space="preserve">6,076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4">
            <w:pPr>
              <w:jc w:val="center"/>
              <w:rPr>
                <w:color w:val="000000"/>
              </w:rPr>
            </w:pPr>
            <w:r w:rsidDel="00000000" w:rsidR="00000000" w:rsidRPr="00000000">
              <w:rPr>
                <w:color w:val="000000"/>
                <w:sz w:val="20"/>
                <w:szCs w:val="20"/>
                <w:rtl w:val="0"/>
              </w:rPr>
              <w:t xml:space="preserve">OSM amenity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color w:val="000000"/>
              </w:rPr>
            </w:pPr>
            <w:r w:rsidDel="00000000" w:rsidR="00000000" w:rsidRPr="00000000">
              <w:rPr>
                <w:color w:val="000000"/>
                <w:sz w:val="20"/>
                <w:szCs w:val="20"/>
                <w:rtl w:val="0"/>
              </w:rPr>
              <w:t xml:space="preserve">Planned stations (6mo 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center"/>
              <w:rPr>
                <w:color w:val="000000"/>
              </w:rPr>
            </w:pPr>
            <w:r w:rsidDel="00000000" w:rsidR="00000000" w:rsidRPr="00000000">
              <w:rPr>
                <w:color w:val="000000"/>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center"/>
              <w:rPr>
                <w:color w:val="000000"/>
              </w:rPr>
            </w:pPr>
            <w:r w:rsidDel="00000000" w:rsidR="00000000" w:rsidRPr="00000000">
              <w:rPr>
                <w:color w:val="000000"/>
                <w:sz w:val="20"/>
                <w:szCs w:val="20"/>
                <w:rtl w:val="0"/>
              </w:rPr>
              <w:t xml:space="preserve">PM E-DRIVE portal — BHEL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8">
            <w:pPr>
              <w:rPr>
                <w:color w:val="000000"/>
              </w:rPr>
            </w:pPr>
            <w:r w:rsidDel="00000000" w:rsidR="00000000" w:rsidRPr="00000000">
              <w:rPr>
                <w:color w:val="000000"/>
                <w:sz w:val="20"/>
                <w:szCs w:val="20"/>
                <w:rtl w:val="0"/>
              </w:rPr>
              <w:t xml:space="preserve">Zones flagged as fast deserts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9">
            <w:pPr>
              <w:jc w:val="center"/>
              <w:rPr>
                <w:color w:val="000000"/>
              </w:rPr>
            </w:pPr>
            <w:r w:rsidDel="00000000" w:rsidR="00000000" w:rsidRPr="00000000">
              <w:rPr>
                <w:color w:val="000000"/>
                <w:sz w:val="20"/>
                <w:szCs w:val="20"/>
                <w:rtl w:val="0"/>
              </w:rPr>
              <w:t xml:space="preserve">15 of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A">
            <w:pPr>
              <w:jc w:val="center"/>
              <w:rPr>
                <w:color w:val="000000"/>
              </w:rPr>
            </w:pPr>
            <w:r w:rsidDel="00000000" w:rsidR="00000000" w:rsidRPr="00000000">
              <w:rPr>
                <w:color w:val="000000"/>
                <w:sz w:val="20"/>
                <w:szCs w:val="20"/>
                <w:rtl w:val="0"/>
              </w:rPr>
              <w:t xml:space="preserve">CI &gt; 2.5 AND fast_charger_count = 0</w:t>
            </w:r>
            <w:r w:rsidDel="00000000" w:rsidR="00000000" w:rsidRPr="00000000">
              <w:rPr>
                <w:rtl w:val="0"/>
              </w:rPr>
            </w:r>
          </w:p>
        </w:tc>
      </w:tr>
    </w:tbl>
    <w:p w:rsidR="00000000" w:rsidDel="00000000" w:rsidP="00000000" w:rsidRDefault="00000000" w:rsidRPr="00000000" w14:paraId="000000CB">
      <w:pPr>
        <w:spacing w:after="160" w:line="276" w:lineRule="auto"/>
        <w:jc w:val="both"/>
        <w:rPr>
          <w:sz w:val="28"/>
          <w:szCs w:val="28"/>
        </w:rPr>
      </w:pPr>
      <w:r w:rsidDel="00000000" w:rsidR="00000000" w:rsidRPr="00000000">
        <w:rPr>
          <w:rtl w:val="0"/>
        </w:rPr>
      </w:r>
    </w:p>
    <w:p w:rsidR="00000000" w:rsidDel="00000000" w:rsidP="00000000" w:rsidRDefault="00000000" w:rsidRPr="00000000" w14:paraId="000000CC">
      <w:pPr>
        <w:pStyle w:val="Heading2"/>
        <w:rPr>
          <w:color w:val="000000"/>
          <w:sz w:val="28"/>
          <w:szCs w:val="28"/>
        </w:rPr>
      </w:pPr>
      <w:r w:rsidDel="00000000" w:rsidR="00000000" w:rsidRPr="00000000">
        <w:rPr>
          <w:b w:val="1"/>
          <w:bCs w:val="1"/>
          <w:color w:val="000000"/>
          <w:sz w:val="28"/>
          <w:szCs w:val="28"/>
          <w:rtl w:val="0"/>
        </w:rPr>
        <w:t xml:space="preserve">4.2 Statistical Verification </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tbl>
      <w:tblPr>
        <w:tblStyle w:val="Table4"/>
        <w:tblW w:w="8505.0" w:type="dxa"/>
        <w:jc w:val="left"/>
        <w:tblInd w:w="5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604"/>
        <w:gridCol w:w="3633"/>
        <w:tblGridChange w:id="0">
          <w:tblGrid>
            <w:gridCol w:w="2268"/>
            <w:gridCol w:w="2604"/>
            <w:gridCol w:w="3633"/>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19"/>
                <w:szCs w:val="19"/>
                <w:rtl w:val="0"/>
              </w:rPr>
              <w:t xml:space="preserve">Test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19"/>
                <w:szCs w:val="19"/>
                <w:rtl w:val="0"/>
              </w:rPr>
              <w:t xml:space="preserve">Finding &amp;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D1">
            <w:pPr>
              <w:rPr>
                <w:sz w:val="20"/>
                <w:szCs w:val="20"/>
              </w:rPr>
            </w:pPr>
            <w:r w:rsidDel="00000000" w:rsidR="00000000" w:rsidRPr="00000000">
              <w:rPr>
                <w:sz w:val="20"/>
                <w:szCs w:val="20"/>
                <w:rtl w:val="0"/>
              </w:rPr>
              <w:t xml:space="preserve">VIF Analysis</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D2">
            <w:pPr>
              <w:rPr>
                <w:sz w:val="20"/>
                <w:szCs w:val="20"/>
              </w:rPr>
            </w:pPr>
            <w:r w:rsidDel="00000000" w:rsidR="00000000" w:rsidRPr="00000000">
              <w:rPr>
                <w:sz w:val="20"/>
                <w:szCs w:val="20"/>
                <w:rtl w:val="0"/>
              </w:rPr>
              <w:t xml:space="preserve">Detect multicollinearity</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D3">
            <w:pPr>
              <w:rPr>
                <w:sz w:val="20"/>
                <w:szCs w:val="20"/>
              </w:rPr>
            </w:pPr>
            <w:sdt>
              <w:sdtPr>
                <w:id w:val="28967684"/>
                <w:tag w:val="goog_rdk_4"/>
              </w:sdtPr>
              <w:sdtContent>
                <w:r w:rsidDel="00000000" w:rsidR="00000000" w:rsidRPr="00000000">
                  <w:rPr>
                    <w:rFonts w:ascii="Cardo" w:cs="Cardo" w:eastAsia="Cardo" w:hAnsi="Cardo"/>
                    <w:sz w:val="20"/>
                    <w:szCs w:val="20"/>
                    <w:rtl w:val="0"/>
                  </w:rPr>
                  <w:t xml:space="preserve">footfall (36.1), ev_growth (31.3), poi_score (14.4) flagged → compress via PCA</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D4">
            <w:pPr>
              <w:rPr>
                <w:sz w:val="20"/>
                <w:szCs w:val="20"/>
              </w:rPr>
            </w:pPr>
            <w:r w:rsidDel="00000000" w:rsidR="00000000" w:rsidRPr="00000000">
              <w:rPr>
                <w:sz w:val="20"/>
                <w:szCs w:val="20"/>
                <w:rtl w:val="0"/>
              </w:rPr>
              <w:t xml:space="preserve">PCA</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D5">
            <w:pPr>
              <w:rPr>
                <w:sz w:val="20"/>
                <w:szCs w:val="20"/>
              </w:rPr>
            </w:pPr>
            <w:r w:rsidDel="00000000" w:rsidR="00000000" w:rsidRPr="00000000">
              <w:rPr>
                <w:sz w:val="20"/>
                <w:szCs w:val="20"/>
                <w:rtl w:val="0"/>
              </w:rPr>
              <w:t xml:space="preserve">Remove redundancy</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0D6">
            <w:pPr>
              <w:rPr>
                <w:sz w:val="20"/>
                <w:szCs w:val="20"/>
              </w:rPr>
            </w:pPr>
            <w:sdt>
              <w:sdtPr>
                <w:id w:val="-1042319615"/>
                <w:tag w:val="goog_rdk_5"/>
              </w:sdtPr>
              <w:sdtContent>
                <w:r w:rsidDel="00000000" w:rsidR="00000000" w:rsidRPr="00000000">
                  <w:rPr>
                    <w:rFonts w:ascii="Cardo" w:cs="Cardo" w:eastAsia="Cardo" w:hAnsi="Cardo"/>
                    <w:sz w:val="20"/>
                    <w:szCs w:val="20"/>
                    <w:rtl w:val="0"/>
                  </w:rPr>
                  <w:t xml:space="preserve">Three high-VIF vars → one 'commercial activity' component fed to XGBoost</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D7">
            <w:pPr>
              <w:rPr>
                <w:sz w:val="20"/>
                <w:szCs w:val="20"/>
              </w:rPr>
            </w:pPr>
            <w:r w:rsidDel="00000000" w:rsidR="00000000" w:rsidRPr="00000000">
              <w:rPr>
                <w:sz w:val="20"/>
                <w:szCs w:val="20"/>
                <w:rtl w:val="0"/>
              </w:rPr>
              <w:t xml:space="preserve">Moran's I</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D8">
            <w:pPr>
              <w:rPr>
                <w:sz w:val="20"/>
                <w:szCs w:val="20"/>
              </w:rPr>
            </w:pPr>
            <w:r w:rsidDel="00000000" w:rsidR="00000000" w:rsidRPr="00000000">
              <w:rPr>
                <w:sz w:val="20"/>
                <w:szCs w:val="20"/>
                <w:rtl w:val="0"/>
              </w:rPr>
              <w:t xml:space="preserve">Validate spatial structure</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0D9">
            <w:pPr>
              <w:rPr>
                <w:sz w:val="20"/>
                <w:szCs w:val="20"/>
              </w:rPr>
            </w:pPr>
            <w:sdt>
              <w:sdtPr>
                <w:id w:val="-600626352"/>
                <w:tag w:val="goog_rdk_6"/>
              </w:sdtPr>
              <w:sdtContent>
                <w:r w:rsidDel="00000000" w:rsidR="00000000" w:rsidRPr="00000000">
                  <w:rPr>
                    <w:rFonts w:ascii="Cardo" w:cs="Cardo" w:eastAsia="Cardo" w:hAnsi="Cardo"/>
                    <w:sz w:val="20"/>
                    <w:szCs w:val="20"/>
                    <w:rtl w:val="0"/>
                  </w:rPr>
                  <w:t xml:space="preserve">Significant positive result → demand is spatially clustered; 1 km grid appropriate</w:t>
                </w:r>
              </w:sdtContent>
            </w:sdt>
          </w:p>
        </w:tc>
      </w:tr>
    </w:tbl>
    <w:p w:rsidR="00000000" w:rsidDel="00000000" w:rsidP="00000000" w:rsidRDefault="00000000" w:rsidRPr="00000000" w14:paraId="000000DA">
      <w:pPr>
        <w:spacing w:after="200" w:before="50" w:lineRule="auto"/>
        <w:jc w:val="center"/>
        <w:rPr>
          <w:i w:val="1"/>
          <w:iCs w:val="1"/>
        </w:rPr>
      </w:pPr>
      <w:r w:rsidDel="00000000" w:rsidR="00000000" w:rsidRPr="00000000">
        <w:rPr>
          <w:i w:val="1"/>
          <w:iCs w:val="1"/>
          <w:sz w:val="20"/>
          <w:szCs w:val="20"/>
          <w:rtl w:val="0"/>
        </w:rPr>
        <w:t xml:space="preserve">Table 4.2: Pre-Modelling Statistical Verification</w:t>
      </w:r>
      <w:r w:rsidDel="00000000" w:rsidR="00000000" w:rsidRPr="00000000">
        <w:rPr>
          <w:rtl w:val="0"/>
        </w:rPr>
      </w:r>
    </w:p>
    <w:p w:rsidR="00000000" w:rsidDel="00000000" w:rsidP="00000000" w:rsidRDefault="00000000" w:rsidRPr="00000000" w14:paraId="000000DB">
      <w:pPr>
        <w:pStyle w:val="Heading1"/>
        <w:spacing w:line="276" w:lineRule="auto"/>
        <w:rPr>
          <w:color w:val="000000"/>
          <w:sz w:val="28"/>
          <w:szCs w:val="28"/>
        </w:rPr>
      </w:pPr>
      <w:r w:rsidDel="00000000" w:rsidR="00000000" w:rsidRPr="00000000">
        <w:rPr>
          <w:color w:val="000000"/>
          <w:sz w:val="28"/>
          <w:szCs w:val="28"/>
          <w:rtl w:val="0"/>
        </w:rPr>
        <w:t xml:space="preserve">4.3 Phase 1 — DBSCAN Clustering</w:t>
      </w:r>
    </w:p>
    <w:p w:rsidR="00000000" w:rsidDel="00000000" w:rsidP="00000000" w:rsidRDefault="00000000" w:rsidRPr="00000000" w14:paraId="000000DC">
      <w:pPr>
        <w:spacing w:after="160" w:line="276" w:lineRule="auto"/>
        <w:jc w:val="both"/>
        <w:rPr/>
      </w:pPr>
      <w:sdt>
        <w:sdtPr>
          <w:id w:val="2076414199"/>
          <w:tag w:val="goog_rdk_7"/>
        </w:sdtPr>
        <w:sdtContent>
          <w:r w:rsidDel="00000000" w:rsidR="00000000" w:rsidRPr="00000000">
            <w:rPr>
              <w:rFonts w:ascii="Gungsuh" w:cs="Gungsuh" w:eastAsia="Gungsuh" w:hAnsi="Gungsuh"/>
              <w:rtl w:val="0"/>
            </w:rPr>
            <w:t xml:space="preserve">DBSCAN discovers clusters of any shape without a pre-specified count (Ester et al., 1996). K-Means was rejected: it forces circular boundaries and requires pre-defined k — both unsuitable for Bengaluru's elongated IT corridor and arterial road demand geometry. Key innovation: DBSCAN noise points (label = −1) are elevated to CaaS priority tier rather than discarded. Isolated demand + zero local competition = maximum first-mover opportunity for Teslavolts; the Fast_Desert_Flag in the CDS formula operationalises this.</w:t>
          </w:r>
        </w:sdtContent>
      </w:sdt>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4560"/>
        <w:tblGridChange w:id="0">
          <w:tblGrid>
            <w:gridCol w:w="2400"/>
            <w:gridCol w:w="2400"/>
            <w:gridCol w:w="4560"/>
          </w:tblGrid>
        </w:tblGridChange>
      </w:tblGrid>
      <w:tr>
        <w:trPr>
          <w:cantSplit w:val="0"/>
          <w:trHeight w:val="283" w:hRule="atLeast"/>
          <w:tblHeader w:val="1"/>
        </w:trPr>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20"/>
                <w:szCs w:val="20"/>
                <w:rtl w:val="0"/>
              </w:rPr>
              <w:t xml:space="preserve">DBSCAN Parameter</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rHeight w:val="283"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color w:val="000000"/>
                <w:sz w:val="20"/>
                <w:szCs w:val="20"/>
              </w:rPr>
            </w:pPr>
            <w:r w:rsidDel="00000000" w:rsidR="00000000" w:rsidRPr="00000000">
              <w:rPr>
                <w:color w:val="000000"/>
                <w:sz w:val="20"/>
                <w:szCs w:val="20"/>
                <w:rtl w:val="0"/>
              </w:rPr>
              <w:t xml:space="preserve">Epsilon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color w:val="000000"/>
                <w:sz w:val="20"/>
                <w:szCs w:val="20"/>
              </w:rPr>
            </w:pPr>
            <w:sdt>
              <w:sdtPr>
                <w:id w:val="1023947673"/>
                <w:tag w:val="goog_rdk_8"/>
              </w:sdtPr>
              <w:sdtContent>
                <w:r w:rsidDel="00000000" w:rsidR="00000000" w:rsidRPr="00000000">
                  <w:rPr>
                    <w:rFonts w:ascii="Gungsuh" w:cs="Gungsuh" w:eastAsia="Gungsuh" w:hAnsi="Gungsuh"/>
                    <w:color w:val="000000"/>
                    <w:sz w:val="20"/>
                    <w:szCs w:val="20"/>
                    <w:rtl w:val="0"/>
                  </w:rPr>
                  <w:t xml:space="preserve">0.009 degrees ≈ 1 km</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color w:val="000000"/>
                <w:sz w:val="20"/>
                <w:szCs w:val="20"/>
              </w:rPr>
            </w:pPr>
            <w:r w:rsidDel="00000000" w:rsidR="00000000" w:rsidRPr="00000000">
              <w:rPr>
                <w:color w:val="000000"/>
                <w:sz w:val="20"/>
                <w:szCs w:val="20"/>
                <w:rtl w:val="0"/>
              </w:rPr>
              <w:t xml:space="preserve">Ministry of Power: 1 charger per 3km urban; 1km is sub-zone granularity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3">
            <w:pPr>
              <w:rPr>
                <w:color w:val="000000"/>
                <w:sz w:val="20"/>
                <w:szCs w:val="20"/>
              </w:rPr>
            </w:pPr>
            <w:r w:rsidDel="00000000" w:rsidR="00000000" w:rsidRPr="00000000">
              <w:rPr>
                <w:color w:val="000000"/>
                <w:sz w:val="20"/>
                <w:szCs w:val="20"/>
                <w:rtl w:val="0"/>
              </w:rPr>
              <w:t xml:space="preserve">Min_samples</w:t>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4">
            <w:pPr>
              <w:rPr>
                <w:color w:val="000000"/>
                <w:sz w:val="20"/>
                <w:szCs w:val="20"/>
              </w:rPr>
            </w:pPr>
            <w:r w:rsidDel="00000000" w:rsidR="00000000" w:rsidRPr="00000000">
              <w:rPr>
                <w:color w:val="000000"/>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5">
            <w:pPr>
              <w:rPr>
                <w:color w:val="000000"/>
                <w:sz w:val="20"/>
                <w:szCs w:val="20"/>
              </w:rPr>
            </w:pPr>
            <w:r w:rsidDel="00000000" w:rsidR="00000000" w:rsidRPr="00000000">
              <w:rPr>
                <w:color w:val="000000"/>
                <w:sz w:val="20"/>
                <w:szCs w:val="20"/>
                <w:rtl w:val="0"/>
              </w:rPr>
              <w:t xml:space="preserve">Tuned to Bengaluru's POI density across 34×33 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color w:val="000000"/>
                <w:sz w:val="20"/>
                <w:szCs w:val="20"/>
              </w:rPr>
            </w:pPr>
            <w:r w:rsidDel="00000000" w:rsidR="00000000" w:rsidRPr="00000000">
              <w:rPr>
                <w:color w:val="000000"/>
                <w:sz w:val="20"/>
                <w:szCs w:val="20"/>
                <w:rtl w:val="0"/>
              </w:rPr>
              <w:t xml:space="preserve">Metric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color w:val="000000"/>
                <w:sz w:val="20"/>
                <w:szCs w:val="20"/>
              </w:rPr>
            </w:pPr>
            <w:r w:rsidDel="00000000" w:rsidR="00000000" w:rsidRPr="00000000">
              <w:rPr>
                <w:color w:val="000000"/>
                <w:sz w:val="20"/>
                <w:szCs w:val="20"/>
                <w:rtl w:val="0"/>
              </w:rPr>
              <w:t xml:space="preserve">Euclidean (degree space)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color w:val="000000"/>
                <w:sz w:val="20"/>
                <w:szCs w:val="20"/>
              </w:rPr>
            </w:pPr>
            <w:r w:rsidDel="00000000" w:rsidR="00000000" w:rsidRPr="00000000">
              <w:rPr>
                <w:color w:val="000000"/>
                <w:sz w:val="20"/>
                <w:szCs w:val="20"/>
                <w:rtl w:val="0"/>
              </w:rPr>
              <w:t xml:space="preserve">Appropriate at small geographic scale near equator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9">
            <w:pPr>
              <w:rPr>
                <w:color w:val="000000"/>
                <w:sz w:val="20"/>
                <w:szCs w:val="20"/>
              </w:rPr>
            </w:pPr>
            <w:r w:rsidDel="00000000" w:rsidR="00000000" w:rsidRPr="00000000">
              <w:rPr>
                <w:color w:val="000000"/>
                <w:sz w:val="20"/>
                <w:szCs w:val="20"/>
                <w:rtl w:val="0"/>
              </w:rPr>
              <w:t xml:space="preserve">Noise point treatment</w:t>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A">
            <w:pPr>
              <w:rPr>
                <w:color w:val="000000"/>
                <w:sz w:val="20"/>
                <w:szCs w:val="20"/>
              </w:rPr>
            </w:pPr>
            <w:r w:rsidDel="00000000" w:rsidR="00000000" w:rsidRPr="00000000">
              <w:rPr>
                <w:color w:val="000000"/>
                <w:sz w:val="20"/>
                <w:szCs w:val="20"/>
                <w:rtl w:val="0"/>
              </w:rPr>
              <w:t xml:space="preserve">Elevated to desert zones</w:t>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B">
            <w:pPr>
              <w:rPr>
                <w:color w:val="000000"/>
                <w:sz w:val="20"/>
                <w:szCs w:val="20"/>
              </w:rPr>
            </w:pPr>
            <w:r w:rsidDel="00000000" w:rsidR="00000000" w:rsidRPr="00000000">
              <w:rPr>
                <w:color w:val="000000"/>
                <w:sz w:val="20"/>
                <w:szCs w:val="20"/>
                <w:rtl w:val="0"/>
              </w:rPr>
              <w:t xml:space="preserve">Key innovation: outliers = CaaS first-mover targets</w:t>
            </w:r>
          </w:p>
        </w:tc>
      </w:tr>
    </w:tbl>
    <w:p w:rsidR="00000000" w:rsidDel="00000000" w:rsidP="00000000" w:rsidRDefault="00000000" w:rsidRPr="00000000" w14:paraId="000000EC">
      <w:pPr>
        <w:pStyle w:val="Heading1"/>
        <w:spacing w:line="276" w:lineRule="auto"/>
        <w:rPr/>
      </w:pPr>
      <w:r w:rsidDel="00000000" w:rsidR="00000000" w:rsidRPr="00000000">
        <w:rPr>
          <w:color w:val="000000"/>
          <w:sz w:val="28"/>
          <w:szCs w:val="28"/>
          <w:rtl w:val="0"/>
        </w:rPr>
        <w:t xml:space="preserve">4.4 Phase 2 — CI &amp; CDS Formulas</w:t>
      </w:r>
      <w:r w:rsidDel="00000000" w:rsidR="00000000" w:rsidRPr="00000000">
        <w:rPr>
          <w:rtl w:val="0"/>
        </w:rPr>
      </w:r>
    </w:p>
    <w:p w:rsidR="00000000" w:rsidDel="00000000" w:rsidP="00000000" w:rsidRDefault="00000000" w:rsidRPr="00000000" w14:paraId="000000ED">
      <w:pPr>
        <w:spacing w:after="160" w:line="276" w:lineRule="auto"/>
        <w:jc w:val="both"/>
        <w:rPr/>
      </w:pPr>
      <w:r w:rsidDel="00000000" w:rsidR="00000000" w:rsidRPr="00000000">
        <w:rPr>
          <w:b w:val="1"/>
          <w:bCs w:val="1"/>
          <w:rtl w:val="0"/>
        </w:rPr>
        <w:t xml:space="preserve">CI = (P_EV × G_predicted) / [(C_slow + 3 × C_fast) × S_grid]</w:t>
      </w:r>
      <w:r w:rsidDel="00000000" w:rsidR="00000000" w:rsidRPr="00000000">
        <w:rPr>
          <w:rtl w:val="0"/>
        </w:rPr>
      </w:r>
    </w:p>
    <w:p w:rsidR="00000000" w:rsidDel="00000000" w:rsidP="00000000" w:rsidRDefault="00000000" w:rsidRPr="00000000" w14:paraId="000000EE">
      <w:pPr>
        <w:spacing w:after="160" w:line="276" w:lineRule="auto"/>
        <w:jc w:val="both"/>
        <w:rPr/>
      </w:pPr>
      <w:r w:rsidDel="00000000" w:rsidR="00000000" w:rsidRPr="00000000">
        <w:rPr>
          <w:rtl w:val="0"/>
        </w:rPr>
        <w:t xml:space="preserve">Numerator: future EV pressure (EV population × predicted growth). Denominator: effective charging capacity (3× weight for fast chargers), adjusted by grid stability. Two-pass: Phase 2 uses historical G_rate for preliminary ranking; Phase 3 Prophet replaces with G_predicted for final CI. Limitation: S_grid = 1.0 until BESCOM feeder outage data is integrated.</w:t>
      </w:r>
    </w:p>
    <w:p w:rsidR="00000000" w:rsidDel="00000000" w:rsidP="00000000" w:rsidRDefault="00000000" w:rsidRPr="00000000" w14:paraId="000000EF">
      <w:pPr>
        <w:spacing w:after="160" w:line="276" w:lineRule="auto"/>
        <w:jc w:val="both"/>
        <w:rPr/>
      </w:pPr>
      <w:r w:rsidDel="00000000" w:rsidR="00000000" w:rsidRPr="00000000">
        <w:rPr>
          <w:b w:val="1"/>
          <w:bCs w:val="1"/>
          <w:rtl w:val="0"/>
        </w:rPr>
        <w:t xml:space="preserve">CDS = [Footfall × EV_density × (1 + Fast_Desert_Flag)] / (1 + Planned_Supply_6mo)</w:t>
      </w:r>
      <w:r w:rsidDel="00000000" w:rsidR="00000000" w:rsidRPr="00000000">
        <w:rPr>
          <w:rtl w:val="0"/>
        </w:rPr>
      </w:r>
    </w:p>
    <w:p w:rsidR="00000000" w:rsidDel="00000000" w:rsidP="00000000" w:rsidRDefault="00000000" w:rsidRPr="00000000" w14:paraId="000000F0">
      <w:pPr>
        <w:spacing w:after="160" w:line="276" w:lineRule="auto"/>
        <w:jc w:val="both"/>
        <w:rPr/>
      </w:pPr>
      <w:r w:rsidDel="00000000" w:rsidR="00000000" w:rsidRPr="00000000">
        <w:rPr>
          <w:rtl w:val="0"/>
        </w:rPr>
        <w:t xml:space="preserve">Numerator doubles in desert zones (Fast_Desert_Flag = 1) — 100% local market capture. Denominator deprioritises zones with a permanent charger planned within 6 months, preventing wasted CaaS deployments.</w:t>
      </w:r>
    </w:p>
    <w:p w:rsidR="00000000" w:rsidDel="00000000" w:rsidP="00000000" w:rsidRDefault="00000000" w:rsidRPr="00000000" w14:paraId="000000F1">
      <w:pPr>
        <w:spacing w:after="160" w:line="276" w:lineRule="auto"/>
        <w:jc w:val="both"/>
        <w:rPr/>
      </w:pPr>
      <w:r w:rsidDel="00000000" w:rsidR="00000000" w:rsidRPr="00000000">
        <w:rPr>
          <w:rtl w:val="0"/>
        </w:rPr>
      </w:r>
    </w:p>
    <w:p w:rsidR="00000000" w:rsidDel="00000000" w:rsidP="00000000" w:rsidRDefault="00000000" w:rsidRPr="00000000" w14:paraId="000000F2">
      <w:pPr>
        <w:spacing w:after="160" w:line="276" w:lineRule="auto"/>
        <w:jc w:val="both"/>
        <w:rPr/>
      </w:pPr>
      <w:r w:rsidDel="00000000" w:rsidR="00000000" w:rsidRPr="00000000">
        <w:rPr>
          <w:rtl w:val="0"/>
        </w:rPr>
      </w:r>
    </w:p>
    <w:p w:rsidR="00000000" w:rsidDel="00000000" w:rsidP="00000000" w:rsidRDefault="00000000" w:rsidRPr="00000000" w14:paraId="000000F3">
      <w:pPr>
        <w:spacing w:after="160" w:line="276" w:lineRule="auto"/>
        <w:jc w:val="both"/>
        <w:rPr/>
      </w:pPr>
      <w:r w:rsidDel="00000000" w:rsidR="00000000" w:rsidRPr="00000000">
        <w:rPr>
          <w:rtl w:val="0"/>
        </w:rPr>
      </w:r>
    </w:p>
    <w:p w:rsidR="00000000" w:rsidDel="00000000" w:rsidP="00000000" w:rsidRDefault="00000000" w:rsidRPr="00000000" w14:paraId="000000F4">
      <w:pPr>
        <w:spacing w:after="160"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2068830"/>
            <wp:effectExtent b="0" l="0" r="0" t="0"/>
            <wp:wrapNone/>
            <wp:docPr id="7"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2068830"/>
                    </a:xfrm>
                    <a:prstGeom prst="rect"/>
                    <a:ln/>
                  </pic:spPr>
                </pic:pic>
              </a:graphicData>
            </a:graphic>
          </wp:anchor>
        </w:drawing>
      </w:r>
    </w:p>
    <w:p w:rsidR="00000000" w:rsidDel="00000000" w:rsidP="00000000" w:rsidRDefault="00000000" w:rsidRPr="00000000" w14:paraId="000000F5">
      <w:pPr>
        <w:spacing w:after="160" w:line="276" w:lineRule="auto"/>
        <w:jc w:val="both"/>
        <w:rPr/>
      </w:pPr>
      <w:r w:rsidDel="00000000" w:rsidR="00000000" w:rsidRPr="00000000">
        <w:rPr>
          <w:rtl w:val="0"/>
        </w:rPr>
      </w:r>
    </w:p>
    <w:p w:rsidR="00000000" w:rsidDel="00000000" w:rsidP="00000000" w:rsidRDefault="00000000" w:rsidRPr="00000000" w14:paraId="000000F6">
      <w:pPr>
        <w:spacing w:after="160" w:line="276" w:lineRule="auto"/>
        <w:jc w:val="both"/>
        <w:rPr/>
      </w:pPr>
      <w:r w:rsidDel="00000000" w:rsidR="00000000" w:rsidRPr="00000000">
        <w:rPr>
          <w:rtl w:val="0"/>
        </w:rPr>
      </w:r>
    </w:p>
    <w:p w:rsidR="00000000" w:rsidDel="00000000" w:rsidP="00000000" w:rsidRDefault="00000000" w:rsidRPr="00000000" w14:paraId="000000F7">
      <w:pPr>
        <w:spacing w:after="160" w:line="276" w:lineRule="auto"/>
        <w:jc w:val="both"/>
        <w:rPr/>
      </w:pPr>
      <w:r w:rsidDel="00000000" w:rsidR="00000000" w:rsidRPr="00000000">
        <w:rPr>
          <w:rtl w:val="0"/>
        </w:rPr>
      </w:r>
    </w:p>
    <w:p w:rsidR="00000000" w:rsidDel="00000000" w:rsidP="00000000" w:rsidRDefault="00000000" w:rsidRPr="00000000" w14:paraId="000000F8">
      <w:pPr>
        <w:spacing w:after="160" w:line="276" w:lineRule="auto"/>
        <w:jc w:val="both"/>
        <w:rPr/>
      </w:pPr>
      <w:r w:rsidDel="00000000" w:rsidR="00000000" w:rsidRPr="00000000">
        <w:rPr>
          <w:rtl w:val="0"/>
        </w:rPr>
      </w:r>
    </w:p>
    <w:p w:rsidR="00000000" w:rsidDel="00000000" w:rsidP="00000000" w:rsidRDefault="00000000" w:rsidRPr="00000000" w14:paraId="000000F9">
      <w:pPr>
        <w:spacing w:after="160" w:line="276" w:lineRule="auto"/>
        <w:jc w:val="both"/>
        <w:rPr/>
      </w:pPr>
      <w:r w:rsidDel="00000000" w:rsidR="00000000" w:rsidRPr="00000000">
        <w:rPr>
          <w:rtl w:val="0"/>
        </w:rPr>
      </w:r>
    </w:p>
    <w:p w:rsidR="00000000" w:rsidDel="00000000" w:rsidP="00000000" w:rsidRDefault="00000000" w:rsidRPr="00000000" w14:paraId="000000FA">
      <w:pPr>
        <w:spacing w:after="160" w:line="276" w:lineRule="auto"/>
        <w:jc w:val="both"/>
        <w:rPr/>
      </w:pPr>
      <w:r w:rsidDel="00000000" w:rsidR="00000000" w:rsidRPr="00000000">
        <w:rPr>
          <w:rtl w:val="0"/>
        </w:rPr>
      </w:r>
    </w:p>
    <w:p w:rsidR="00000000" w:rsidDel="00000000" w:rsidP="00000000" w:rsidRDefault="00000000" w:rsidRPr="00000000" w14:paraId="000000FB">
      <w:pPr>
        <w:pStyle w:val="Heading1"/>
        <w:spacing w:line="276" w:lineRule="auto"/>
        <w:rPr>
          <w:color w:val="000000"/>
          <w:sz w:val="28"/>
          <w:szCs w:val="28"/>
        </w:rPr>
      </w:pPr>
      <w:r w:rsidDel="00000000" w:rsidR="00000000" w:rsidRPr="00000000">
        <w:rPr>
          <w:color w:val="000000"/>
          <w:sz w:val="28"/>
          <w:szCs w:val="28"/>
          <w:rtl w:val="0"/>
        </w:rPr>
        <w:t xml:space="preserve">4.5 Phase 3 — Prophet Forecasting</w:t>
      </w:r>
    </w:p>
    <w:p w:rsidR="00000000" w:rsidDel="00000000" w:rsidP="00000000" w:rsidRDefault="00000000" w:rsidRPr="00000000" w14:paraId="000000FC">
      <w:pPr>
        <w:spacing w:after="160" w:line="276" w:lineRule="auto"/>
        <w:jc w:val="both"/>
        <w:rPr/>
      </w:pPr>
      <w:r w:rsidDel="00000000" w:rsidR="00000000" w:rsidRPr="00000000">
        <w:rPr>
          <w:rtl w:val="0"/>
        </w:rPr>
        <w:t xml:space="preserve">Prophet is an additive decomposition model with explicit changepoints (Taylor &amp; Letham, 2018). FAME-II (April 2019) and PM E-DRIVE (October 2024) are marked as structural breaks, enabling distinct trend segments before and after each policy event. ARIMA cannot accommodate these breaks; LSTM requires more data than 72 monthly Vahan observations support. Output: G_predicted per zone, replacing G_historical in the final CI recalculation.</w:t>
      </w:r>
    </w:p>
    <w:p w:rsidR="00000000" w:rsidDel="00000000" w:rsidP="00000000" w:rsidRDefault="00000000" w:rsidRPr="00000000" w14:paraId="000000FD">
      <w:pPr>
        <w:pStyle w:val="Heading1"/>
        <w:spacing w:line="276" w:lineRule="auto"/>
        <w:rPr>
          <w:color w:val="000000"/>
          <w:sz w:val="28"/>
          <w:szCs w:val="28"/>
        </w:rPr>
      </w:pPr>
      <w:r w:rsidDel="00000000" w:rsidR="00000000" w:rsidRPr="00000000">
        <w:rPr>
          <w:color w:val="000000"/>
          <w:sz w:val="28"/>
          <w:szCs w:val="28"/>
          <w:rtl w:val="0"/>
        </w:rPr>
        <w:t xml:space="preserve">4.6 Phase 4 — XGBoost Ranking</w:t>
      </w:r>
    </w:p>
    <w:p w:rsidR="00000000" w:rsidDel="00000000" w:rsidP="00000000" w:rsidRDefault="00000000" w:rsidRPr="00000000" w14:paraId="000000FE">
      <w:pPr>
        <w:spacing w:after="160" w:line="276" w:lineRule="auto"/>
        <w:jc w:val="both"/>
        <w:rPr/>
      </w:pPr>
      <w:r w:rsidDel="00000000" w:rsidR="00000000" w:rsidRPr="00000000">
        <w:rPr>
          <w:rtl w:val="0"/>
        </w:rPr>
        <w:t xml:space="preserve">XGBoost ranks zones by predicted future demand in regression mode (Chen &amp; Guestrin, 2016). Inputs: PCA-compressed commercial activity component, fast_charger_count, mall_count, land_cost, planned_supply_6mo. Selected over Random Forest (original proposal) for superior multicollinearity robustness post-PCA and more interpretable feature importance scores. Validation: walk-forward cross-validation on 2023 holdout data.</w:t>
      </w:r>
    </w:p>
    <w:p w:rsidR="00000000" w:rsidDel="00000000" w:rsidP="00000000" w:rsidRDefault="00000000" w:rsidRPr="00000000" w14:paraId="000000FF">
      <w:pPr>
        <w:spacing w:after="60" w:before="180" w:lineRule="auto"/>
        <w:rPr>
          <w:color w:val="000000"/>
        </w:rPr>
      </w:pPr>
      <w:r w:rsidDel="00000000" w:rsidR="00000000" w:rsidRPr="00000000">
        <w:rPr>
          <w:b w:val="1"/>
          <w:bCs w:val="1"/>
          <w:color w:val="000000"/>
          <w:rtl w:val="0"/>
        </w:rPr>
        <w:t xml:space="preserve">Model Configuration</w:t>
      </w:r>
      <w:r w:rsidDel="00000000" w:rsidR="00000000" w:rsidRPr="00000000">
        <w:rPr>
          <w:rtl w:val="0"/>
        </w:rPr>
      </w:r>
    </w:p>
    <w:tbl>
      <w:tblPr>
        <w:tblStyle w:val="Table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880"/>
        <w:gridCol w:w="4354"/>
        <w:tblGridChange w:id="0">
          <w:tblGrid>
            <w:gridCol w:w="2400"/>
            <w:gridCol w:w="2880"/>
            <w:gridCol w:w="4354"/>
          </w:tblGrid>
        </w:tblGridChange>
      </w:tblGrid>
      <w:tr>
        <w:trPr>
          <w:cantSplit w:val="0"/>
          <w:trHeight w:val="283" w:hRule="atLeast"/>
          <w:tblHeader w:val="1"/>
        </w:trPr>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b w:val="1"/>
                <w:bCs w:val="1"/>
                <w:color w:val="ffffff"/>
                <w:sz w:val="20"/>
                <w:szCs w:val="20"/>
                <w:rtl w:val="0"/>
              </w:rPr>
              <w:t xml:space="preserve">Selected Value</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color w:val="000000"/>
              </w:rPr>
            </w:pPr>
            <w:r w:rsidDel="00000000" w:rsidR="00000000" w:rsidRPr="00000000">
              <w:rPr>
                <w:color w:val="000000"/>
                <w:sz w:val="20"/>
                <w:szCs w:val="20"/>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color w:val="000000"/>
              </w:rPr>
            </w:pPr>
            <w:r w:rsidDel="00000000" w:rsidR="00000000" w:rsidRPr="00000000">
              <w:rPr>
                <w:color w:val="000000"/>
                <w:sz w:val="20"/>
                <w:szCs w:val="20"/>
                <w:rtl w:val="0"/>
              </w:rPr>
              <w:t xml:space="preserve">XG Boost (sklearn)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color w:val="000000"/>
              </w:rPr>
            </w:pPr>
            <w:r w:rsidDel="00000000" w:rsidR="00000000" w:rsidRPr="00000000">
              <w:rPr>
                <w:color w:val="000000"/>
                <w:sz w:val="20"/>
                <w:szCs w:val="20"/>
                <w:rtl w:val="0"/>
              </w:rPr>
              <w:t xml:space="preserve">Robust to multicollinearity; interpretable feature importances</w:t>
            </w:r>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6">
            <w:pPr>
              <w:rPr>
                <w:color w:val="000000"/>
              </w:rPr>
            </w:pPr>
            <w:r w:rsidDel="00000000" w:rsidR="00000000" w:rsidRPr="00000000">
              <w:rPr>
                <w:color w:val="000000"/>
                <w:sz w:val="20"/>
                <w:szCs w:val="20"/>
                <w:rtl w:val="0"/>
              </w:rPr>
              <w:t xml:space="preserve">n_estimators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7">
            <w:pPr>
              <w:rPr>
                <w:color w:val="000000"/>
              </w:rPr>
            </w:pPr>
            <w:r w:rsidDel="00000000" w:rsidR="00000000" w:rsidRPr="00000000">
              <w:rPr>
                <w:color w:val="00000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8">
            <w:pPr>
              <w:rPr>
                <w:color w:val="000000"/>
              </w:rPr>
            </w:pPr>
            <w:r w:rsidDel="00000000" w:rsidR="00000000" w:rsidRPr="00000000">
              <w:rPr>
                <w:color w:val="000000"/>
                <w:sz w:val="20"/>
                <w:szCs w:val="20"/>
                <w:rtl w:val="0"/>
              </w:rPr>
              <w:t xml:space="preserve">Selected by CV grid search over {200, 300, 400, 500}</w:t>
            </w:r>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color w:val="000000"/>
              </w:rPr>
            </w:pPr>
            <w:r w:rsidDel="00000000" w:rsidR="00000000" w:rsidRPr="00000000">
              <w:rPr>
                <w:color w:val="000000"/>
                <w:sz w:val="20"/>
                <w:szCs w:val="20"/>
                <w:rtl w:val="0"/>
              </w:rPr>
              <w:t xml:space="preserve">max_depth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color w:val="000000"/>
              </w:rPr>
            </w:pPr>
            <w:r w:rsidDel="00000000" w:rsidR="00000000" w:rsidRPr="00000000">
              <w:rPr>
                <w:color w:val="000000"/>
                <w:sz w:val="20"/>
                <w:szCs w:val="20"/>
                <w:rtl w:val="0"/>
              </w:rPr>
              <w:t xml:space="preserve">None (full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color w:val="000000"/>
              </w:rPr>
            </w:pPr>
            <w:r w:rsidDel="00000000" w:rsidR="00000000" w:rsidRPr="00000000">
              <w:rPr>
                <w:color w:val="000000"/>
                <w:sz w:val="20"/>
                <w:szCs w:val="20"/>
                <w:rtl w:val="0"/>
              </w:rPr>
              <w:t xml:space="preserve">Selected by CV; prevents underfitting on small n</w:t>
            </w:r>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C">
            <w:pPr>
              <w:rPr>
                <w:color w:val="000000"/>
              </w:rPr>
            </w:pPr>
            <w:r w:rsidDel="00000000" w:rsidR="00000000" w:rsidRPr="00000000">
              <w:rPr>
                <w:color w:val="000000"/>
                <w:sz w:val="20"/>
                <w:szCs w:val="20"/>
                <w:rtl w:val="0"/>
              </w:rPr>
              <w:t xml:space="preserve">min_samples_leaf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D">
            <w:pPr>
              <w:rPr>
                <w:color w:val="000000"/>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E">
            <w:pPr>
              <w:rPr>
                <w:color w:val="000000"/>
              </w:rPr>
            </w:pPr>
            <w:r w:rsidDel="00000000" w:rsidR="00000000" w:rsidRPr="00000000">
              <w:rPr>
                <w:color w:val="000000"/>
                <w:sz w:val="20"/>
                <w:szCs w:val="20"/>
                <w:rtl w:val="0"/>
              </w:rPr>
              <w:t xml:space="preserve">Regularisation on 20-point dataset</w:t>
            </w:r>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color w:val="000000"/>
              </w:rPr>
            </w:pPr>
            <w:r w:rsidDel="00000000" w:rsidR="00000000" w:rsidRPr="00000000">
              <w:rPr>
                <w:color w:val="000000"/>
                <w:sz w:val="20"/>
                <w:szCs w:val="20"/>
                <w:rtl w:val="0"/>
              </w:rPr>
              <w:t xml:space="preserve">Target 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color w:val="000000"/>
              </w:rPr>
            </w:pPr>
            <w:r w:rsidDel="00000000" w:rsidR="00000000" w:rsidRPr="00000000">
              <w:rPr>
                <w:color w:val="000000"/>
                <w:sz w:val="20"/>
                <w:szCs w:val="20"/>
                <w:rtl w:val="0"/>
              </w:rPr>
              <w:t xml:space="preserve">log(1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color w:val="000000"/>
              </w:rPr>
            </w:pPr>
            <w:sdt>
              <w:sdtPr>
                <w:id w:val="-711742476"/>
                <w:tag w:val="goog_rdk_9"/>
              </w:sdtPr>
              <w:sdtContent>
                <w:r w:rsidDel="00000000" w:rsidR="00000000" w:rsidRPr="00000000">
                  <w:rPr>
                    <w:rFonts w:ascii="Gungsuh" w:cs="Gungsuh" w:eastAsia="Gungsuh" w:hAnsi="Gungsuh"/>
                    <w:color w:val="000000"/>
                    <w:sz w:val="20"/>
                    <w:szCs w:val="20"/>
                    <w:rtl w:val="0"/>
                  </w:rPr>
                  <w:t xml:space="preserve">Addresses right skew; reversed with exp(pred) − 1</w:t>
                </w:r>
              </w:sdtContent>
            </w:sdt>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2">
            <w:pPr>
              <w:rPr>
                <w:color w:val="000000"/>
              </w:rPr>
            </w:pPr>
            <w:r w:rsidDel="00000000" w:rsidR="00000000" w:rsidRPr="00000000">
              <w:rPr>
                <w:color w:val="000000"/>
                <w:sz w:val="20"/>
                <w:szCs w:val="20"/>
                <w:rtl w:val="0"/>
              </w:rPr>
              <w:t xml:space="preserve">Cross-validation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3">
            <w:pPr>
              <w:rPr>
                <w:color w:val="000000"/>
              </w:rPr>
            </w:pPr>
            <w:r w:rsidDel="00000000" w:rsidR="00000000" w:rsidRPr="00000000">
              <w:rPr>
                <w:color w:val="000000"/>
                <w:sz w:val="20"/>
                <w:szCs w:val="20"/>
                <w:rtl w:val="0"/>
              </w:rPr>
              <w:t xml:space="preserve">5-Fold KFold, shuffle=True, seed=42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4">
            <w:pPr>
              <w:rPr>
                <w:color w:val="000000"/>
              </w:rPr>
            </w:pPr>
            <w:r w:rsidDel="00000000" w:rsidR="00000000" w:rsidRPr="00000000">
              <w:rPr>
                <w:color w:val="000000"/>
                <w:sz w:val="20"/>
                <w:szCs w:val="20"/>
                <w:rtl w:val="0"/>
              </w:rPr>
              <w:t xml:space="preserve">Full use of 20 data points; reproducible</w:t>
            </w:r>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color w:val="000000"/>
              </w:rPr>
            </w:pPr>
            <w:r w:rsidDel="00000000" w:rsidR="00000000" w:rsidRPr="00000000">
              <w:rPr>
                <w:color w:val="000000"/>
                <w:sz w:val="20"/>
                <w:szCs w:val="20"/>
                <w:rtl w:val="0"/>
              </w:rPr>
              <w:t xml:space="preserve">Feature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color w:val="000000"/>
              </w:rPr>
            </w:pPr>
            <w:r w:rsidDel="00000000" w:rsidR="00000000" w:rsidRPr="00000000">
              <w:rPr>
                <w:color w:val="000000"/>
                <w:sz w:val="20"/>
                <w:szCs w:val="20"/>
                <w:rtl w:val="0"/>
              </w:rPr>
              <w:t xml:space="preserve">8 active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color w:val="000000"/>
              </w:rPr>
            </w:pPr>
            <w:r w:rsidDel="00000000" w:rsidR="00000000" w:rsidRPr="00000000">
              <w:rPr>
                <w:color w:val="000000"/>
                <w:sz w:val="20"/>
                <w:szCs w:val="20"/>
                <w:rtl w:val="0"/>
              </w:rPr>
              <w:t xml:space="preserve">Dropped constant features before fitting</w:t>
            </w:r>
            <w:r w:rsidDel="00000000" w:rsidR="00000000" w:rsidRPr="00000000">
              <w:rPr>
                <w:rtl w:val="0"/>
              </w:rPr>
            </w:r>
          </w:p>
        </w:tc>
      </w:tr>
    </w:tbl>
    <w:p w:rsidR="00000000" w:rsidDel="00000000" w:rsidP="00000000" w:rsidRDefault="00000000" w:rsidRPr="00000000" w14:paraId="00000118">
      <w:pPr>
        <w:pStyle w:val="Heading1"/>
        <w:rPr>
          <w:color w:val="1f4e79"/>
        </w:rPr>
      </w:pPr>
      <w:r w:rsidDel="00000000" w:rsidR="00000000" w:rsidRPr="00000000">
        <w:rPr>
          <w:color w:val="1f4e79"/>
          <w:rtl w:val="0"/>
        </w:rPr>
        <w:t xml:space="preserve">Chapter 5: Results &amp; Analysis</w:t>
      </w:r>
    </w:p>
    <w:p w:rsidR="00000000" w:rsidDel="00000000" w:rsidP="00000000" w:rsidRDefault="00000000" w:rsidRPr="00000000" w14:paraId="00000119">
      <w:pPr>
        <w:pStyle w:val="Heading1"/>
        <w:rPr>
          <w:color w:val="000000"/>
          <w:sz w:val="28"/>
          <w:szCs w:val="28"/>
        </w:rPr>
      </w:pPr>
      <w:r w:rsidDel="00000000" w:rsidR="00000000" w:rsidRPr="00000000">
        <w:rPr>
          <w:color w:val="000000"/>
          <w:sz w:val="28"/>
          <w:szCs w:val="28"/>
          <w:rtl w:val="0"/>
        </w:rPr>
        <w:t xml:space="preserve">5.1 Model Performance</w:t>
      </w:r>
    </w:p>
    <w:tbl>
      <w:tblPr>
        <w:tblStyle w:val="Table7"/>
        <w:tblW w:w="7000.0" w:type="dxa"/>
        <w:jc w:val="left"/>
        <w:tblInd w:w="11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500"/>
        <w:gridCol w:w="1300"/>
        <w:gridCol w:w="2000"/>
        <w:tblGridChange w:id="0">
          <w:tblGrid>
            <w:gridCol w:w="2200"/>
            <w:gridCol w:w="1500"/>
            <w:gridCol w:w="1300"/>
            <w:gridCol w:w="20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1E">
            <w:pPr>
              <w:rPr/>
            </w:pPr>
            <w:r w:rsidDel="00000000" w:rsidR="00000000" w:rsidRPr="00000000">
              <w:rPr>
                <w:rFonts w:ascii="Arial" w:cs="Arial" w:eastAsia="Arial" w:hAnsi="Arial"/>
                <w:sz w:val="19"/>
                <w:szCs w:val="19"/>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1F">
            <w:pPr>
              <w:rPr/>
            </w:pPr>
            <w:r w:rsidDel="00000000" w:rsidR="00000000" w:rsidRPr="00000000">
              <w:rPr>
                <w:rFonts w:ascii="Arial" w:cs="Arial" w:eastAsia="Arial" w:hAnsi="Arial"/>
                <w:sz w:val="19"/>
                <w:szCs w:val="19"/>
                <w:rtl w:val="0"/>
              </w:rPr>
              <w:t xml:space="preserve">13.02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2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21">
            <w:pPr>
              <w:rPr/>
            </w:pPr>
            <w:r w:rsidDel="00000000" w:rsidR="00000000" w:rsidRPr="00000000">
              <w:rPr>
                <w:rFonts w:ascii="Arial" w:cs="Arial" w:eastAsia="Arial" w:hAnsi="Arial"/>
                <w:sz w:val="19"/>
                <w:szCs w:val="19"/>
                <w:rtl w:val="0"/>
              </w:rPr>
              <w:t xml:space="preserve">Avg. prediction deviation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2">
            <w:pPr>
              <w:rPr/>
            </w:pPr>
            <w:r w:rsidDel="00000000" w:rsidR="00000000" w:rsidRPr="00000000">
              <w:rPr>
                <w:rFonts w:ascii="Arial" w:cs="Arial" w:eastAsia="Arial" w:hAnsi="Arial"/>
                <w:sz w:val="19"/>
                <w:szCs w:val="19"/>
                <w:rtl w:val="0"/>
              </w:rPr>
              <w:t xml:space="preserve">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3">
            <w:pPr>
              <w:rPr/>
            </w:pPr>
            <w:r w:rsidDel="00000000" w:rsidR="00000000" w:rsidRPr="00000000">
              <w:rPr>
                <w:rFonts w:ascii="Arial" w:cs="Arial" w:eastAsia="Arial" w:hAnsi="Arial"/>
                <w:sz w:val="19"/>
                <w:szCs w:val="19"/>
                <w:rtl w:val="0"/>
              </w:rPr>
              <w:t xml:space="preserve">60.63%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4">
            <w:pPr>
              <w:rPr/>
            </w:pPr>
            <w:r w:rsidDel="00000000" w:rsidR="00000000" w:rsidRPr="00000000">
              <w:rPr>
                <w:rFonts w:ascii="Arial" w:cs="Arial" w:eastAsia="Arial" w:hAnsi="Arial"/>
                <w:sz w:val="19"/>
                <w:szCs w:val="19"/>
                <w:rtl w:val="0"/>
              </w:rPr>
              <w:t xml:space="preserve">&gt;50%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5">
            <w:pPr>
              <w:rPr/>
            </w:pPr>
            <w:r w:rsidDel="00000000" w:rsidR="00000000" w:rsidRPr="00000000">
              <w:rPr>
                <w:rFonts w:ascii="Arial" w:cs="Arial" w:eastAsia="Arial" w:hAnsi="Arial"/>
                <w:sz w:val="19"/>
                <w:szCs w:val="19"/>
                <w:rtl w:val="0"/>
              </w:rPr>
              <w:t xml:space="preserve">Demand variance explained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26">
            <w:pPr>
              <w:rPr/>
            </w:pPr>
            <w:r w:rsidDel="00000000" w:rsidR="00000000" w:rsidRPr="00000000">
              <w:rPr>
                <w:rFonts w:ascii="Arial" w:cs="Arial" w:eastAsia="Arial" w:hAnsi="Arial"/>
                <w:sz w:val="19"/>
                <w:szCs w:val="19"/>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27">
            <w:pPr>
              <w:rPr/>
            </w:pPr>
            <w:r w:rsidDel="00000000" w:rsidR="00000000" w:rsidRPr="00000000">
              <w:rPr>
                <w:rFonts w:ascii="Arial" w:cs="Arial" w:eastAsia="Arial" w:hAnsi="Arial"/>
                <w:sz w:val="19"/>
                <w:szCs w:val="19"/>
                <w:rtl w:val="0"/>
              </w:rPr>
              <w:t xml:space="preserve">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2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29">
            <w:pPr>
              <w:rPr/>
            </w:pPr>
            <w:r w:rsidDel="00000000" w:rsidR="00000000" w:rsidRPr="00000000">
              <w:rPr>
                <w:rFonts w:ascii="Arial" w:cs="Arial" w:eastAsia="Arial" w:hAnsi="Arial"/>
                <w:sz w:val="19"/>
                <w:szCs w:val="19"/>
                <w:rtl w:val="0"/>
              </w:rPr>
              <w:t xml:space="preserve">Avg. absolute error per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A">
            <w:pPr>
              <w:rPr/>
            </w:pPr>
            <w:r w:rsidDel="00000000" w:rsidR="00000000" w:rsidRPr="00000000">
              <w:rPr>
                <w:rFonts w:ascii="Arial" w:cs="Arial" w:eastAsia="Arial" w:hAnsi="Arial"/>
                <w:sz w:val="19"/>
                <w:szCs w:val="19"/>
                <w:rtl w:val="0"/>
              </w:rPr>
              <w:t xml:space="preserve">MAPE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B">
            <w:pPr>
              <w:rPr/>
            </w:pPr>
            <w:r w:rsidDel="00000000" w:rsidR="00000000" w:rsidRPr="00000000">
              <w:rPr>
                <w:rFonts w:ascii="Arial" w:cs="Arial" w:eastAsia="Arial" w:hAnsi="Arial"/>
                <w:sz w:val="19"/>
                <w:szCs w:val="19"/>
                <w:rtl w:val="0"/>
              </w:rPr>
              <w:t xml:space="preserve">19.44%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C">
            <w:pPr>
              <w:rPr/>
            </w:pPr>
            <w:r w:rsidDel="00000000" w:rsidR="00000000" w:rsidRPr="00000000">
              <w:rPr>
                <w:rFonts w:ascii="Arial" w:cs="Arial" w:eastAsia="Arial" w:hAnsi="Arial"/>
                <w:sz w:val="19"/>
                <w:szCs w:val="19"/>
                <w:rtl w:val="0"/>
              </w:rPr>
              <w:t xml:space="preserve">&lt;15%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2D">
            <w:pPr>
              <w:rPr/>
            </w:pPr>
            <w:r w:rsidDel="00000000" w:rsidR="00000000" w:rsidRPr="00000000">
              <w:rPr>
                <w:rFonts w:ascii="Arial" w:cs="Arial" w:eastAsia="Arial" w:hAnsi="Arial"/>
                <w:sz w:val="19"/>
                <w:szCs w:val="19"/>
                <w:rtl w:val="0"/>
              </w:rPr>
              <w:t xml:space="preserve">Forecast accuracy vs. actual</w:t>
            </w:r>
            <w:r w:rsidDel="00000000" w:rsidR="00000000" w:rsidRPr="00000000">
              <w:rPr>
                <w:rtl w:val="0"/>
              </w:rPr>
            </w:r>
          </w:p>
        </w:tc>
      </w:tr>
    </w:tbl>
    <w:p w:rsidR="00000000" w:rsidDel="00000000" w:rsidP="00000000" w:rsidRDefault="00000000" w:rsidRPr="00000000" w14:paraId="0000012E">
      <w:pPr>
        <w:spacing w:after="200" w:before="50" w:lineRule="auto"/>
        <w:jc w:val="center"/>
        <w:rPr>
          <w:i w:val="1"/>
          <w:iCs w:val="1"/>
        </w:rPr>
      </w:pPr>
      <w:r w:rsidDel="00000000" w:rsidR="00000000" w:rsidRPr="00000000">
        <w:rPr>
          <w:i w:val="1"/>
          <w:iCs w:val="1"/>
          <w:sz w:val="20"/>
          <w:szCs w:val="20"/>
          <w:rtl w:val="0"/>
        </w:rPr>
        <w:t xml:space="preserve">Table 5.1: XGBoost Model Performance — Bengaluru Pilot (40 Zones, 2023 Holdout)</w:t>
      </w:r>
      <w:r w:rsidDel="00000000" w:rsidR="00000000" w:rsidRPr="00000000">
        <w:rPr>
          <w:rtl w:val="0"/>
        </w:rPr>
      </w:r>
    </w:p>
    <w:p w:rsidR="00000000" w:rsidDel="00000000" w:rsidP="00000000" w:rsidRDefault="00000000" w:rsidRPr="00000000" w14:paraId="0000012F">
      <w:pPr>
        <w:spacing w:after="160" w:lineRule="auto"/>
        <w:jc w:val="both"/>
        <w:rPr/>
      </w:pPr>
      <w:r w:rsidDel="00000000" w:rsidR="00000000" w:rsidRPr="00000000">
        <w:rPr>
          <w:rtl w:val="0"/>
        </w:rPr>
        <w:t xml:space="preserve">R² of 60.63% is notable given all inputs are proxy measures rather than direct session data. MAPE of 19.44% exceeds the 15% target, reflecting policy-shock volatility the current feature set cannot fully anticipate. Despite this, zone-level discriminatory power is commercially actionable — correctly ranking HSR Layout first and distinguishing Tier 1 from Tier 4 payback profiles.</w:t>
      </w:r>
    </w:p>
    <w:p w:rsidR="00000000" w:rsidDel="00000000" w:rsidP="00000000" w:rsidRDefault="00000000" w:rsidRPr="00000000" w14:paraId="00000130">
      <w:pPr>
        <w:spacing w:after="60" w:before="120" w:lineRule="auto"/>
        <w:jc w:val="center"/>
        <w:rPr/>
      </w:pPr>
      <w:r w:rsidDel="00000000" w:rsidR="00000000" w:rsidRPr="00000000">
        <w:rPr/>
        <w:drawing>
          <wp:inline distB="0" distT="0" distL="0" distR="0">
            <wp:extent cx="4191000" cy="2809875"/>
            <wp:effectExtent b="0" l="0" r="0" t="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191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60" w:before="60" w:lineRule="auto"/>
        <w:jc w:val="center"/>
        <w:rPr>
          <w:i w:val="1"/>
          <w:iCs w:val="1"/>
          <w:color w:val="888888"/>
          <w:sz w:val="18"/>
          <w:szCs w:val="18"/>
        </w:rPr>
      </w:pPr>
      <w:r w:rsidDel="00000000" w:rsidR="00000000" w:rsidRPr="00000000">
        <w:rPr>
          <w:i w:val="1"/>
          <w:iCs w:val="1"/>
          <w:color w:val="888888"/>
          <w:sz w:val="18"/>
          <w:szCs w:val="18"/>
          <w:rtl w:val="0"/>
        </w:rPr>
        <w:t xml:space="preserve">Figure 5.1 : XG BoostFeature Importance — CI Prediction (Top 8 Features)</w:t>
      </w:r>
    </w:p>
    <w:p w:rsidR="00000000" w:rsidDel="00000000" w:rsidP="00000000" w:rsidRDefault="00000000" w:rsidRPr="00000000" w14:paraId="00000132">
      <w:pPr>
        <w:spacing w:after="160" w:before="60" w:lineRule="auto"/>
        <w:jc w:val="center"/>
        <w:rPr>
          <w:i w:val="1"/>
          <w:iCs w:val="1"/>
          <w:color w:val="888888"/>
          <w:sz w:val="18"/>
          <w:szCs w:val="18"/>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1240"/>
        <w:gridCol w:w="5243"/>
        <w:tblGridChange w:id="0">
          <w:tblGrid>
            <w:gridCol w:w="2877"/>
            <w:gridCol w:w="1240"/>
            <w:gridCol w:w="5243"/>
          </w:tblGrid>
        </w:tblGridChange>
      </w:tblGrid>
      <w:tr>
        <w:trPr>
          <w:cantSplit w:val="0"/>
          <w:trHeight w:val="283" w:hRule="atLeast"/>
          <w:tblHeader w:val="1"/>
        </w:trPr>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20"/>
                <w:szCs w:val="20"/>
                <w:rtl w:val="0"/>
              </w:rPr>
              <w:t xml:space="preserve">Importance</w:t>
            </w:r>
            <w:r w:rsidDel="00000000" w:rsidR="00000000" w:rsidRPr="00000000">
              <w:rPr>
                <w:rtl w:val="0"/>
              </w:rPr>
            </w:r>
          </w:p>
        </w:tc>
        <w:tc>
          <w:tcPr>
            <w:tcBorders>
              <w:top w:color="1c3557" w:space="0" w:sz="4" w:val="single"/>
              <w:left w:color="1c3557" w:space="0" w:sz="4" w:val="single"/>
              <w:bottom w:color="1c3557" w:space="0" w:sz="4" w:val="single"/>
              <w:right w:color="1c3557" w:space="0" w:sz="4" w:val="single"/>
            </w:tcBorders>
            <w:shd w:fill="1c3557"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color w:val="4a4a4a"/>
                <w:sz w:val="20"/>
                <w:szCs w:val="20"/>
                <w:rtl w:val="0"/>
              </w:rPr>
              <w:t xml:space="preserve">poi_score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color w:val="4a4a4a"/>
                <w:sz w:val="20"/>
                <w:szCs w:val="20"/>
                <w:rtl w:val="0"/>
              </w:rPr>
              <w:t xml:space="preserve">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color w:val="4a4a4a"/>
                <w:sz w:val="20"/>
                <w:szCs w:val="20"/>
                <w:rtl w:val="0"/>
              </w:rPr>
              <w:t xml:space="preserve">Commercial density is the dominant CI predictor — IT parks, hotels, malls drive demand concentration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color w:val="4a4a4a"/>
                <w:sz w:val="20"/>
                <w:szCs w:val="20"/>
                <w:rtl w:val="0"/>
              </w:rPr>
              <w:t xml:space="preserve">ev_registrations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color w:val="4a4a4a"/>
                <w:sz w:val="20"/>
                <w:szCs w:val="20"/>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color w:val="4a4a4a"/>
                <w:sz w:val="20"/>
                <w:szCs w:val="20"/>
                <w:rtl w:val="0"/>
              </w:rPr>
              <w:t xml:space="preserve">Raw EV demand; note this is derived from poi_score via disaggregation — creates some circularity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color w:val="4a4a4a"/>
                <w:sz w:val="20"/>
                <w:szCs w:val="20"/>
                <w:rtl w:val="0"/>
              </w:rPr>
              <w:t xml:space="preserve">S_eff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color w:val="4a4a4a"/>
                <w:sz w:val="20"/>
                <w:szCs w:val="20"/>
                <w:rtl w:val="0"/>
              </w:rPr>
              <w:t xml:space="preserve">26.8%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color w:val="4a4a4a"/>
                <w:sz w:val="20"/>
                <w:szCs w:val="20"/>
                <w:rtl w:val="0"/>
              </w:rPr>
              <w:t xml:space="preserve">Accessibility-weighted supply; confirms the E2SFCA-style correction carries independent explanatory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color w:val="4a4a4a"/>
                <w:sz w:val="20"/>
                <w:szCs w:val="20"/>
                <w:rtl w:val="0"/>
              </w:rPr>
              <w:t xml:space="preserve">price_psf_commercial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color w:val="4a4a4a"/>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color w:val="4a4a4a"/>
                <w:sz w:val="20"/>
                <w:szCs w:val="20"/>
                <w:rtl w:val="0"/>
              </w:rPr>
              <w:t xml:space="preserve">Richer commercial zones correlate with higher EV ownership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color w:val="4a4a4a"/>
                <w:sz w:val="20"/>
                <w:szCs w:val="20"/>
                <w:rtl w:val="0"/>
              </w:rPr>
              <w:t xml:space="preserve">footfall_composite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color w:val="4a4a4a"/>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color w:val="4a4a4a"/>
                <w:sz w:val="20"/>
                <w:szCs w:val="20"/>
                <w:rtl w:val="0"/>
              </w:rPr>
              <w:t xml:space="preserve">Restaurant density adds marginal independent signal beyond poi_score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color w:val="4a4a4a"/>
                <w:sz w:val="20"/>
                <w:szCs w:val="20"/>
                <w:rtl w:val="0"/>
              </w:rPr>
              <w:t xml:space="preserve">new_projects_pipeline_count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color w:val="4a4a4a"/>
                <w:sz w:val="20"/>
                <w:szCs w:val="20"/>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color w:val="4a4a4a"/>
                <w:sz w:val="20"/>
                <w:szCs w:val="20"/>
                <w:rtl w:val="0"/>
              </w:rPr>
              <w:t xml:space="preserve">Forward supply signal has limited current-period CI explanatory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color w:val="4a4a4a"/>
                <w:sz w:val="20"/>
                <w:szCs w:val="20"/>
                <w:rtl w:val="0"/>
              </w:rPr>
              <w:t xml:space="preserve">hcpi_estimated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color w:val="4a4a4a"/>
                <w:sz w:val="20"/>
                <w:szCs w:val="20"/>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color w:val="4a4a4a"/>
                <w:sz w:val="20"/>
                <w:szCs w:val="20"/>
                <w:rtl w:val="0"/>
              </w:rPr>
              <w:t xml:space="preserve">Home charging penetration has low CI correlation at zone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color w:val="4a4a4a"/>
                <w:sz w:val="20"/>
                <w:szCs w:val="20"/>
                <w:rtl w:val="0"/>
              </w:rPr>
              <w:t xml:space="preserve">fast_charger_count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color w:val="4a4a4a"/>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color w:val="4a4a4a"/>
                <w:sz w:val="20"/>
                <w:szCs w:val="20"/>
                <w:rtl w:val="0"/>
              </w:rPr>
              <w:t xml:space="preserve">Low importance reflects near-zero variation — only 8 DC fast chargers across all zones</w:t>
            </w:r>
            <w:r w:rsidDel="00000000" w:rsidR="00000000" w:rsidRPr="00000000">
              <w:rPr>
                <w:rtl w:val="0"/>
              </w:rPr>
            </w:r>
          </w:p>
        </w:tc>
      </w:tr>
    </w:tbl>
    <w:p w:rsidR="00000000" w:rsidDel="00000000" w:rsidP="00000000" w:rsidRDefault="00000000" w:rsidRPr="00000000" w14:paraId="0000014E">
      <w:pPr>
        <w:spacing w:after="160" w:before="6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Table 5.1.2 Feature Importance Attribution —XG Boost CI Prediction</w:t>
      </w:r>
    </w:p>
    <w:p w:rsidR="00000000" w:rsidDel="00000000" w:rsidP="00000000" w:rsidRDefault="00000000" w:rsidRPr="00000000" w14:paraId="0000014F">
      <w:pPr>
        <w:pStyle w:val="Heading2"/>
        <w:rPr>
          <w:color w:val="000000"/>
          <w:sz w:val="28"/>
          <w:szCs w:val="28"/>
        </w:rPr>
      </w:pPr>
      <w:r w:rsidDel="00000000" w:rsidR="00000000" w:rsidRPr="00000000">
        <w:rPr>
          <w:b w:val="1"/>
          <w:bCs w:val="1"/>
          <w:color w:val="000000"/>
          <w:sz w:val="28"/>
          <w:szCs w:val="28"/>
          <w:rtl w:val="0"/>
        </w:rPr>
        <w:t xml:space="preserve">5.2 Factor Verification</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250"/>
        <w:gridCol w:w="1250"/>
        <w:gridCol w:w="1500"/>
        <w:gridCol w:w="3060"/>
        <w:tblGridChange w:id="0">
          <w:tblGrid>
            <w:gridCol w:w="2300"/>
            <w:gridCol w:w="1250"/>
            <w:gridCol w:w="1250"/>
            <w:gridCol w:w="1500"/>
            <w:gridCol w:w="30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51">
            <w:pPr>
              <w:jc w:val="center"/>
              <w:rPr>
                <w:sz w:val="20"/>
                <w:szCs w:val="20"/>
              </w:rPr>
            </w:pPr>
            <w:r w:rsidDel="00000000" w:rsidR="00000000" w:rsidRPr="00000000">
              <w:rPr>
                <w:b w:val="1"/>
                <w:bCs w:val="1"/>
                <w:color w:val="ffffff"/>
                <w:sz w:val="20"/>
                <w:szCs w:val="20"/>
                <w:rtl w:val="0"/>
              </w:rPr>
              <w:t xml:space="preserve">Factor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52">
            <w:pPr>
              <w:jc w:val="center"/>
              <w:rPr>
                <w:sz w:val="20"/>
                <w:szCs w:val="20"/>
              </w:rPr>
            </w:pPr>
            <w:r w:rsidDel="00000000" w:rsidR="00000000" w:rsidRPr="00000000">
              <w:rPr>
                <w:b w:val="1"/>
                <w:bCs w:val="1"/>
                <w:color w:val="ffffff"/>
                <w:sz w:val="20"/>
                <w:szCs w:val="20"/>
                <w:rtl w:val="0"/>
              </w:rPr>
              <w:t xml:space="preserve">Pearson 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53">
            <w:pPr>
              <w:jc w:val="center"/>
              <w:rPr>
                <w:sz w:val="20"/>
                <w:szCs w:val="20"/>
              </w:rPr>
            </w:pPr>
            <w:r w:rsidDel="00000000" w:rsidR="00000000" w:rsidRPr="00000000">
              <w:rPr>
                <w:b w:val="1"/>
                <w:bCs w:val="1"/>
                <w:color w:val="ffffff"/>
                <w:sz w:val="20"/>
                <w:szCs w:val="20"/>
                <w:rtl w:val="0"/>
              </w:rPr>
              <w:t xml:space="preserve">GBM Imp.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54">
            <w:pPr>
              <w:jc w:val="center"/>
              <w:rPr>
                <w:sz w:val="20"/>
                <w:szCs w:val="20"/>
              </w:rPr>
            </w:pPr>
            <w:r w:rsidDel="00000000" w:rsidR="00000000" w:rsidRPr="00000000">
              <w:rPr>
                <w:b w:val="1"/>
                <w:bCs w:val="1"/>
                <w:color w:val="ffffff"/>
                <w:sz w:val="20"/>
                <w:szCs w:val="20"/>
                <w:rtl w:val="0"/>
              </w:rPr>
              <w:t xml:space="preserve">VIF</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55">
            <w:pPr>
              <w:jc w:val="center"/>
              <w:rPr>
                <w:sz w:val="20"/>
                <w:szCs w:val="20"/>
              </w:rPr>
            </w:pPr>
            <w:r w:rsidDel="00000000" w:rsidR="00000000" w:rsidRPr="00000000">
              <w:rPr>
                <w:b w:val="1"/>
                <w:bCs w:val="1"/>
                <w:color w:val="ffffff"/>
                <w:sz w:val="20"/>
                <w:szCs w:val="20"/>
                <w:rtl w:val="0"/>
              </w:rPr>
              <w:t xml:space="preserve">Key Insight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56">
            <w:pPr>
              <w:rPr>
                <w:sz w:val="20"/>
                <w:szCs w:val="20"/>
              </w:rPr>
            </w:pPr>
            <w:r w:rsidDel="00000000" w:rsidR="00000000" w:rsidRPr="00000000">
              <w:rPr>
                <w:sz w:val="20"/>
                <w:szCs w:val="20"/>
                <w:rtl w:val="0"/>
              </w:rPr>
              <w:t xml:space="preserve">footfall_composite</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57">
            <w:pPr>
              <w:rPr>
                <w:sz w:val="20"/>
                <w:szCs w:val="20"/>
              </w:rPr>
            </w:pPr>
            <w:r w:rsidDel="00000000" w:rsidR="00000000" w:rsidRPr="00000000">
              <w:rPr>
                <w:sz w:val="20"/>
                <w:szCs w:val="20"/>
                <w:rtl w:val="0"/>
              </w:rPr>
              <w:t xml:space="preserve">+0.322</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58">
            <w:pPr>
              <w:rPr>
                <w:sz w:val="20"/>
                <w:szCs w:val="20"/>
              </w:rPr>
            </w:pPr>
            <w:r w:rsidDel="00000000" w:rsidR="00000000" w:rsidRPr="00000000">
              <w:rPr>
                <w:sz w:val="20"/>
                <w:szCs w:val="20"/>
                <w:rtl w:val="0"/>
              </w:rPr>
              <w:t xml:space="preserve">29.7%</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59">
            <w:pPr>
              <w:rPr>
                <w:sz w:val="20"/>
                <w:szCs w:val="20"/>
              </w:rPr>
            </w:pPr>
            <w:r w:rsidDel="00000000" w:rsidR="00000000" w:rsidRPr="00000000">
              <w:rPr>
                <w:sz w:val="20"/>
                <w:szCs w:val="20"/>
                <w:rtl w:val="0"/>
              </w:rPr>
              <w:t xml:space="preserve">36.1 (PCA)</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5A">
            <w:pPr>
              <w:rPr>
                <w:sz w:val="20"/>
                <w:szCs w:val="20"/>
              </w:rPr>
            </w:pPr>
            <w:r w:rsidDel="00000000" w:rsidR="00000000" w:rsidRPr="00000000">
              <w:rPr>
                <w:sz w:val="20"/>
                <w:szCs w:val="20"/>
                <w:rtl w:val="0"/>
              </w:rPr>
              <w:t xml:space="preserve">#1 predictor of sessions/day — CDS revenue numerator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5B">
            <w:pPr>
              <w:rPr>
                <w:sz w:val="20"/>
                <w:szCs w:val="20"/>
              </w:rPr>
            </w:pPr>
            <w:r w:rsidDel="00000000" w:rsidR="00000000" w:rsidRPr="00000000">
              <w:rPr>
                <w:sz w:val="20"/>
                <w:szCs w:val="20"/>
                <w:rtl w:val="0"/>
              </w:rPr>
              <w:t xml:space="preserve">fast_charger_count</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5C">
            <w:pPr>
              <w:rPr>
                <w:sz w:val="20"/>
                <w:szCs w:val="20"/>
              </w:rPr>
            </w:pPr>
            <w:r w:rsidDel="00000000" w:rsidR="00000000" w:rsidRPr="00000000">
              <w:rPr>
                <w:sz w:val="20"/>
                <w:szCs w:val="20"/>
                <w:rtl w:val="0"/>
              </w:rPr>
              <w:t xml:space="preserve">+0.615</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5D">
            <w:pPr>
              <w:rPr>
                <w:sz w:val="20"/>
                <w:szCs w:val="20"/>
              </w:rPr>
            </w:pPr>
            <w:r w:rsidDel="00000000" w:rsidR="00000000" w:rsidRPr="00000000">
              <w:rPr>
                <w:sz w:val="20"/>
                <w:szCs w:val="20"/>
                <w:rtl w:val="0"/>
              </w:rPr>
              <w:t xml:space="preserve">19.8%</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5E">
            <w:pPr>
              <w:rPr>
                <w:sz w:val="20"/>
                <w:szCs w:val="20"/>
              </w:rPr>
            </w:pPr>
            <w:r w:rsidDel="00000000" w:rsidR="00000000" w:rsidRPr="00000000">
              <w:rPr>
                <w:sz w:val="20"/>
                <w:szCs w:val="20"/>
                <w:rtl w:val="0"/>
              </w:rPr>
              <w:t xml:space="preserve">4.40 (keep)</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5F">
            <w:pPr>
              <w:rPr>
                <w:sz w:val="20"/>
                <w:szCs w:val="20"/>
              </w:rPr>
            </w:pPr>
            <w:r w:rsidDel="00000000" w:rsidR="00000000" w:rsidRPr="00000000">
              <w:rPr>
                <w:sz w:val="20"/>
                <w:szCs w:val="20"/>
                <w:rtl w:val="0"/>
              </w:rPr>
              <w:t xml:space="preserve">First-mover advantage in unserved zones is quantifiable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0">
            <w:pPr>
              <w:rPr>
                <w:sz w:val="20"/>
                <w:szCs w:val="20"/>
              </w:rPr>
            </w:pPr>
            <w:r w:rsidDel="00000000" w:rsidR="00000000" w:rsidRPr="00000000">
              <w:rPr>
                <w:sz w:val="20"/>
                <w:szCs w:val="20"/>
                <w:rtl w:val="0"/>
              </w:rPr>
              <w:t xml:space="preserve">ev_growth_rate_yoy</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1">
            <w:pPr>
              <w:rPr>
                <w:sz w:val="20"/>
                <w:szCs w:val="20"/>
              </w:rPr>
            </w:pPr>
            <w:r w:rsidDel="00000000" w:rsidR="00000000" w:rsidRPr="00000000">
              <w:rPr>
                <w:sz w:val="20"/>
                <w:szCs w:val="20"/>
                <w:rtl w:val="0"/>
              </w:rPr>
              <w:t xml:space="preserve">+0.291</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2">
            <w:pPr>
              <w:rPr>
                <w:sz w:val="20"/>
                <w:szCs w:val="20"/>
              </w:rPr>
            </w:pPr>
            <w:r w:rsidDel="00000000" w:rsidR="00000000" w:rsidRPr="00000000">
              <w:rPr>
                <w:sz w:val="20"/>
                <w:szCs w:val="20"/>
                <w:rtl w:val="0"/>
              </w:rPr>
              <w:t xml:space="preserve">16.2%</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3">
            <w:pPr>
              <w:rPr>
                <w:sz w:val="20"/>
                <w:szCs w:val="20"/>
              </w:rPr>
            </w:pPr>
            <w:r w:rsidDel="00000000" w:rsidR="00000000" w:rsidRPr="00000000">
              <w:rPr>
                <w:sz w:val="20"/>
                <w:szCs w:val="20"/>
                <w:rtl w:val="0"/>
              </w:rPr>
              <w:t xml:space="preserve">31.3 (PCA)</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4">
            <w:pPr>
              <w:rPr>
                <w:sz w:val="20"/>
                <w:szCs w:val="20"/>
              </w:rPr>
            </w:pPr>
            <w:r w:rsidDel="00000000" w:rsidR="00000000" w:rsidRPr="00000000">
              <w:rPr>
                <w:sz w:val="20"/>
                <w:szCs w:val="20"/>
                <w:rtl w:val="0"/>
              </w:rPr>
              <w:t xml:space="preserve">Zones &gt;100% YoY = early-mover CAPEX targets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65">
            <w:pPr>
              <w:rPr>
                <w:sz w:val="20"/>
                <w:szCs w:val="20"/>
              </w:rPr>
            </w:pPr>
            <w:r w:rsidDel="00000000" w:rsidR="00000000" w:rsidRPr="00000000">
              <w:rPr>
                <w:sz w:val="20"/>
                <w:szCs w:val="20"/>
                <w:rtl w:val="0"/>
              </w:rPr>
              <w:t xml:space="preserve">poi_score</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66">
            <w:pPr>
              <w:rPr>
                <w:sz w:val="20"/>
                <w:szCs w:val="20"/>
              </w:rPr>
            </w:pPr>
            <w:r w:rsidDel="00000000" w:rsidR="00000000" w:rsidRPr="00000000">
              <w:rPr>
                <w:sz w:val="20"/>
                <w:szCs w:val="20"/>
                <w:rtl w:val="0"/>
              </w:rPr>
              <w:t xml:space="preserve">+0.592</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67">
            <w:pPr>
              <w:rPr>
                <w:sz w:val="20"/>
                <w:szCs w:val="20"/>
              </w:rPr>
            </w:pPr>
            <w:r w:rsidDel="00000000" w:rsidR="00000000" w:rsidRPr="00000000">
              <w:rPr>
                <w:sz w:val="20"/>
                <w:szCs w:val="20"/>
                <w:rtl w:val="0"/>
              </w:rPr>
              <w:t xml:space="preserve">9.6%</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68">
            <w:pPr>
              <w:rPr>
                <w:sz w:val="20"/>
                <w:szCs w:val="20"/>
              </w:rPr>
            </w:pPr>
            <w:r w:rsidDel="00000000" w:rsidR="00000000" w:rsidRPr="00000000">
              <w:rPr>
                <w:sz w:val="20"/>
                <w:szCs w:val="20"/>
                <w:rtl w:val="0"/>
              </w:rPr>
              <w:t xml:space="preserve">14.4 (PCA)</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69">
            <w:pPr>
              <w:rPr>
                <w:sz w:val="20"/>
                <w:szCs w:val="20"/>
              </w:rPr>
            </w:pPr>
            <w:r w:rsidDel="00000000" w:rsidR="00000000" w:rsidRPr="00000000">
              <w:rPr>
                <w:sz w:val="20"/>
                <w:szCs w:val="20"/>
                <w:rtl w:val="0"/>
              </w:rPr>
              <w:t xml:space="preserve">IT parks, hotels, malls — canonical CPO placement profile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A">
            <w:pPr>
              <w:rPr>
                <w:sz w:val="20"/>
                <w:szCs w:val="20"/>
              </w:rPr>
            </w:pPr>
            <w:r w:rsidDel="00000000" w:rsidR="00000000" w:rsidRPr="00000000">
              <w:rPr>
                <w:sz w:val="20"/>
                <w:szCs w:val="20"/>
                <w:rtl w:val="0"/>
              </w:rPr>
              <w:t xml:space="preserve">mall_count</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B">
            <w:pPr>
              <w:rPr>
                <w:sz w:val="20"/>
                <w:szCs w:val="20"/>
              </w:rPr>
            </w:pPr>
            <w:r w:rsidDel="00000000" w:rsidR="00000000" w:rsidRPr="00000000">
              <w:rPr>
                <w:sz w:val="20"/>
                <w:szCs w:val="20"/>
                <w:rtl w:val="0"/>
              </w:rPr>
              <w:t xml:space="preserve">+0.439</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C">
            <w:pPr>
              <w:rPr>
                <w:sz w:val="20"/>
                <w:szCs w:val="20"/>
              </w:rPr>
            </w:pPr>
            <w:r w:rsidDel="00000000" w:rsidR="00000000" w:rsidRPr="00000000">
              <w:rPr>
                <w:sz w:val="20"/>
                <w:szCs w:val="20"/>
                <w:rtl w:val="0"/>
              </w:rPr>
              <w:t xml:space="preserve">8.1%</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D">
            <w:pPr>
              <w:rPr>
                <w:sz w:val="20"/>
                <w:szCs w:val="20"/>
              </w:rPr>
            </w:pPr>
            <w:r w:rsidDel="00000000" w:rsidR="00000000" w:rsidRPr="00000000">
              <w:rPr>
                <w:sz w:val="20"/>
                <w:szCs w:val="20"/>
                <w:rtl w:val="0"/>
              </w:rPr>
              <w:t xml:space="preserve">2.96 (keep)</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6E">
            <w:pPr>
              <w:rPr>
                <w:sz w:val="20"/>
                <w:szCs w:val="20"/>
              </w:rPr>
            </w:pPr>
            <w:r w:rsidDel="00000000" w:rsidR="00000000" w:rsidRPr="00000000">
              <w:rPr>
                <w:sz w:val="20"/>
                <w:szCs w:val="20"/>
                <w:rtl w:val="0"/>
              </w:rPr>
              <w:t xml:space="preserve">Strongest independent signal; PowerPod sweet spot</w:t>
            </w:r>
          </w:p>
        </w:tc>
      </w:tr>
    </w:tbl>
    <w:p w:rsidR="00000000" w:rsidDel="00000000" w:rsidP="00000000" w:rsidRDefault="00000000" w:rsidRPr="00000000" w14:paraId="0000016F">
      <w:pPr>
        <w:spacing w:after="200" w:before="50" w:lineRule="auto"/>
        <w:jc w:val="center"/>
        <w:rPr>
          <w:i w:val="1"/>
          <w:iCs w:val="1"/>
        </w:rPr>
      </w:pPr>
      <w:r w:rsidDel="00000000" w:rsidR="00000000" w:rsidRPr="00000000">
        <w:rPr>
          <w:i w:val="1"/>
          <w:iCs w:val="1"/>
          <w:sz w:val="20"/>
          <w:szCs w:val="20"/>
          <w:rtl w:val="0"/>
        </w:rPr>
        <w:t xml:space="preserve">Table 5.2: Factor Verification — GBM Importance, Pearson r, and VIF</w:t>
      </w:r>
      <w:r w:rsidDel="00000000" w:rsidR="00000000" w:rsidRPr="00000000">
        <w:rPr>
          <w:rtl w:val="0"/>
        </w:rPr>
      </w:r>
    </w:p>
    <w:p w:rsidR="00000000" w:rsidDel="00000000" w:rsidP="00000000" w:rsidRDefault="00000000" w:rsidRPr="00000000" w14:paraId="00000170">
      <w:pPr>
        <w:pStyle w:val="Heading2"/>
        <w:rPr>
          <w:color w:val="000000"/>
          <w:sz w:val="28"/>
          <w:szCs w:val="28"/>
        </w:rPr>
      </w:pPr>
      <w:r w:rsidDel="00000000" w:rsidR="00000000" w:rsidRPr="00000000">
        <w:rPr>
          <w:b w:val="1"/>
          <w:bCs w:val="1"/>
          <w:color w:val="000000"/>
          <w:sz w:val="28"/>
          <w:szCs w:val="28"/>
          <w:rtl w:val="0"/>
        </w:rPr>
        <w:t xml:space="preserve">5.3 Zone Rankings &amp; Charging Desert Identification</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4"/>
        <w:gridCol w:w="928"/>
        <w:gridCol w:w="1045"/>
        <w:gridCol w:w="1045"/>
        <w:gridCol w:w="1184"/>
        <w:gridCol w:w="1103"/>
        <w:gridCol w:w="1851"/>
        <w:tblGridChange w:id="0">
          <w:tblGrid>
            <w:gridCol w:w="2204"/>
            <w:gridCol w:w="928"/>
            <w:gridCol w:w="1045"/>
            <w:gridCol w:w="1045"/>
            <w:gridCol w:w="1184"/>
            <w:gridCol w:w="1103"/>
            <w:gridCol w:w="1851"/>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72">
            <w:pPr>
              <w:jc w:val="center"/>
              <w:rPr>
                <w:sz w:val="20"/>
                <w:szCs w:val="20"/>
              </w:rPr>
            </w:pPr>
            <w:r w:rsidDel="00000000" w:rsidR="00000000" w:rsidRPr="00000000">
              <w:rPr>
                <w:b w:val="1"/>
                <w:bCs w:val="1"/>
                <w:color w:val="ffffff"/>
                <w:sz w:val="20"/>
                <w:szCs w:val="20"/>
                <w:rtl w:val="0"/>
              </w:rPr>
              <w:t xml:space="preserve">Zone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73">
            <w:pPr>
              <w:jc w:val="center"/>
              <w:rPr>
                <w:sz w:val="20"/>
                <w:szCs w:val="20"/>
              </w:rPr>
            </w:pPr>
            <w:r w:rsidDel="00000000" w:rsidR="00000000" w:rsidRPr="00000000">
              <w:rPr>
                <w:b w:val="1"/>
                <w:bCs w:val="1"/>
                <w:color w:val="ffffff"/>
                <w:sz w:val="20"/>
                <w:szCs w:val="20"/>
                <w:rtl w:val="0"/>
              </w:rPr>
              <w:t xml:space="preserve">CI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74">
            <w:pPr>
              <w:jc w:val="center"/>
              <w:rPr>
                <w:sz w:val="20"/>
                <w:szCs w:val="20"/>
              </w:rPr>
            </w:pPr>
            <w:r w:rsidDel="00000000" w:rsidR="00000000" w:rsidRPr="00000000">
              <w:rPr>
                <w:b w:val="1"/>
                <w:bCs w:val="1"/>
                <w:color w:val="ffffff"/>
                <w:sz w:val="20"/>
                <w:szCs w:val="20"/>
                <w:rtl w:val="0"/>
              </w:rPr>
              <w:t xml:space="preserve">EVs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75">
            <w:pPr>
              <w:jc w:val="center"/>
              <w:rPr>
                <w:sz w:val="20"/>
                <w:szCs w:val="20"/>
              </w:rPr>
            </w:pPr>
            <w:r w:rsidDel="00000000" w:rsidR="00000000" w:rsidRPr="00000000">
              <w:rPr>
                <w:b w:val="1"/>
                <w:bCs w:val="1"/>
                <w:color w:val="ffffff"/>
                <w:sz w:val="20"/>
                <w:szCs w:val="20"/>
                <w:rtl w:val="0"/>
              </w:rPr>
              <w:t xml:space="preserve">YoY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76">
            <w:pPr>
              <w:jc w:val="center"/>
              <w:rPr>
                <w:sz w:val="20"/>
                <w:szCs w:val="20"/>
              </w:rPr>
            </w:pPr>
            <w:r w:rsidDel="00000000" w:rsidR="00000000" w:rsidRPr="00000000">
              <w:rPr>
                <w:b w:val="1"/>
                <w:bCs w:val="1"/>
                <w:color w:val="ffffff"/>
                <w:sz w:val="20"/>
                <w:szCs w:val="20"/>
                <w:rtl w:val="0"/>
              </w:rPr>
              <w:t xml:space="preserve">Fast Chargers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77">
            <w:pPr>
              <w:jc w:val="center"/>
              <w:rPr>
                <w:sz w:val="20"/>
                <w:szCs w:val="20"/>
              </w:rPr>
            </w:pPr>
            <w:r w:rsidDel="00000000" w:rsidR="00000000" w:rsidRPr="00000000">
              <w:rPr>
                <w:b w:val="1"/>
                <w:bCs w:val="1"/>
                <w:color w:val="ffffff"/>
                <w:sz w:val="20"/>
                <w:szCs w:val="20"/>
                <w:rtl w:val="0"/>
              </w:rPr>
              <w:t xml:space="preserve">Desert?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78">
            <w:pPr>
              <w:jc w:val="center"/>
              <w:rPr>
                <w:sz w:val="20"/>
                <w:szCs w:val="20"/>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79">
            <w:pPr>
              <w:rPr>
                <w:sz w:val="20"/>
                <w:szCs w:val="20"/>
              </w:rPr>
            </w:pPr>
            <w:r w:rsidDel="00000000" w:rsidR="00000000" w:rsidRPr="00000000">
              <w:rPr>
                <w:sz w:val="20"/>
                <w:szCs w:val="20"/>
                <w:rtl w:val="0"/>
              </w:rPr>
              <w:t xml:space="preserve">HSR Layout Sector 1</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7A">
            <w:pPr>
              <w:rPr>
                <w:sz w:val="20"/>
                <w:szCs w:val="20"/>
              </w:rPr>
            </w:pPr>
            <w:r w:rsidDel="00000000" w:rsidR="00000000" w:rsidRPr="00000000">
              <w:rPr>
                <w:sz w:val="20"/>
                <w:szCs w:val="20"/>
                <w:rtl w:val="0"/>
              </w:rPr>
              <w:t xml:space="preserve">100.0</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7B">
            <w:pPr>
              <w:rPr>
                <w:sz w:val="20"/>
                <w:szCs w:val="20"/>
              </w:rPr>
            </w:pPr>
            <w:r w:rsidDel="00000000" w:rsidR="00000000" w:rsidRPr="00000000">
              <w:rPr>
                <w:sz w:val="20"/>
                <w:szCs w:val="20"/>
                <w:rtl w:val="0"/>
              </w:rPr>
              <w:t xml:space="preserve">2,207</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7C">
            <w:pPr>
              <w:rPr>
                <w:sz w:val="20"/>
                <w:szCs w:val="20"/>
              </w:rPr>
            </w:pPr>
            <w:r w:rsidDel="00000000" w:rsidR="00000000" w:rsidRPr="00000000">
              <w:rPr>
                <w:sz w:val="20"/>
                <w:szCs w:val="20"/>
                <w:rtl w:val="0"/>
              </w:rPr>
              <w:t xml:space="preserve">124.2%</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7D">
            <w:pPr>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7E">
            <w:pPr>
              <w:rPr>
                <w:sz w:val="20"/>
                <w:szCs w:val="20"/>
              </w:rPr>
            </w:pPr>
            <w:r w:rsidDel="00000000" w:rsidR="00000000" w:rsidRPr="00000000">
              <w:rPr>
                <w:b w:val="1"/>
                <w:bCs w:val="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7F">
            <w:pPr>
              <w:rPr>
                <w:sz w:val="20"/>
                <w:szCs w:val="20"/>
              </w:rPr>
            </w:pPr>
            <w:r w:rsidDel="00000000" w:rsidR="00000000" w:rsidRPr="00000000">
              <w:rPr>
                <w:sz w:val="20"/>
                <w:szCs w:val="20"/>
                <w:rtl w:val="0"/>
              </w:rPr>
              <w:t xml:space="preserve">CaaS now; CPO CAPEX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0">
            <w:pPr>
              <w:rPr>
                <w:sz w:val="20"/>
                <w:szCs w:val="20"/>
              </w:rPr>
            </w:pPr>
            <w:r w:rsidDel="00000000" w:rsidR="00000000" w:rsidRPr="00000000">
              <w:rPr>
                <w:sz w:val="20"/>
                <w:szCs w:val="20"/>
                <w:rtl w:val="0"/>
              </w:rPr>
              <w:t xml:space="preserve">Koramangala 5th Block</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1">
            <w:pPr>
              <w:rPr>
                <w:sz w:val="20"/>
                <w:szCs w:val="20"/>
              </w:rPr>
            </w:pPr>
            <w:r w:rsidDel="00000000" w:rsidR="00000000" w:rsidRPr="00000000">
              <w:rPr>
                <w:sz w:val="20"/>
                <w:szCs w:val="20"/>
                <w:rtl w:val="0"/>
              </w:rPr>
              <w:t xml:space="preserve">29.7</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2">
            <w:pPr>
              <w:rPr>
                <w:sz w:val="20"/>
                <w:szCs w:val="20"/>
              </w:rPr>
            </w:pPr>
            <w:r w:rsidDel="00000000" w:rsidR="00000000" w:rsidRPr="00000000">
              <w:rPr>
                <w:sz w:val="20"/>
                <w:szCs w:val="20"/>
                <w:rtl w:val="0"/>
              </w:rPr>
              <w:t xml:space="preserve">2,339</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3">
            <w:pPr>
              <w:rPr>
                <w:sz w:val="20"/>
                <w:szCs w:val="20"/>
              </w:rPr>
            </w:pPr>
            <w:r w:rsidDel="00000000" w:rsidR="00000000" w:rsidRPr="00000000">
              <w:rPr>
                <w:sz w:val="20"/>
                <w:szCs w:val="20"/>
                <w:rtl w:val="0"/>
              </w:rPr>
              <w:t xml:space="preserve">124.7%</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4">
            <w:pP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5">
            <w:pPr>
              <w:rPr>
                <w:sz w:val="20"/>
                <w:szCs w:val="20"/>
              </w:rPr>
            </w:pPr>
            <w:r w:rsidDel="00000000" w:rsidR="00000000" w:rsidRPr="00000000">
              <w:rPr>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6">
            <w:pPr>
              <w:rPr>
                <w:sz w:val="20"/>
                <w:szCs w:val="20"/>
              </w:rPr>
            </w:pPr>
            <w:r w:rsidDel="00000000" w:rsidR="00000000" w:rsidRPr="00000000">
              <w:rPr>
                <w:sz w:val="20"/>
                <w:szCs w:val="20"/>
                <w:rtl w:val="0"/>
              </w:rPr>
              <w:t xml:space="preserve">Scale supply; CAPEX Tier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87">
            <w:pPr>
              <w:rPr/>
            </w:pPr>
            <w:r w:rsidDel="00000000" w:rsidR="00000000" w:rsidRPr="00000000">
              <w:rPr>
                <w:rFonts w:ascii="Arial" w:cs="Arial" w:eastAsia="Arial" w:hAnsi="Arial"/>
                <w:sz w:val="19"/>
                <w:szCs w:val="19"/>
                <w:rtl w:val="0"/>
              </w:rPr>
              <w:t xml:space="preserve">Rajajinagar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88">
            <w:pPr>
              <w:rPr/>
            </w:pPr>
            <w:r w:rsidDel="00000000" w:rsidR="00000000" w:rsidRPr="00000000">
              <w:rPr>
                <w:rFonts w:ascii="Arial" w:cs="Arial" w:eastAsia="Arial" w:hAnsi="Arial"/>
                <w:sz w:val="19"/>
                <w:szCs w:val="19"/>
                <w:rtl w:val="0"/>
              </w:rPr>
              <w:t xml:space="preserve">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89">
            <w:pPr>
              <w:rPr/>
            </w:pPr>
            <w:r w:rsidDel="00000000" w:rsidR="00000000" w:rsidRPr="00000000">
              <w:rPr>
                <w:rFonts w:ascii="Arial" w:cs="Arial" w:eastAsia="Arial" w:hAnsi="Arial"/>
                <w:sz w:val="19"/>
                <w:szCs w:val="19"/>
                <w:rtl w:val="0"/>
              </w:rPr>
              <w:t xml:space="preserve">1,555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8A">
            <w:pPr>
              <w:rPr/>
            </w:pPr>
            <w:r w:rsidDel="00000000" w:rsidR="00000000" w:rsidRPr="00000000">
              <w:rPr>
                <w:rFonts w:ascii="Arial" w:cs="Arial" w:eastAsia="Arial" w:hAnsi="Arial"/>
                <w:sz w:val="19"/>
                <w:szCs w:val="19"/>
                <w:rtl w:val="0"/>
              </w:rPr>
              <w:t xml:space="preserve">136.7%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8B">
            <w:pP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8C">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8D">
            <w:pPr>
              <w:rPr/>
            </w:pPr>
            <w:r w:rsidDel="00000000" w:rsidR="00000000" w:rsidRPr="00000000">
              <w:rPr>
                <w:rFonts w:ascii="Arial" w:cs="Arial" w:eastAsia="Arial" w:hAnsi="Arial"/>
                <w:sz w:val="19"/>
                <w:szCs w:val="19"/>
                <w:rtl w:val="0"/>
              </w:rPr>
              <w:t xml:space="preserve">Early-mover before saturation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E">
            <w:pPr>
              <w:rPr/>
            </w:pPr>
            <w:r w:rsidDel="00000000" w:rsidR="00000000" w:rsidRPr="00000000">
              <w:rPr>
                <w:rFonts w:ascii="Arial" w:cs="Arial" w:eastAsia="Arial" w:hAnsi="Arial"/>
                <w:sz w:val="19"/>
                <w:szCs w:val="19"/>
                <w:rtl w:val="0"/>
              </w:rPr>
              <w:t xml:space="preserve">Whitefield ITPL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8F">
            <w:pPr>
              <w:rPr/>
            </w:pPr>
            <w:r w:rsidDel="00000000" w:rsidR="00000000" w:rsidRPr="00000000">
              <w:rPr>
                <w:rFonts w:ascii="Arial" w:cs="Arial" w:eastAsia="Arial" w:hAnsi="Arial"/>
                <w:sz w:val="19"/>
                <w:szCs w:val="19"/>
                <w:rtl w:val="0"/>
              </w:rPr>
              <w:t xml:space="preserve">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9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91">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92">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9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94">
            <w:pPr>
              <w:rPr/>
            </w:pPr>
            <w:r w:rsidDel="00000000" w:rsidR="00000000" w:rsidRPr="00000000">
              <w:rPr>
                <w:rFonts w:ascii="Arial" w:cs="Arial" w:eastAsia="Arial" w:hAnsi="Arial"/>
                <w:sz w:val="19"/>
                <w:szCs w:val="19"/>
                <w:rtl w:val="0"/>
              </w:rPr>
              <w:t xml:space="preserve">Highest revenue/unit/day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95">
            <w:pPr>
              <w:rPr/>
            </w:pPr>
            <w:r w:rsidDel="00000000" w:rsidR="00000000" w:rsidRPr="00000000">
              <w:rPr>
                <w:rFonts w:ascii="Arial" w:cs="Arial" w:eastAsia="Arial" w:hAnsi="Arial"/>
                <w:sz w:val="19"/>
                <w:szCs w:val="19"/>
                <w:rtl w:val="0"/>
              </w:rPr>
              <w:t xml:space="preserve">Electronic City Ph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96">
            <w:pPr>
              <w:rPr/>
            </w:pPr>
            <w:r w:rsidDel="00000000" w:rsidR="00000000" w:rsidRPr="00000000">
              <w:rPr>
                <w:rFonts w:ascii="Arial" w:cs="Arial" w:eastAsia="Arial" w:hAnsi="Arial"/>
                <w:sz w:val="19"/>
                <w:szCs w:val="19"/>
                <w:rtl w:val="0"/>
              </w:rPr>
              <w:t xml:space="preserve">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9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9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99">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9A">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9B">
            <w:pPr>
              <w:rPr/>
            </w:pPr>
            <w:r w:rsidDel="00000000" w:rsidR="00000000" w:rsidRPr="00000000">
              <w:rPr>
                <w:rFonts w:ascii="Arial" w:cs="Arial" w:eastAsia="Arial" w:hAnsi="Arial"/>
                <w:sz w:val="19"/>
                <w:szCs w:val="19"/>
                <w:rtl w:val="0"/>
              </w:rPr>
              <w:t xml:space="preserve">Best ROI; lowest land cost</w:t>
            </w:r>
            <w:r w:rsidDel="00000000" w:rsidR="00000000" w:rsidRPr="00000000">
              <w:rPr>
                <w:rtl w:val="0"/>
              </w:rPr>
            </w:r>
          </w:p>
        </w:tc>
      </w:tr>
    </w:tbl>
    <w:p w:rsidR="00000000" w:rsidDel="00000000" w:rsidP="00000000" w:rsidRDefault="00000000" w:rsidRPr="00000000" w14:paraId="0000019C">
      <w:pPr>
        <w:spacing w:after="200" w:before="50" w:lineRule="auto"/>
        <w:jc w:val="center"/>
        <w:rPr>
          <w:i w:val="1"/>
          <w:iCs w:val="1"/>
          <w:sz w:val="20"/>
          <w:szCs w:val="20"/>
        </w:rPr>
      </w:pPr>
      <w:r w:rsidDel="00000000" w:rsidR="00000000" w:rsidRPr="00000000">
        <w:rPr>
          <w:i w:val="1"/>
          <w:iCs w:val="1"/>
          <w:sz w:val="20"/>
          <w:szCs w:val="20"/>
          <w:rtl w:val="0"/>
        </w:rPr>
        <w:t xml:space="preserve">Table 5.3: Top-5 Zone Rankings — CI Score, EV Metrics, and Recommended Actions</w:t>
      </w:r>
    </w:p>
    <w:p w:rsidR="00000000" w:rsidDel="00000000" w:rsidP="00000000" w:rsidRDefault="00000000" w:rsidRPr="00000000" w14:paraId="0000019D">
      <w:pPr>
        <w:spacing w:after="160" w:lineRule="auto"/>
        <w:jc w:val="both"/>
        <w:rPr>
          <w:sz w:val="28"/>
          <w:szCs w:val="28"/>
        </w:rPr>
      </w:pPr>
      <w:r w:rsidDel="00000000" w:rsidR="00000000" w:rsidRPr="00000000">
        <w:rPr>
          <w:rtl w:val="0"/>
        </w:rPr>
        <w:t xml:space="preserve">HSR Layout's CI of 100 reflects the worst-case supply-demand combination: 2,207 EVs, 124.2% YoY growth, zero fast chargers. Koramangala and Rajajinagar have partial supply but growth trajectories that will exhaust it within the forecast window — making them the highest-priority early-mover CAPEX targets.</w:t>
      </w:r>
      <w:r w:rsidDel="00000000" w:rsidR="00000000" w:rsidRPr="00000000">
        <w:rPr>
          <w:rtl w:val="0"/>
        </w:rPr>
      </w:r>
    </w:p>
    <w:p w:rsidR="00000000" w:rsidDel="00000000" w:rsidP="00000000" w:rsidRDefault="00000000" w:rsidRPr="00000000" w14:paraId="0000019E">
      <w:pPr>
        <w:pStyle w:val="Heading1"/>
        <w:rPr>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889000</wp:posOffset>
            </wp:positionH>
            <wp:positionV relativeFrom="paragraph">
              <wp:posOffset>167005</wp:posOffset>
            </wp:positionV>
            <wp:extent cx="4216400" cy="2782570"/>
            <wp:effectExtent b="0" l="0" r="0" t="0"/>
            <wp:wrapNone/>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216400" cy="2782570"/>
                    </a:xfrm>
                    <a:prstGeom prst="rect"/>
                    <a:ln/>
                  </pic:spPr>
                </pic:pic>
              </a:graphicData>
            </a:graphic>
          </wp:anchor>
        </w:drawing>
      </w:r>
    </w:p>
    <w:p w:rsidR="00000000" w:rsidDel="00000000" w:rsidP="00000000" w:rsidRDefault="00000000" w:rsidRPr="00000000" w14:paraId="0000019F">
      <w:pPr>
        <w:pStyle w:val="Heading1"/>
        <w:rPr>
          <w:color w:val="000000"/>
          <w:sz w:val="28"/>
          <w:szCs w:val="28"/>
        </w:rPr>
      </w:pPr>
      <w:r w:rsidDel="00000000" w:rsidR="00000000" w:rsidRPr="00000000">
        <w:rPr>
          <w:rtl w:val="0"/>
        </w:rPr>
      </w:r>
    </w:p>
    <w:p w:rsidR="00000000" w:rsidDel="00000000" w:rsidP="00000000" w:rsidRDefault="00000000" w:rsidRPr="00000000" w14:paraId="000001A0">
      <w:pPr>
        <w:pStyle w:val="Heading1"/>
        <w:rPr>
          <w:color w:val="000000"/>
          <w:sz w:val="28"/>
          <w:szCs w:val="28"/>
        </w:rPr>
      </w:pPr>
      <w:r w:rsidDel="00000000" w:rsidR="00000000" w:rsidRPr="00000000">
        <w:rPr>
          <w:rtl w:val="0"/>
        </w:rPr>
      </w:r>
    </w:p>
    <w:p w:rsidR="00000000" w:rsidDel="00000000" w:rsidP="00000000" w:rsidRDefault="00000000" w:rsidRPr="00000000" w14:paraId="000001A1">
      <w:pPr>
        <w:pStyle w:val="Heading1"/>
        <w:rPr>
          <w:color w:val="000000"/>
          <w:sz w:val="28"/>
          <w:szCs w:val="28"/>
        </w:rPr>
      </w:pPr>
      <w:r w:rsidDel="00000000" w:rsidR="00000000" w:rsidRPr="00000000">
        <w:rPr>
          <w:rtl w:val="0"/>
        </w:rPr>
      </w:r>
    </w:p>
    <w:p w:rsidR="00000000" w:rsidDel="00000000" w:rsidP="00000000" w:rsidRDefault="00000000" w:rsidRPr="00000000" w14:paraId="000001A2">
      <w:pPr>
        <w:pStyle w:val="Heading1"/>
        <w:rPr>
          <w:color w:val="000000"/>
          <w:sz w:val="28"/>
          <w:szCs w:val="28"/>
        </w:rPr>
      </w:pPr>
      <w:r w:rsidDel="00000000" w:rsidR="00000000" w:rsidRPr="00000000">
        <w:rPr>
          <w:rtl w:val="0"/>
        </w:rPr>
      </w:r>
    </w:p>
    <w:p w:rsidR="00000000" w:rsidDel="00000000" w:rsidP="00000000" w:rsidRDefault="00000000" w:rsidRPr="00000000" w14:paraId="000001A3">
      <w:pPr>
        <w:pStyle w:val="Heading1"/>
        <w:rPr>
          <w:color w:val="000000"/>
          <w:sz w:val="28"/>
          <w:szCs w:val="28"/>
        </w:rPr>
      </w:pPr>
      <w:r w:rsidDel="00000000" w:rsidR="00000000" w:rsidRPr="00000000">
        <w:rPr>
          <w:rtl w:val="0"/>
        </w:rPr>
      </w:r>
    </w:p>
    <w:p w:rsidR="00000000" w:rsidDel="00000000" w:rsidP="00000000" w:rsidRDefault="00000000" w:rsidRPr="00000000" w14:paraId="000001A4">
      <w:pPr>
        <w:pStyle w:val="Heading1"/>
        <w:rPr>
          <w:color w:val="000000"/>
          <w:sz w:val="28"/>
          <w:szCs w:val="28"/>
        </w:rPr>
      </w:pP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color w:val="000000"/>
          <w:sz w:val="28"/>
          <w:szCs w:val="28"/>
          <w:rtl w:val="0"/>
        </w:rPr>
        <w:t xml:space="preserve">5.4 Unit Economics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1"/>
        <w:gridCol w:w="1321"/>
        <w:gridCol w:w="1142"/>
        <w:gridCol w:w="1262"/>
        <w:gridCol w:w="1354"/>
        <w:gridCol w:w="1830"/>
        <w:tblGridChange w:id="0">
          <w:tblGrid>
            <w:gridCol w:w="2451"/>
            <w:gridCol w:w="1321"/>
            <w:gridCol w:w="1142"/>
            <w:gridCol w:w="1262"/>
            <w:gridCol w:w="1354"/>
            <w:gridCol w:w="183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A6">
            <w:pPr>
              <w:jc w:val="center"/>
              <w:rPr>
                <w:sz w:val="20"/>
                <w:szCs w:val="20"/>
              </w:rPr>
            </w:pPr>
            <w:r w:rsidDel="00000000" w:rsidR="00000000" w:rsidRPr="00000000">
              <w:rPr>
                <w:b w:val="1"/>
                <w:bCs w:val="1"/>
                <w:color w:val="ffffff"/>
                <w:sz w:val="20"/>
                <w:szCs w:val="20"/>
                <w:rtl w:val="0"/>
              </w:rPr>
              <w:t xml:space="preserve">Zone Type (CI Tier)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A7">
            <w:pPr>
              <w:jc w:val="center"/>
              <w:rPr>
                <w:sz w:val="20"/>
                <w:szCs w:val="20"/>
              </w:rPr>
            </w:pPr>
            <w:r w:rsidDel="00000000" w:rsidR="00000000" w:rsidRPr="00000000">
              <w:rPr>
                <w:b w:val="1"/>
                <w:bCs w:val="1"/>
                <w:color w:val="ffffff"/>
                <w:sz w:val="20"/>
                <w:szCs w:val="20"/>
                <w:rtl w:val="0"/>
              </w:rPr>
              <w:t xml:space="preserve">Sessions/Day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A8">
            <w:pPr>
              <w:jc w:val="center"/>
              <w:rPr>
                <w:sz w:val="20"/>
                <w:szCs w:val="20"/>
              </w:rPr>
            </w:pPr>
            <w:r w:rsidDel="00000000" w:rsidR="00000000" w:rsidRPr="00000000">
              <w:rPr>
                <w:b w:val="1"/>
                <w:bCs w:val="1"/>
                <w:color w:val="ffffff"/>
                <w:sz w:val="20"/>
                <w:szCs w:val="20"/>
                <w:rtl w:val="0"/>
              </w:rPr>
              <w:t xml:space="preserve">Daily Rev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A9">
            <w:pPr>
              <w:jc w:val="center"/>
              <w:rPr>
                <w:sz w:val="20"/>
                <w:szCs w:val="20"/>
              </w:rPr>
            </w:pPr>
            <w:r w:rsidDel="00000000" w:rsidR="00000000" w:rsidRPr="00000000">
              <w:rPr>
                <w:b w:val="1"/>
                <w:bCs w:val="1"/>
                <w:color w:val="ffffff"/>
                <w:sz w:val="20"/>
                <w:szCs w:val="20"/>
                <w:rtl w:val="0"/>
              </w:rPr>
              <w:t xml:space="preserve">Monthly Rev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AA">
            <w:pPr>
              <w:jc w:val="center"/>
              <w:rPr>
                <w:sz w:val="20"/>
                <w:szCs w:val="20"/>
              </w:rPr>
            </w:pPr>
            <w:r w:rsidDel="00000000" w:rsidR="00000000" w:rsidRPr="00000000">
              <w:rPr>
                <w:b w:val="1"/>
                <w:bCs w:val="1"/>
                <w:color w:val="ffffff"/>
                <w:sz w:val="20"/>
                <w:szCs w:val="20"/>
                <w:rtl w:val="0"/>
              </w:rPr>
              <w:t xml:space="preserve">Payback (months)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AB">
            <w:pPr>
              <w:jc w:val="center"/>
              <w:rPr>
                <w:sz w:val="20"/>
                <w:szCs w:val="20"/>
              </w:rPr>
            </w:pPr>
            <w:r w:rsidDel="00000000" w:rsidR="00000000" w:rsidRPr="00000000">
              <w:rPr>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AC">
            <w:pPr>
              <w:rPr>
                <w:sz w:val="20"/>
                <w:szCs w:val="20"/>
              </w:rPr>
            </w:pPr>
            <w:r w:rsidDel="00000000" w:rsidR="00000000" w:rsidRPr="00000000">
              <w:rPr>
                <w:sz w:val="20"/>
                <w:szCs w:val="20"/>
                <w:rtl w:val="0"/>
              </w:rPr>
              <w:t xml:space="preserve">Tier 1 — IT Park (Whitefield ITPL)</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AD">
            <w:pPr>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AE">
            <w:pPr>
              <w:rPr>
                <w:sz w:val="20"/>
                <w:szCs w:val="20"/>
              </w:rPr>
            </w:pPr>
            <w:r w:rsidDel="00000000" w:rsidR="00000000" w:rsidRPr="00000000">
              <w:rPr>
                <w:sz w:val="20"/>
                <w:szCs w:val="20"/>
                <w:rtl w:val="0"/>
              </w:rPr>
              <w:t xml:space="preserve">9,000</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AF">
            <w:pPr>
              <w:rPr>
                <w:sz w:val="20"/>
                <w:szCs w:val="20"/>
              </w:rPr>
            </w:pPr>
            <w:r w:rsidDel="00000000" w:rsidR="00000000" w:rsidRPr="00000000">
              <w:rPr>
                <w:sz w:val="20"/>
                <w:szCs w:val="20"/>
                <w:rtl w:val="0"/>
              </w:rPr>
              <w:t xml:space="preserve">2,70,000</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0">
            <w:pPr>
              <w:rPr>
                <w:sz w:val="20"/>
                <w:szCs w:val="20"/>
              </w:rPr>
            </w:pPr>
            <w:r w:rsidDel="00000000" w:rsidR="00000000" w:rsidRPr="00000000">
              <w:rPr>
                <w:sz w:val="20"/>
                <w:szCs w:val="20"/>
                <w:rtl w:val="0"/>
              </w:rPr>
              <w:t xml:space="preserve">7.4</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1">
            <w:pPr>
              <w:rPr>
                <w:sz w:val="20"/>
                <w:szCs w:val="20"/>
              </w:rPr>
            </w:pPr>
            <w:r w:rsidDel="00000000" w:rsidR="00000000" w:rsidRPr="00000000">
              <w:rPr>
                <w:sz w:val="20"/>
                <w:szCs w:val="20"/>
                <w:rtl w:val="0"/>
              </w:rPr>
              <w:t xml:space="preserve">Deploy immediately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2">
            <w:pPr>
              <w:rPr>
                <w:sz w:val="20"/>
                <w:szCs w:val="20"/>
              </w:rPr>
            </w:pPr>
            <w:r w:rsidDel="00000000" w:rsidR="00000000" w:rsidRPr="00000000">
              <w:rPr>
                <w:sz w:val="20"/>
                <w:szCs w:val="20"/>
                <w:rtl w:val="0"/>
              </w:rPr>
              <w:t xml:space="preserve">Tier 2 — Mall / Commercial Hub</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3">
            <w:pP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4">
            <w:pPr>
              <w:rPr>
                <w:sz w:val="20"/>
                <w:szCs w:val="20"/>
              </w:rPr>
            </w:pPr>
            <w:r w:rsidDel="00000000" w:rsidR="00000000" w:rsidRPr="00000000">
              <w:rPr>
                <w:sz w:val="20"/>
                <w:szCs w:val="20"/>
                <w:rtl w:val="0"/>
              </w:rPr>
              <w:t xml:space="preserve">6,000</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5">
            <w:pPr>
              <w:rPr>
                <w:sz w:val="20"/>
                <w:szCs w:val="20"/>
              </w:rPr>
            </w:pPr>
            <w:r w:rsidDel="00000000" w:rsidR="00000000" w:rsidRPr="00000000">
              <w:rPr>
                <w:sz w:val="20"/>
                <w:szCs w:val="20"/>
                <w:rtl w:val="0"/>
              </w:rPr>
              <w:t xml:space="preserve">1,80,000</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6">
            <w:pPr>
              <w:rPr>
                <w:sz w:val="20"/>
                <w:szCs w:val="20"/>
              </w:rPr>
            </w:pPr>
            <w:r w:rsidDel="00000000" w:rsidR="00000000" w:rsidRPr="00000000">
              <w:rPr>
                <w:sz w:val="20"/>
                <w:szCs w:val="20"/>
                <w:rtl w:val="0"/>
              </w:rPr>
              <w:t xml:space="preserve">11.1</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7">
            <w:pPr>
              <w:rPr>
                <w:sz w:val="20"/>
                <w:szCs w:val="20"/>
              </w:rPr>
            </w:pPr>
            <w:r w:rsidDel="00000000" w:rsidR="00000000" w:rsidRPr="00000000">
              <w:rPr>
                <w:sz w:val="20"/>
                <w:szCs w:val="20"/>
                <w:rtl w:val="0"/>
              </w:rPr>
              <w:t xml:space="preserve">Strong commercial case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8">
            <w:pPr>
              <w:rPr>
                <w:sz w:val="20"/>
                <w:szCs w:val="20"/>
              </w:rPr>
            </w:pPr>
            <w:r w:rsidDel="00000000" w:rsidR="00000000" w:rsidRPr="00000000">
              <w:rPr>
                <w:sz w:val="20"/>
                <w:szCs w:val="20"/>
                <w:rtl w:val="0"/>
              </w:rPr>
              <w:t xml:space="preserve">Tier 3 — Mixed Commercial-Res.</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9">
            <w:pP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A">
            <w:pPr>
              <w:rPr>
                <w:sz w:val="20"/>
                <w:szCs w:val="20"/>
              </w:rPr>
            </w:pPr>
            <w:r w:rsidDel="00000000" w:rsidR="00000000" w:rsidRPr="00000000">
              <w:rPr>
                <w:sz w:val="20"/>
                <w:szCs w:val="20"/>
                <w:rtl w:val="0"/>
              </w:rPr>
              <w:t xml:space="preserve">4,200</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B">
            <w:pPr>
              <w:rPr>
                <w:sz w:val="20"/>
                <w:szCs w:val="20"/>
              </w:rPr>
            </w:pPr>
            <w:r w:rsidDel="00000000" w:rsidR="00000000" w:rsidRPr="00000000">
              <w:rPr>
                <w:sz w:val="20"/>
                <w:szCs w:val="20"/>
                <w:rtl w:val="0"/>
              </w:rPr>
              <w:t xml:space="preserve">1,26,000</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C">
            <w:pPr>
              <w:rPr>
                <w:sz w:val="20"/>
                <w:szCs w:val="20"/>
              </w:rPr>
            </w:pPr>
            <w:r w:rsidDel="00000000" w:rsidR="00000000" w:rsidRPr="00000000">
              <w:rPr>
                <w:sz w:val="20"/>
                <w:szCs w:val="20"/>
                <w:rtl w:val="0"/>
              </w:rPr>
              <w:t xml:space="preserve">15.9</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vAlign w:val="center"/>
          </w:tcPr>
          <w:p w:rsidR="00000000" w:rsidDel="00000000" w:rsidP="00000000" w:rsidRDefault="00000000" w:rsidRPr="00000000" w14:paraId="000001BD">
            <w:pPr>
              <w:rPr>
                <w:sz w:val="20"/>
                <w:szCs w:val="20"/>
              </w:rPr>
            </w:pPr>
            <w:r w:rsidDel="00000000" w:rsidR="00000000" w:rsidRPr="00000000">
              <w:rPr>
                <w:sz w:val="20"/>
                <w:szCs w:val="20"/>
                <w:rtl w:val="0"/>
              </w:rPr>
              <w:t xml:space="preserve">Medium-term viable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E">
            <w:pPr>
              <w:rPr>
                <w:sz w:val="20"/>
                <w:szCs w:val="20"/>
              </w:rPr>
            </w:pPr>
            <w:r w:rsidDel="00000000" w:rsidR="00000000" w:rsidRPr="00000000">
              <w:rPr>
                <w:sz w:val="20"/>
                <w:szCs w:val="20"/>
                <w:rtl w:val="0"/>
              </w:rPr>
              <w:t xml:space="preserve">Tier 4 — Residential / Low Demand</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BF">
            <w:pPr>
              <w:rPr>
                <w:sz w:val="20"/>
                <w:szCs w:val="20"/>
              </w:rPr>
            </w:pPr>
            <w:r w:rsidDel="00000000" w:rsidR="00000000" w:rsidRPr="00000000">
              <w:rPr>
                <w:sz w:val="20"/>
                <w:szCs w:val="20"/>
                <w:rtl w:val="0"/>
              </w:rPr>
              <w:t xml:space="preserve">2–3</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C0">
            <w:pPr>
              <w:rPr>
                <w:sz w:val="20"/>
                <w:szCs w:val="20"/>
              </w:rPr>
            </w:pPr>
            <w:r w:rsidDel="00000000" w:rsidR="00000000" w:rsidRPr="00000000">
              <w:rPr>
                <w:sz w:val="20"/>
                <w:szCs w:val="20"/>
                <w:rtl w:val="0"/>
              </w:rPr>
              <w:t xml:space="preserve">1,500</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C1">
            <w:pPr>
              <w:rPr>
                <w:sz w:val="20"/>
                <w:szCs w:val="20"/>
              </w:rPr>
            </w:pPr>
            <w:r w:rsidDel="00000000" w:rsidR="00000000" w:rsidRPr="00000000">
              <w:rPr>
                <w:sz w:val="20"/>
                <w:szCs w:val="20"/>
                <w:rtl w:val="0"/>
              </w:rPr>
              <w:t xml:space="preserve">45,000</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C2">
            <w:pPr>
              <w:rPr>
                <w:sz w:val="20"/>
                <w:szCs w:val="20"/>
              </w:rPr>
            </w:pPr>
            <w:r w:rsidDel="00000000" w:rsidR="00000000" w:rsidRPr="00000000">
              <w:rPr>
                <w:sz w:val="20"/>
                <w:szCs w:val="20"/>
                <w:rtl w:val="0"/>
              </w:rPr>
              <w:t xml:space="preserve">28+</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vAlign w:val="center"/>
          </w:tcPr>
          <w:p w:rsidR="00000000" w:rsidDel="00000000" w:rsidP="00000000" w:rsidRDefault="00000000" w:rsidRPr="00000000" w14:paraId="000001C3">
            <w:pPr>
              <w:rPr>
                <w:sz w:val="20"/>
                <w:szCs w:val="20"/>
              </w:rPr>
            </w:pPr>
            <w:r w:rsidDel="00000000" w:rsidR="00000000" w:rsidRPr="00000000">
              <w:rPr>
                <w:sz w:val="20"/>
                <w:szCs w:val="20"/>
                <w:rtl w:val="0"/>
              </w:rPr>
              <w:t xml:space="preserve">Avoid CAPEX; CaaS validate first</w:t>
            </w:r>
          </w:p>
        </w:tc>
      </w:tr>
    </w:tbl>
    <w:p w:rsidR="00000000" w:rsidDel="00000000" w:rsidP="00000000" w:rsidRDefault="00000000" w:rsidRPr="00000000" w14:paraId="000001C4">
      <w:pPr>
        <w:spacing w:after="200" w:before="50" w:lineRule="auto"/>
        <w:jc w:val="center"/>
        <w:rPr>
          <w:i w:val="1"/>
          <w:iCs w:val="1"/>
        </w:rPr>
      </w:pPr>
      <w:r w:rsidDel="00000000" w:rsidR="00000000" w:rsidRPr="00000000">
        <w:rPr>
          <w:i w:val="1"/>
          <w:iCs w:val="1"/>
          <w:sz w:val="20"/>
          <w:szCs w:val="20"/>
          <w:rtl w:val="0"/>
        </w:rPr>
        <w:t xml:space="preserve">Table 5.4: Unit Economics by Zone Tier (₹15–20 Lakh CAPEX Base, Teslavolts CPO Calculator Benchmarks)</w:t>
      </w:r>
      <w:r w:rsidDel="00000000" w:rsidR="00000000" w:rsidRPr="00000000">
        <w:rPr>
          <w:rtl w:val="0"/>
        </w:rPr>
      </w:r>
    </w:p>
    <w:p w:rsidR="00000000" w:rsidDel="00000000" w:rsidP="00000000" w:rsidRDefault="00000000" w:rsidRPr="00000000" w14:paraId="000001C5">
      <w:pPr>
        <w:pStyle w:val="Heading1"/>
        <w:rPr>
          <w:color w:val="1f4e79"/>
        </w:rPr>
      </w:pPr>
      <w:r w:rsidDel="00000000" w:rsidR="00000000" w:rsidRPr="00000000">
        <w:rPr>
          <w:rtl w:val="0"/>
        </w:rPr>
      </w:r>
    </w:p>
    <w:p w:rsidR="00000000" w:rsidDel="00000000" w:rsidP="00000000" w:rsidRDefault="00000000" w:rsidRPr="00000000" w14:paraId="000001C6">
      <w:pPr>
        <w:pStyle w:val="Heading1"/>
        <w:rPr>
          <w:sz w:val="28"/>
          <w:szCs w:val="28"/>
        </w:rPr>
      </w:pPr>
      <w:r w:rsidDel="00000000" w:rsidR="00000000" w:rsidRPr="00000000">
        <w:rPr>
          <w:color w:val="1f4e79"/>
          <w:rtl w:val="0"/>
        </w:rPr>
        <w:t xml:space="preserve">Chapter 6: Discussion &amp; Managerial Implications</w:t>
      </w:r>
      <w:r w:rsidDel="00000000" w:rsidR="00000000" w:rsidRPr="00000000">
        <w:rPr>
          <w:rtl w:val="0"/>
        </w:rPr>
      </w:r>
    </w:p>
    <w:p w:rsidR="00000000" w:rsidDel="00000000" w:rsidP="00000000" w:rsidRDefault="00000000" w:rsidRPr="00000000" w14:paraId="000001C7">
      <w:pPr>
        <w:pStyle w:val="Heading1"/>
        <w:rPr>
          <w:color w:val="000000"/>
          <w:sz w:val="28"/>
          <w:szCs w:val="28"/>
        </w:rPr>
      </w:pPr>
      <w:r w:rsidDel="00000000" w:rsidR="00000000" w:rsidRPr="00000000">
        <w:rPr>
          <w:color w:val="000000"/>
          <w:sz w:val="28"/>
          <w:szCs w:val="28"/>
          <w:rtl w:val="0"/>
        </w:rPr>
        <w:t xml:space="preserve">6.1 Key Findings</w:t>
      </w:r>
    </w:p>
    <w:p w:rsidR="00000000" w:rsidDel="00000000" w:rsidP="00000000" w:rsidRDefault="00000000" w:rsidRPr="00000000" w14:paraId="000001C8">
      <w:pPr>
        <w:spacing w:after="160" w:line="276" w:lineRule="auto"/>
        <w:jc w:val="both"/>
        <w:rPr>
          <w:sz w:val="28"/>
          <w:szCs w:val="28"/>
        </w:rPr>
      </w:pPr>
      <w:r w:rsidDel="00000000" w:rsidR="00000000" w:rsidRPr="00000000">
        <w:rPr>
          <w:rtl w:val="0"/>
        </w:rPr>
        <w:t xml:space="preserve">Four findings stand out. First, supply-demand mismatch is corridor-specific, not city-wide: IT zones face the sharpest tension; traditionally developed commercial zones have relatively balanced profiles. Blanket deployment programmes sub-optimise systematically. Second, YoY growth rate outperforms absolute EV count as a CAPEX signal — Koramangala has more current EVs than HSR Layout but a CI four times lower, because HSR Layout has zero fast chargers. Third, footfall_composite dominates feature importance (29.7% GBM), confirming that real-time human presence intensity — not static land-use classification — drives session frequency. Fourth, DBSCAN successfully distinguishes charging deserts (isolated demand, zero supply) from genuinely low-demand zones — a distinction count-based maps cannot make.</w:t>
      </w:r>
      <w:r w:rsidDel="00000000" w:rsidR="00000000" w:rsidRPr="00000000">
        <w:rPr>
          <w:rtl w:val="0"/>
        </w:rPr>
      </w:r>
    </w:p>
    <w:p w:rsidR="00000000" w:rsidDel="00000000" w:rsidP="00000000" w:rsidRDefault="00000000" w:rsidRPr="00000000" w14:paraId="000001C9">
      <w:pPr>
        <w:pStyle w:val="Heading1"/>
        <w:rPr>
          <w:color w:val="000000"/>
          <w:sz w:val="28"/>
          <w:szCs w:val="28"/>
        </w:rPr>
      </w:pPr>
      <w:r w:rsidDel="00000000" w:rsidR="00000000" w:rsidRPr="00000000">
        <w:rPr>
          <w:color w:val="000000"/>
          <w:sz w:val="28"/>
          <w:szCs w:val="28"/>
          <w:rtl w:val="0"/>
        </w:rPr>
        <w:t xml:space="preserve">6.2 Managerial Implications for CPOs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data-driven portfolio allocation strategy can significantly improve capital efficiency for EV charging infrastructure providers such as Bolt.Earth and Tata Power EV Charging Solutions. The recommended framework allocates 60% of annual CAPEX to Tier 1 and high-potential Tier 2 zones (CI &gt; 50), where immediate revenue generation is strongest. 30% is directed toward emerging Tier 2 and Tier 3 zones (CI 20–50) to capture early growth opportunities, while the remaining 10% is reserved for Charging-as-a-Service (CaaS) pilots in low-density or “desert” zones to validate demand before committing long-term infrastructure. This balanced approach mirrors a barbell-style investment strategy, combining stable returns with strategic expansion.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capital allocation, the availability of granular footfall data enables zone-specific time-of-use pricing to optimize charger utilization. Demand patterns vary significantly by location: IT corridors experience peak usage during weekday mornings and evenings, while mall and retail zones see surges on weekend afternoons. Leveraging these patterns, Charge Point Operators (CPOs) can implement dynamic pricing premiums of 1.3×–1.6× during peak hours, which helps distribute demand, improve round-the-clock utilization, and reduce queue-related customer dissatisfaction.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color w:val="000000"/>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discounted overnight charging windows between 11 PM and 5 AM can incentivize commercial fleet operators to shift usage to off-peak hours. This enhances asset utilization and aligns charging demand with periods of lower grid stress and higher charger availability, improving overall system efficiency.</w:t>
      </w:r>
      <w:r w:rsidDel="00000000" w:rsidR="00000000" w:rsidRPr="00000000">
        <w:rPr>
          <w:rtl w:val="0"/>
        </w:rPr>
      </w:r>
    </w:p>
    <w:p w:rsidR="00000000" w:rsidDel="00000000" w:rsidP="00000000" w:rsidRDefault="00000000" w:rsidRPr="00000000" w14:paraId="000001CD">
      <w:pPr>
        <w:pStyle w:val="Heading1"/>
        <w:rPr>
          <w:color w:val="000000"/>
          <w:sz w:val="28"/>
          <w:szCs w:val="28"/>
        </w:rPr>
      </w:pPr>
      <w:r w:rsidDel="00000000" w:rsidR="00000000" w:rsidRPr="00000000">
        <w:rPr>
          <w:color w:val="000000"/>
          <w:sz w:val="28"/>
          <w:szCs w:val="28"/>
          <w:rtl w:val="0"/>
        </w:rPr>
        <w:t xml:space="preserve">6.3 Policy Implications</w:t>
      </w:r>
    </w:p>
    <w:p w:rsidR="00000000" w:rsidDel="00000000" w:rsidP="00000000" w:rsidRDefault="00000000" w:rsidRPr="00000000" w14:paraId="000001CE">
      <w:pPr>
        <w:spacing w:after="160" w:line="276" w:lineRule="auto"/>
        <w:jc w:val="both"/>
        <w:rPr>
          <w:sz w:val="28"/>
          <w:szCs w:val="28"/>
        </w:rPr>
      </w:pPr>
      <w:r w:rsidDel="00000000" w:rsidR="00000000" w:rsidRPr="00000000">
        <w:rPr>
          <w:rtl w:val="0"/>
        </w:rPr>
        <w:t xml:space="preserve">FAME-II and PM E-DRIVE subsidy allocation currently flows to whichever CPO applies with a self-selected site. A CI-based priority zone list — updated quarterly and published pre-application — would direct subsidy toward zones where the demand case is data-validated, improving the demand-weighted return on public investment. At the state level, CI output maps should feed BESCOM's transformer upgrade schedule, ensuring high-priority zones are not blocked by grid instability. BBMP development guidelines could mandate EV charging readiness in new commercial construction within identified high-CI zones, consistent with Karnataka's 2021 EV Policy provisions.</w:t>
      </w:r>
      <w:r w:rsidDel="00000000" w:rsidR="00000000" w:rsidRPr="00000000">
        <w:rPr>
          <w:rtl w:val="0"/>
        </w:rPr>
      </w:r>
    </w:p>
    <w:p w:rsidR="00000000" w:rsidDel="00000000" w:rsidP="00000000" w:rsidRDefault="00000000" w:rsidRPr="00000000" w14:paraId="000001CF">
      <w:pPr>
        <w:pStyle w:val="Heading1"/>
        <w:rPr>
          <w:color w:val="000000"/>
          <w:sz w:val="28"/>
          <w:szCs w:val="28"/>
        </w:rPr>
      </w:pPr>
      <w:r w:rsidDel="00000000" w:rsidR="00000000" w:rsidRPr="00000000">
        <w:rPr>
          <w:color w:val="000000"/>
          <w:sz w:val="28"/>
          <w:szCs w:val="28"/>
          <w:rtl w:val="0"/>
        </w:rPr>
        <w:t xml:space="preserve">6.4 Sensitivity Analysis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780"/>
        <w:gridCol w:w="3780"/>
        <w:tblGridChange w:id="0">
          <w:tblGrid>
            <w:gridCol w:w="1800"/>
            <w:gridCol w:w="3780"/>
            <w:gridCol w:w="37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9"/>
                <w:szCs w:val="19"/>
                <w:rtl w:val="0"/>
              </w:rPr>
              <w:t xml:space="preserve">Scenario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9"/>
                <w:szCs w:val="19"/>
                <w:rtl w:val="0"/>
              </w:rPr>
              <w:t xml:space="preserve">Perturbation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9"/>
                <w:szCs w:val="19"/>
                <w:rtl w:val="0"/>
              </w:rPr>
              <w:t xml:space="preserve">Ranking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D3">
            <w:pPr>
              <w:rPr>
                <w:sz w:val="20"/>
                <w:szCs w:val="20"/>
              </w:rPr>
            </w:pPr>
            <w:r w:rsidDel="00000000" w:rsidR="00000000" w:rsidRPr="00000000">
              <w:rPr>
                <w:sz w:val="20"/>
                <w:szCs w:val="20"/>
                <w:rtl w:val="0"/>
              </w:rPr>
              <w:t xml:space="preserve">A — Grid stress</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D4">
            <w:pPr>
              <w:rPr>
                <w:sz w:val="20"/>
                <w:szCs w:val="20"/>
              </w:rPr>
            </w:pPr>
            <w:r w:rsidDel="00000000" w:rsidR="00000000" w:rsidRPr="00000000">
              <w:rPr>
                <w:sz w:val="20"/>
                <w:szCs w:val="20"/>
                <w:rtl w:val="0"/>
              </w:rPr>
              <w:t xml:space="preserve">S_grid worsened 20% across all zones (BESCOM feeder stress)</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D5">
            <w:pPr>
              <w:rPr>
                <w:sz w:val="20"/>
                <w:szCs w:val="20"/>
              </w:rPr>
            </w:pPr>
            <w:r w:rsidDel="00000000" w:rsidR="00000000" w:rsidRPr="00000000">
              <w:rPr>
                <w:sz w:val="20"/>
                <w:szCs w:val="20"/>
                <w:rtl w:val="0"/>
              </w:rPr>
              <w:t xml:space="preserve">CI scores fall proportionally; top-3 ranking unchanged — relative gap preserved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D6">
            <w:pPr>
              <w:rPr>
                <w:sz w:val="20"/>
                <w:szCs w:val="20"/>
              </w:rPr>
            </w:pPr>
            <w:r w:rsidDel="00000000" w:rsidR="00000000" w:rsidRPr="00000000">
              <w:rPr>
                <w:sz w:val="20"/>
                <w:szCs w:val="20"/>
                <w:rtl w:val="0"/>
              </w:rPr>
              <w:t xml:space="preserve">B — Growth surge</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D7">
            <w:pPr>
              <w:rPr>
                <w:sz w:val="20"/>
                <w:szCs w:val="20"/>
              </w:rPr>
            </w:pPr>
            <w:r w:rsidDel="00000000" w:rsidR="00000000" w:rsidRPr="00000000">
              <w:rPr>
                <w:sz w:val="20"/>
                <w:szCs w:val="20"/>
                <w:rtl w:val="0"/>
              </w:rPr>
              <w:t xml:space="preserve">YoY growth doubled (OEM launch / FAME-III announcement)</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D8">
            <w:pPr>
              <w:rPr>
                <w:sz w:val="20"/>
                <w:szCs w:val="20"/>
              </w:rPr>
            </w:pPr>
            <w:sdt>
              <w:sdtPr>
                <w:id w:val="-929809899"/>
                <w:tag w:val="goog_rdk_10"/>
              </w:sdtPr>
              <w:sdtContent>
                <w:r w:rsidDel="00000000" w:rsidR="00000000" w:rsidRPr="00000000">
                  <w:rPr>
                    <w:rFonts w:ascii="Cardo" w:cs="Cardo" w:eastAsia="Cardo" w:hAnsi="Cardo"/>
                    <w:sz w:val="20"/>
                    <w:szCs w:val="20"/>
                    <w:rtl w:val="0"/>
                  </w:rPr>
                  <w:t xml:space="preserve">Peri-urban zones move Tier 3 → 2; HSR Layout retains rank 1 with wider margin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D9">
            <w:pPr>
              <w:rPr>
                <w:sz w:val="20"/>
                <w:szCs w:val="20"/>
              </w:rPr>
            </w:pPr>
            <w:r w:rsidDel="00000000" w:rsidR="00000000" w:rsidRPr="00000000">
              <w:rPr>
                <w:sz w:val="20"/>
                <w:szCs w:val="20"/>
                <w:rtl w:val="0"/>
              </w:rPr>
              <w:t xml:space="preserve">C — Competitor entry</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DA">
            <w:pPr>
              <w:rPr>
                <w:sz w:val="20"/>
                <w:szCs w:val="20"/>
              </w:rPr>
            </w:pPr>
            <w:r w:rsidDel="00000000" w:rsidR="00000000" w:rsidRPr="00000000">
              <w:rPr>
                <w:sz w:val="20"/>
                <w:szCs w:val="20"/>
                <w:rtl w:val="0"/>
              </w:rPr>
              <w:t xml:space="preserve">50 new fast chargers deployed in currently underserved zones</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DB">
            <w:pPr>
              <w:rPr>
                <w:sz w:val="20"/>
                <w:szCs w:val="20"/>
              </w:rPr>
            </w:pPr>
            <w:r w:rsidDel="00000000" w:rsidR="00000000" w:rsidRPr="00000000">
              <w:rPr>
                <w:sz w:val="20"/>
                <w:szCs w:val="20"/>
                <w:rtl w:val="0"/>
              </w:rPr>
              <w:t xml:space="preserve">CI denominator rises; CDS weekly refresh auto-deprioritises affected zones</w:t>
            </w:r>
          </w:p>
        </w:tc>
      </w:tr>
    </w:tbl>
    <w:p w:rsidR="00000000" w:rsidDel="00000000" w:rsidP="00000000" w:rsidRDefault="00000000" w:rsidRPr="00000000" w14:paraId="000001DC">
      <w:pPr>
        <w:spacing w:after="200" w:before="50" w:lineRule="auto"/>
        <w:jc w:val="center"/>
        <w:rPr/>
      </w:pPr>
      <w:r w:rsidDel="00000000" w:rsidR="00000000" w:rsidRPr="00000000">
        <w:rPr>
          <w:rFonts w:ascii="Arial" w:cs="Arial" w:eastAsia="Arial" w:hAnsi="Arial"/>
          <w:sz w:val="20"/>
          <w:szCs w:val="20"/>
          <w:rtl w:val="0"/>
        </w:rPr>
        <w:t xml:space="preserve">Table 6.1: Sensitivity Analysis — Three Perturbation Scenarios</w:t>
      </w:r>
      <w:r w:rsidDel="00000000" w:rsidR="00000000" w:rsidRPr="00000000">
        <w:rPr>
          <w:rtl w:val="0"/>
        </w:rPr>
      </w:r>
    </w:p>
    <w:p w:rsidR="00000000" w:rsidDel="00000000" w:rsidP="00000000" w:rsidRDefault="00000000" w:rsidRPr="00000000" w14:paraId="000001DD">
      <w:pPr>
        <w:spacing w:after="60" w:before="12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279400</wp:posOffset>
            </wp:positionH>
            <wp:positionV relativeFrom="paragraph">
              <wp:posOffset>215265</wp:posOffset>
            </wp:positionV>
            <wp:extent cx="5487182" cy="3184525"/>
            <wp:effectExtent b="0" l="0" r="0" t="0"/>
            <wp:wrapNone/>
            <wp:docPr id="8"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487182" cy="3184525"/>
                    </a:xfrm>
                    <a:prstGeom prst="rect"/>
                    <a:ln/>
                  </pic:spPr>
                </pic:pic>
              </a:graphicData>
            </a:graphic>
          </wp:anchor>
        </w:drawing>
      </w:r>
    </w:p>
    <w:p w:rsidR="00000000" w:rsidDel="00000000" w:rsidP="00000000" w:rsidRDefault="00000000" w:rsidRPr="00000000" w14:paraId="000001DE">
      <w:pPr>
        <w:spacing w:after="60" w:before="120" w:lineRule="auto"/>
        <w:rPr/>
      </w:pPr>
      <w:r w:rsidDel="00000000" w:rsidR="00000000" w:rsidRPr="00000000">
        <w:rPr>
          <w:rtl w:val="0"/>
        </w:rPr>
      </w:r>
    </w:p>
    <w:p w:rsidR="00000000" w:rsidDel="00000000" w:rsidP="00000000" w:rsidRDefault="00000000" w:rsidRPr="00000000" w14:paraId="000001DF">
      <w:pPr>
        <w:spacing w:after="60" w:before="120" w:lineRule="auto"/>
        <w:rPr/>
      </w:pPr>
      <w:r w:rsidDel="00000000" w:rsidR="00000000" w:rsidRPr="00000000">
        <w:rPr>
          <w:rtl w:val="0"/>
        </w:rPr>
      </w:r>
    </w:p>
    <w:p w:rsidR="00000000" w:rsidDel="00000000" w:rsidP="00000000" w:rsidRDefault="00000000" w:rsidRPr="00000000" w14:paraId="000001E0">
      <w:pPr>
        <w:spacing w:after="60" w:before="120" w:lineRule="auto"/>
        <w:rPr/>
      </w:pPr>
      <w:r w:rsidDel="00000000" w:rsidR="00000000" w:rsidRPr="00000000">
        <w:rPr>
          <w:rtl w:val="0"/>
        </w:rPr>
      </w:r>
    </w:p>
    <w:p w:rsidR="00000000" w:rsidDel="00000000" w:rsidP="00000000" w:rsidRDefault="00000000" w:rsidRPr="00000000" w14:paraId="000001E1">
      <w:pPr>
        <w:spacing w:after="60" w:before="120" w:lineRule="auto"/>
        <w:rPr/>
      </w:pPr>
      <w:r w:rsidDel="00000000" w:rsidR="00000000" w:rsidRPr="00000000">
        <w:rPr>
          <w:rtl w:val="0"/>
        </w:rPr>
      </w:r>
    </w:p>
    <w:p w:rsidR="00000000" w:rsidDel="00000000" w:rsidP="00000000" w:rsidRDefault="00000000" w:rsidRPr="00000000" w14:paraId="000001E2">
      <w:pPr>
        <w:spacing w:after="60" w:before="120" w:lineRule="auto"/>
        <w:rPr/>
      </w:pPr>
      <w:r w:rsidDel="00000000" w:rsidR="00000000" w:rsidRPr="00000000">
        <w:rPr>
          <w:rtl w:val="0"/>
        </w:rPr>
      </w:r>
    </w:p>
    <w:p w:rsidR="00000000" w:rsidDel="00000000" w:rsidP="00000000" w:rsidRDefault="00000000" w:rsidRPr="00000000" w14:paraId="000001E3">
      <w:pPr>
        <w:spacing w:after="60" w:before="120" w:lineRule="auto"/>
        <w:rPr/>
      </w:pPr>
      <w:r w:rsidDel="00000000" w:rsidR="00000000" w:rsidRPr="00000000">
        <w:rPr>
          <w:rtl w:val="0"/>
        </w:rPr>
      </w:r>
    </w:p>
    <w:p w:rsidR="00000000" w:rsidDel="00000000" w:rsidP="00000000" w:rsidRDefault="00000000" w:rsidRPr="00000000" w14:paraId="000001E4">
      <w:pPr>
        <w:spacing w:after="60" w:before="120" w:lineRule="auto"/>
        <w:rPr/>
      </w:pPr>
      <w:r w:rsidDel="00000000" w:rsidR="00000000" w:rsidRPr="00000000">
        <w:rPr>
          <w:rtl w:val="0"/>
        </w:rPr>
      </w:r>
    </w:p>
    <w:p w:rsidR="00000000" w:rsidDel="00000000" w:rsidP="00000000" w:rsidRDefault="00000000" w:rsidRPr="00000000" w14:paraId="000001E5">
      <w:pPr>
        <w:spacing w:after="60" w:before="120" w:lineRule="auto"/>
        <w:rPr/>
      </w:pPr>
      <w:r w:rsidDel="00000000" w:rsidR="00000000" w:rsidRPr="00000000">
        <w:rPr>
          <w:rtl w:val="0"/>
        </w:rPr>
      </w:r>
    </w:p>
    <w:p w:rsidR="00000000" w:rsidDel="00000000" w:rsidP="00000000" w:rsidRDefault="00000000" w:rsidRPr="00000000" w14:paraId="000001E6">
      <w:pPr>
        <w:spacing w:after="60" w:before="120" w:lineRule="auto"/>
        <w:rPr/>
      </w:pPr>
      <w:r w:rsidDel="00000000" w:rsidR="00000000" w:rsidRPr="00000000">
        <w:rPr>
          <w:rtl w:val="0"/>
        </w:rPr>
      </w:r>
    </w:p>
    <w:p w:rsidR="00000000" w:rsidDel="00000000" w:rsidP="00000000" w:rsidRDefault="00000000" w:rsidRPr="00000000" w14:paraId="000001E7">
      <w:pPr>
        <w:spacing w:after="60" w:before="120" w:lineRule="auto"/>
        <w:rPr/>
      </w:pPr>
      <w:r w:rsidDel="00000000" w:rsidR="00000000" w:rsidRPr="00000000">
        <w:rPr>
          <w:rtl w:val="0"/>
        </w:rPr>
      </w:r>
    </w:p>
    <w:p w:rsidR="00000000" w:rsidDel="00000000" w:rsidP="00000000" w:rsidRDefault="00000000" w:rsidRPr="00000000" w14:paraId="000001E8">
      <w:pPr>
        <w:spacing w:after="60" w:before="120" w:lineRule="auto"/>
        <w:rPr/>
      </w:pPr>
      <w:r w:rsidDel="00000000" w:rsidR="00000000" w:rsidRPr="00000000">
        <w:rPr>
          <w:rtl w:val="0"/>
        </w:rPr>
      </w:r>
    </w:p>
    <w:p w:rsidR="00000000" w:rsidDel="00000000" w:rsidP="00000000" w:rsidRDefault="00000000" w:rsidRPr="00000000" w14:paraId="000001E9">
      <w:pPr>
        <w:spacing w:after="60" w:before="120" w:lineRule="auto"/>
        <w:rPr/>
      </w:pPr>
      <w:r w:rsidDel="00000000" w:rsidR="00000000" w:rsidRPr="00000000">
        <w:rPr>
          <w:rtl w:val="0"/>
        </w:rPr>
      </w:r>
    </w:p>
    <w:p w:rsidR="00000000" w:rsidDel="00000000" w:rsidP="00000000" w:rsidRDefault="00000000" w:rsidRPr="00000000" w14:paraId="000001EA">
      <w:pPr>
        <w:spacing w:after="60" w:before="120" w:lineRule="auto"/>
        <w:rPr/>
      </w:pPr>
      <w:r w:rsidDel="00000000" w:rsidR="00000000" w:rsidRPr="00000000">
        <w:rPr>
          <w:rtl w:val="0"/>
        </w:rPr>
      </w:r>
    </w:p>
    <w:p w:rsidR="00000000" w:rsidDel="00000000" w:rsidP="00000000" w:rsidRDefault="00000000" w:rsidRPr="00000000" w14:paraId="000001EB">
      <w:pPr>
        <w:spacing w:after="60" w:before="120" w:lineRule="auto"/>
        <w:jc w:val="center"/>
        <w:rPr>
          <w:b w:val="1"/>
          <w:bCs w:val="1"/>
        </w:rPr>
      </w:pPr>
      <w:r w:rsidDel="00000000" w:rsidR="00000000" w:rsidRPr="00000000">
        <w:rPr>
          <w:b w:val="1"/>
          <w:bCs w:val="1"/>
          <w:i w:val="1"/>
          <w:iCs w:val="1"/>
          <w:color w:val="000000"/>
          <w:sz w:val="16"/>
          <w:szCs w:val="16"/>
          <w:rtl w:val="0"/>
        </w:rPr>
        <w:t xml:space="preserve">Figure 5.4: Payback Sensitivity Chart — All 20 Zones at 5 Utilisation Scenarios (Red dashed line = 18-month target)</w:t>
      </w:r>
      <w:r w:rsidDel="00000000" w:rsidR="00000000" w:rsidRPr="00000000">
        <w:rPr>
          <w:rtl w:val="0"/>
        </w:rPr>
      </w:r>
    </w:p>
    <w:p w:rsidR="00000000" w:rsidDel="00000000" w:rsidP="00000000" w:rsidRDefault="00000000" w:rsidRPr="00000000" w14:paraId="000001EC">
      <w:pPr>
        <w:pStyle w:val="Heading1"/>
        <w:rPr>
          <w:color w:val="1f4e79"/>
        </w:rPr>
      </w:pPr>
      <w:r w:rsidDel="00000000" w:rsidR="00000000" w:rsidRPr="00000000">
        <w:rPr>
          <w:rtl w:val="0"/>
        </w:rPr>
      </w:r>
    </w:p>
    <w:p w:rsidR="00000000" w:rsidDel="00000000" w:rsidP="00000000" w:rsidRDefault="00000000" w:rsidRPr="00000000" w14:paraId="000001ED">
      <w:pPr>
        <w:pStyle w:val="Heading1"/>
        <w:rPr>
          <w:sz w:val="28"/>
          <w:szCs w:val="28"/>
        </w:rPr>
      </w:pPr>
      <w:r w:rsidDel="00000000" w:rsidR="00000000" w:rsidRPr="00000000">
        <w:rPr>
          <w:color w:val="1f4e79"/>
          <w:rtl w:val="0"/>
        </w:rPr>
        <w:t xml:space="preserve">Chapter 7: Conclusions, Limitations &amp; Future Scope</w:t>
      </w:r>
      <w:r w:rsidDel="00000000" w:rsidR="00000000" w:rsidRPr="00000000">
        <w:rPr>
          <w:rtl w:val="0"/>
        </w:rPr>
      </w:r>
    </w:p>
    <w:p w:rsidR="00000000" w:rsidDel="00000000" w:rsidP="00000000" w:rsidRDefault="00000000" w:rsidRPr="00000000" w14:paraId="000001EE">
      <w:pPr>
        <w:pStyle w:val="Heading1"/>
        <w:rPr>
          <w:color w:val="000000"/>
          <w:sz w:val="28"/>
          <w:szCs w:val="28"/>
        </w:rPr>
      </w:pPr>
      <w:r w:rsidDel="00000000" w:rsidR="00000000" w:rsidRPr="00000000">
        <w:rPr>
          <w:color w:val="000000"/>
          <w:sz w:val="28"/>
          <w:szCs w:val="28"/>
          <w:rtl w:val="0"/>
        </w:rPr>
        <w:t xml:space="preserve">7.1 Contributions</w:t>
      </w:r>
    </w:p>
    <w:p w:rsidR="00000000" w:rsidDel="00000000" w:rsidP="00000000" w:rsidRDefault="00000000" w:rsidRPr="00000000" w14:paraId="000001EF">
      <w:pPr>
        <w:spacing w:after="160" w:line="276" w:lineRule="auto"/>
        <w:jc w:val="both"/>
        <w:rPr>
          <w:sz w:val="28"/>
          <w:szCs w:val="28"/>
        </w:rPr>
      </w:pPr>
      <w:r w:rsidDel="00000000" w:rsidR="00000000" w:rsidRPr="00000000">
        <w:rPr>
          <w:rtl w:val="0"/>
        </w:rPr>
        <w:t xml:space="preserve">This project makes four contributions: (i) the dual-output CI/CDS pipeline architecture — one data pipeline, two calibrated decision outputs, no methodological compromise between CAPEX and OPEX horizons; (ii) DBSCAN noise-as-signal inversion — outlier zones become CaaS first-mover targets rather than discards; (iii) policy-aware Prophet forecasting with FAME-II and PM E-DRIVE changepoints — government interventions treated as structural demand signals; and (iv) a fully public-data architecture enabling 30-minute per-city replication with no proprietary data licensing.</w:t>
      </w:r>
      <w:r w:rsidDel="00000000" w:rsidR="00000000" w:rsidRPr="00000000">
        <w:rPr>
          <w:rtl w:val="0"/>
        </w:rPr>
      </w:r>
    </w:p>
    <w:p w:rsidR="00000000" w:rsidDel="00000000" w:rsidP="00000000" w:rsidRDefault="00000000" w:rsidRPr="00000000" w14:paraId="000001F0">
      <w:pPr>
        <w:pStyle w:val="Heading2"/>
        <w:rPr>
          <w:color w:val="000000"/>
          <w:sz w:val="28"/>
          <w:szCs w:val="28"/>
        </w:rPr>
      </w:pPr>
      <w:r w:rsidDel="00000000" w:rsidR="00000000" w:rsidRPr="00000000">
        <w:rPr>
          <w:b w:val="1"/>
          <w:bCs w:val="1"/>
          <w:color w:val="000000"/>
          <w:sz w:val="28"/>
          <w:szCs w:val="28"/>
          <w:rtl w:val="0"/>
        </w:rPr>
        <w:t xml:space="preserve">7.2 Limitations</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480"/>
        <w:gridCol w:w="3480"/>
        <w:tblGridChange w:id="0">
          <w:tblGrid>
            <w:gridCol w:w="2400"/>
            <w:gridCol w:w="3480"/>
            <w:gridCol w:w="3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19"/>
                <w:szCs w:val="19"/>
                <w:rtl w:val="0"/>
              </w:rPr>
              <w:t xml:space="preserve">Limitation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ffffff"/>
                <w:sz w:val="19"/>
                <w:szCs w:val="19"/>
                <w:rtl w:val="0"/>
              </w:rPr>
              <w:t xml:space="preserve">Current Impact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10.0" w:type="dxa"/>
              <w:bottom w:w="80.0" w:type="dxa"/>
              <w:right w:w="110.0" w:type="dxa"/>
            </w:tcMar>
            <w:vAlign w:val="cente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ffffff"/>
                <w:sz w:val="19"/>
                <w:szCs w:val="19"/>
                <w:rtl w:val="0"/>
              </w:rPr>
              <w:t xml:space="preserve">Identified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F5">
            <w:pPr>
              <w:rPr>
                <w:sz w:val="20"/>
                <w:szCs w:val="20"/>
              </w:rPr>
            </w:pPr>
            <w:r w:rsidDel="00000000" w:rsidR="00000000" w:rsidRPr="00000000">
              <w:rPr>
                <w:sz w:val="20"/>
                <w:szCs w:val="20"/>
                <w:rtl w:val="0"/>
              </w:rPr>
              <w:t xml:space="preserve">Synthetic pilot — no live session data</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F6">
            <w:pPr>
              <w:rPr>
                <w:sz w:val="20"/>
                <w:szCs w:val="20"/>
              </w:rPr>
            </w:pPr>
            <w:r w:rsidDel="00000000" w:rsidR="00000000" w:rsidRPr="00000000">
              <w:rPr>
                <w:sz w:val="20"/>
                <w:szCs w:val="20"/>
                <w:rtl w:val="0"/>
              </w:rPr>
              <w:t xml:space="preserve">Rankings validated as hypothesis, not confirmed against revenue</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F7">
            <w:pPr>
              <w:rPr>
                <w:sz w:val="20"/>
                <w:szCs w:val="20"/>
              </w:rPr>
            </w:pPr>
            <w:r w:rsidDel="00000000" w:rsidR="00000000" w:rsidRPr="00000000">
              <w:rPr>
                <w:sz w:val="20"/>
                <w:szCs w:val="20"/>
                <w:rtl w:val="0"/>
              </w:rPr>
              <w:t xml:space="preserve">30-day Teslavolts CaaS pilot in planning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F8">
            <w:pPr>
              <w:rPr>
                <w:sz w:val="20"/>
                <w:szCs w:val="20"/>
              </w:rPr>
            </w:pPr>
            <w:r w:rsidDel="00000000" w:rsidR="00000000" w:rsidRPr="00000000">
              <w:rPr>
                <w:sz w:val="20"/>
                <w:szCs w:val="20"/>
                <w:rtl w:val="0"/>
              </w:rPr>
              <w:t xml:space="preserve">S_grid = 1.0 for all zones</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F9">
            <w:pPr>
              <w:rPr>
                <w:sz w:val="20"/>
                <w:szCs w:val="20"/>
              </w:rPr>
            </w:pPr>
            <w:r w:rsidDel="00000000" w:rsidR="00000000" w:rsidRPr="00000000">
              <w:rPr>
                <w:sz w:val="20"/>
                <w:szCs w:val="20"/>
                <w:rtl w:val="0"/>
              </w:rPr>
              <w:t xml:space="preserve">Grid instability not penalised; CI scores are upper bounds in unstable zones</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FA">
            <w:pPr>
              <w:rPr>
                <w:sz w:val="20"/>
                <w:szCs w:val="20"/>
              </w:rPr>
            </w:pPr>
            <w:r w:rsidDel="00000000" w:rsidR="00000000" w:rsidRPr="00000000">
              <w:rPr>
                <w:sz w:val="20"/>
                <w:szCs w:val="20"/>
                <w:rtl w:val="0"/>
              </w:rPr>
              <w:t xml:space="preserve">BESCOM feeder data integration: 1–2 week task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FB">
            <w:pPr>
              <w:rPr>
                <w:sz w:val="20"/>
                <w:szCs w:val="20"/>
              </w:rPr>
            </w:pPr>
            <w:r w:rsidDel="00000000" w:rsidR="00000000" w:rsidRPr="00000000">
              <w:rPr>
                <w:sz w:val="20"/>
                <w:szCs w:val="20"/>
                <w:rtl w:val="0"/>
              </w:rPr>
              <w:t xml:space="preserve">footfall_composite is relative, not absolute</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FC">
            <w:pPr>
              <w:rPr>
                <w:sz w:val="20"/>
                <w:szCs w:val="20"/>
              </w:rPr>
            </w:pPr>
            <w:r w:rsidDel="00000000" w:rsidR="00000000" w:rsidRPr="00000000">
              <w:rPr>
                <w:sz w:val="20"/>
                <w:szCs w:val="20"/>
                <w:rtl w:val="0"/>
              </w:rPr>
              <w:t xml:space="preserve">Restaurant at 90% peak scores = mall at 90% peak</w:t>
            </w:r>
          </w:p>
        </w:tc>
        <w:tc>
          <w:tcPr>
            <w:tcBorders>
              <w:top w:color="cccccc" w:space="0" w:sz="4" w:val="single"/>
              <w:left w:color="cccccc" w:space="0" w:sz="4" w:val="single"/>
              <w:bottom w:color="cccccc" w:space="0" w:sz="4" w:val="single"/>
              <w:right w:color="cccccc" w:space="0" w:sz="4" w:val="single"/>
            </w:tcBorders>
            <w:shd w:fill="f5f8fa" w:val="clear"/>
            <w:tcMar>
              <w:top w:w="55.0" w:type="dxa"/>
              <w:left w:w="95.0" w:type="dxa"/>
              <w:bottom w:w="55.0" w:type="dxa"/>
              <w:right w:w="95.0" w:type="dxa"/>
            </w:tcMar>
          </w:tcPr>
          <w:p w:rsidR="00000000" w:rsidDel="00000000" w:rsidP="00000000" w:rsidRDefault="00000000" w:rsidRPr="00000000" w14:paraId="000001FD">
            <w:pPr>
              <w:rPr>
                <w:sz w:val="20"/>
                <w:szCs w:val="20"/>
              </w:rPr>
            </w:pPr>
            <w:r w:rsidDel="00000000" w:rsidR="00000000" w:rsidRPr="00000000">
              <w:rPr>
                <w:sz w:val="20"/>
                <w:szCs w:val="20"/>
                <w:rtl w:val="0"/>
              </w:rPr>
              <w:t xml:space="preserve">Category-adjusted multipliers in next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FE">
            <w:pPr>
              <w:rPr>
                <w:sz w:val="20"/>
                <w:szCs w:val="20"/>
              </w:rPr>
            </w:pPr>
            <w:r w:rsidDel="00000000" w:rsidR="00000000" w:rsidRPr="00000000">
              <w:rPr>
                <w:sz w:val="20"/>
                <w:szCs w:val="20"/>
                <w:rtl w:val="0"/>
              </w:rPr>
              <w:t xml:space="preserve">MAPE 19.44% &gt; 15% target</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1FF">
            <w:pPr>
              <w:rPr>
                <w:sz w:val="20"/>
                <w:szCs w:val="20"/>
              </w:rPr>
            </w:pPr>
            <w:r w:rsidDel="00000000" w:rsidR="00000000" w:rsidRPr="00000000">
              <w:rPr>
                <w:sz w:val="20"/>
                <w:szCs w:val="20"/>
                <w:rtl w:val="0"/>
              </w:rPr>
              <w:t xml:space="preserve">Policy shocks / competitive dynamics not fully captured</w:t>
            </w:r>
          </w:p>
        </w:tc>
        <w:tc>
          <w:tcPr>
            <w:tcBorders>
              <w:top w:color="cccccc" w:space="0" w:sz="4" w:val="single"/>
              <w:left w:color="cccccc" w:space="0" w:sz="4" w:val="single"/>
              <w:bottom w:color="cccccc" w:space="0" w:sz="4" w:val="single"/>
              <w:right w:color="cccccc" w:space="0" w:sz="4" w:val="single"/>
            </w:tcBorders>
            <w:shd w:fill="ffffff" w:val="clear"/>
            <w:tcMar>
              <w:top w:w="55.0" w:type="dxa"/>
              <w:left w:w="95.0" w:type="dxa"/>
              <w:bottom w:w="55.0" w:type="dxa"/>
              <w:right w:w="95.0" w:type="dxa"/>
            </w:tcMar>
          </w:tcPr>
          <w:p w:rsidR="00000000" w:rsidDel="00000000" w:rsidP="00000000" w:rsidRDefault="00000000" w:rsidRPr="00000000" w14:paraId="00000200">
            <w:pPr>
              <w:rPr>
                <w:sz w:val="20"/>
                <w:szCs w:val="20"/>
              </w:rPr>
            </w:pPr>
            <w:r w:rsidDel="00000000" w:rsidR="00000000" w:rsidRPr="00000000">
              <w:rPr>
                <w:sz w:val="20"/>
                <w:szCs w:val="20"/>
                <w:rtl w:val="0"/>
              </w:rPr>
              <w:t xml:space="preserve">Add macroeconomic regressors to Prophet inputs</w:t>
            </w:r>
          </w:p>
        </w:tc>
      </w:tr>
    </w:tbl>
    <w:p w:rsidR="00000000" w:rsidDel="00000000" w:rsidP="00000000" w:rsidRDefault="00000000" w:rsidRPr="00000000" w14:paraId="00000201">
      <w:pPr>
        <w:spacing w:after="200" w:before="50" w:lineRule="auto"/>
        <w:jc w:val="center"/>
        <w:rPr>
          <w:i w:val="1"/>
          <w:iCs w:val="1"/>
        </w:rPr>
      </w:pPr>
      <w:r w:rsidDel="00000000" w:rsidR="00000000" w:rsidRPr="00000000">
        <w:rPr>
          <w:i w:val="1"/>
          <w:iCs w:val="1"/>
          <w:sz w:val="20"/>
          <w:szCs w:val="20"/>
          <w:rtl w:val="0"/>
        </w:rPr>
        <w:t xml:space="preserve">Table 7.1: Known Limitations and Identified Fixes</w:t>
      </w:r>
      <w:r w:rsidDel="00000000" w:rsidR="00000000" w:rsidRPr="00000000">
        <w:rPr>
          <w:rtl w:val="0"/>
        </w:rPr>
      </w:r>
    </w:p>
    <w:p w:rsidR="00000000" w:rsidDel="00000000" w:rsidP="00000000" w:rsidRDefault="00000000" w:rsidRPr="00000000" w14:paraId="00000202">
      <w:pPr>
        <w:pStyle w:val="Heading1"/>
        <w:rPr>
          <w:color w:val="000000"/>
        </w:rPr>
      </w:pPr>
      <w:r w:rsidDel="00000000" w:rsidR="00000000" w:rsidRPr="00000000">
        <w:rPr>
          <w:color w:val="000000"/>
          <w:rtl w:val="0"/>
        </w:rPr>
        <w:t xml:space="preserve">7.3 Scope for Future Research</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Multi-city scaling: Extend to Mumbai, Delhi, Hyderabad — geographic parameterisation already built in — to test DBSCAN parameter portability and Prophet changepoint shape variation across cities.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BESCOM feeder integration: Populate S_grid with feeder-level outage data to complete the CI formula; expected to materially rerank peri-urban zones.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CaaS pilot: Deploy Teslavolts PowerPod to top-3 CDS zones; record actual sessions, duration, and revenue to validate CDS predictive accuracy and refine formula coefficients.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171259180"/>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Real-time dynamic reranking: Weekly footfall_composite refresh (Google API) + monthly planned_supply_6mo refresh (RERA) → continuous operational routing tool.</w:t>
          </w:r>
        </w:sdtContent>
      </w:sdt>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Battery swapping &amp; V2G: Adapt the framework to battery swapping station placement and, as V2G regulations mature, incorporate BESCOM grid stress indices for Vehicle-to-Grid feasibility scoring.</w:t>
      </w:r>
      <w:r w:rsidDel="00000000" w:rsidR="00000000" w:rsidRPr="00000000">
        <w:rPr>
          <w:rtl w:val="0"/>
        </w:rPr>
      </w:r>
    </w:p>
    <w:p w:rsidR="00000000" w:rsidDel="00000000" w:rsidP="00000000" w:rsidRDefault="00000000" w:rsidRPr="00000000" w14:paraId="00000208">
      <w:pPr>
        <w:pStyle w:val="Heading1"/>
        <w:rPr>
          <w:color w:val="000000"/>
          <w:sz w:val="24"/>
          <w:szCs w:val="24"/>
        </w:rPr>
      </w:pPr>
      <w:r w:rsidDel="00000000" w:rsidR="00000000" w:rsidRPr="00000000">
        <w:br w:type="page"/>
      </w:r>
      <w:r w:rsidDel="00000000" w:rsidR="00000000" w:rsidRPr="00000000">
        <w:rPr>
          <w:color w:val="1f3864"/>
          <w:rtl w:val="0"/>
        </w:rPr>
        <w:t xml:space="preserve">References</w:t>
      </w:r>
      <w:r w:rsidDel="00000000" w:rsidR="00000000" w:rsidRPr="00000000">
        <w:rPr>
          <w:rtl w:val="0"/>
        </w:rPr>
      </w:r>
    </w:p>
    <w:p w:rsidR="00000000" w:rsidDel="00000000" w:rsidP="00000000" w:rsidRDefault="00000000" w:rsidRPr="00000000" w14:paraId="00000209">
      <w:pPr>
        <w:spacing w:after="160" w:lineRule="auto"/>
        <w:jc w:val="both"/>
        <w:rPr/>
      </w:pPr>
      <w:r w:rsidDel="00000000" w:rsidR="00000000" w:rsidRPr="00000000">
        <w:rPr>
          <w:rFonts w:ascii="Arial" w:cs="Arial" w:eastAsia="Arial" w:hAnsi="Arial"/>
          <w:sz w:val="22"/>
          <w:szCs w:val="22"/>
          <w:rtl w:val="0"/>
        </w:rPr>
        <w:t xml:space="preserve">Abdullahi, I., Marzband, M., &amp; Al-Sumaiti, A. S. (2024). Location optimization of EV charging stations: A custom K-means cluster algorithm approach. Energy Reports, 12, 5367–5382. https://doi.org/10.1016/j.egyr.2024.10.001</w:t>
      </w:r>
      <w:r w:rsidDel="00000000" w:rsidR="00000000" w:rsidRPr="00000000">
        <w:rPr>
          <w:rtl w:val="0"/>
        </w:rPr>
      </w:r>
    </w:p>
    <w:p w:rsidR="00000000" w:rsidDel="00000000" w:rsidP="00000000" w:rsidRDefault="00000000" w:rsidRPr="00000000" w14:paraId="0000020A">
      <w:pPr>
        <w:spacing w:after="160" w:lineRule="auto"/>
        <w:jc w:val="both"/>
        <w:rPr/>
      </w:pPr>
      <w:r w:rsidDel="00000000" w:rsidR="00000000" w:rsidRPr="00000000">
        <w:rPr>
          <w:rFonts w:ascii="Arial" w:cs="Arial" w:eastAsia="Arial" w:hAnsi="Arial"/>
          <w:sz w:val="22"/>
          <w:szCs w:val="22"/>
          <w:rtl w:val="0"/>
        </w:rPr>
        <w:t xml:space="preserve">Anselin, L. (1995). Local indicators of spatial association — LISA. Geographical Analysis, 27(2), 93–115. https://doi.org/10.1111/j.1538-4632.1995.tb00338.x</w:t>
      </w:r>
      <w:r w:rsidDel="00000000" w:rsidR="00000000" w:rsidRPr="00000000">
        <w:rPr>
          <w:rtl w:val="0"/>
        </w:rPr>
      </w:r>
    </w:p>
    <w:p w:rsidR="00000000" w:rsidDel="00000000" w:rsidP="00000000" w:rsidRDefault="00000000" w:rsidRPr="00000000" w14:paraId="0000020B">
      <w:pPr>
        <w:spacing w:after="160" w:lineRule="auto"/>
        <w:jc w:val="both"/>
        <w:rPr/>
      </w:pPr>
      <w:r w:rsidDel="00000000" w:rsidR="00000000" w:rsidRPr="00000000">
        <w:rPr>
          <w:rFonts w:ascii="Arial" w:cs="Arial" w:eastAsia="Arial" w:hAnsi="Arial"/>
          <w:sz w:val="22"/>
          <w:szCs w:val="22"/>
          <w:rtl w:val="0"/>
        </w:rPr>
        <w:t xml:space="preserve">Bolt.Earth. (2024). Bolt.Earth EV charging network overview. https://bolt.earth</w:t>
      </w:r>
      <w:r w:rsidDel="00000000" w:rsidR="00000000" w:rsidRPr="00000000">
        <w:rPr>
          <w:rtl w:val="0"/>
        </w:rPr>
      </w:r>
    </w:p>
    <w:p w:rsidR="00000000" w:rsidDel="00000000" w:rsidP="00000000" w:rsidRDefault="00000000" w:rsidRPr="00000000" w14:paraId="0000020C">
      <w:pPr>
        <w:spacing w:after="160" w:lineRule="auto"/>
        <w:jc w:val="both"/>
        <w:rPr/>
      </w:pPr>
      <w:r w:rsidDel="00000000" w:rsidR="00000000" w:rsidRPr="00000000">
        <w:rPr>
          <w:rFonts w:ascii="Arial" w:cs="Arial" w:eastAsia="Arial" w:hAnsi="Arial"/>
          <w:sz w:val="22"/>
          <w:szCs w:val="22"/>
          <w:rtl w:val="0"/>
        </w:rPr>
        <w:t xml:space="preserve">Bureau of Energy Efficiency. (2024). EV public charging standards. Ministry of Power, Government of India. https://beeindia.gov.in</w:t>
      </w:r>
      <w:r w:rsidDel="00000000" w:rsidR="00000000" w:rsidRPr="00000000">
        <w:rPr>
          <w:rtl w:val="0"/>
        </w:rPr>
      </w:r>
    </w:p>
    <w:p w:rsidR="00000000" w:rsidDel="00000000" w:rsidP="00000000" w:rsidRDefault="00000000" w:rsidRPr="00000000" w14:paraId="0000020D">
      <w:pPr>
        <w:spacing w:after="160" w:lineRule="auto"/>
        <w:jc w:val="both"/>
        <w:rPr/>
      </w:pPr>
      <w:r w:rsidDel="00000000" w:rsidR="00000000" w:rsidRPr="00000000">
        <w:rPr>
          <w:rFonts w:ascii="Arial" w:cs="Arial" w:eastAsia="Arial" w:hAnsi="Arial"/>
          <w:sz w:val="22"/>
          <w:szCs w:val="22"/>
          <w:rtl w:val="0"/>
        </w:rPr>
        <w:t xml:space="preserve">Chen, T., &amp; Guestrin, C. (2016). XGBoost: A scalable tree boosting system. Proceedings of the 22nd ACM SIGKDD Conference on Knowledge Discovery and Data Mining (pp. 785–794). https://doi.org/10.1145/2939672.2939785</w:t>
      </w:r>
      <w:r w:rsidDel="00000000" w:rsidR="00000000" w:rsidRPr="00000000">
        <w:rPr>
          <w:rtl w:val="0"/>
        </w:rPr>
      </w:r>
    </w:p>
    <w:p w:rsidR="00000000" w:rsidDel="00000000" w:rsidP="00000000" w:rsidRDefault="00000000" w:rsidRPr="00000000" w14:paraId="0000020E">
      <w:pPr>
        <w:spacing w:after="160" w:lineRule="auto"/>
        <w:jc w:val="both"/>
        <w:rPr/>
      </w:pPr>
      <w:r w:rsidDel="00000000" w:rsidR="00000000" w:rsidRPr="00000000">
        <w:rPr>
          <w:rFonts w:ascii="Arial" w:cs="Arial" w:eastAsia="Arial" w:hAnsi="Arial"/>
          <w:sz w:val="22"/>
          <w:szCs w:val="22"/>
          <w:rtl w:val="0"/>
        </w:rPr>
        <w:t xml:space="preserve">Ester, M., Kriegel, H.-P., Sander, J., &amp; Xu, X. (1996). A density-based algorithm for discovering clusters in large spatial databases with noise. Proceedings of the 2nd International Conference on Knowledge Discovery and Data Mining (pp. 226–231). AAAI Press.</w:t>
      </w:r>
      <w:r w:rsidDel="00000000" w:rsidR="00000000" w:rsidRPr="00000000">
        <w:rPr>
          <w:rtl w:val="0"/>
        </w:rPr>
      </w:r>
    </w:p>
    <w:p w:rsidR="00000000" w:rsidDel="00000000" w:rsidP="00000000" w:rsidRDefault="00000000" w:rsidRPr="00000000" w14:paraId="0000020F">
      <w:pPr>
        <w:spacing w:after="160" w:lineRule="auto"/>
        <w:jc w:val="both"/>
        <w:rPr/>
      </w:pPr>
      <w:r w:rsidDel="00000000" w:rsidR="00000000" w:rsidRPr="00000000">
        <w:rPr>
          <w:rFonts w:ascii="Arial" w:cs="Arial" w:eastAsia="Arial" w:hAnsi="Arial"/>
          <w:sz w:val="22"/>
          <w:szCs w:val="22"/>
          <w:rtl w:val="0"/>
        </w:rPr>
        <w:t xml:space="preserve">Hussain, S., &amp; Eswarakrishnan, V. (2025). Charging stations demand forecasting using LSTM-based hybrid transformer model. Scientific Reports, 15, 36639. https://doi.org/10.1038/s41598-025-20421-y</w:t>
      </w:r>
      <w:r w:rsidDel="00000000" w:rsidR="00000000" w:rsidRPr="00000000">
        <w:rPr>
          <w:rtl w:val="0"/>
        </w:rPr>
      </w:r>
    </w:p>
    <w:p w:rsidR="00000000" w:rsidDel="00000000" w:rsidP="00000000" w:rsidRDefault="00000000" w:rsidRPr="00000000" w14:paraId="00000210">
      <w:pPr>
        <w:spacing w:after="160" w:lineRule="auto"/>
        <w:jc w:val="both"/>
        <w:rPr/>
      </w:pPr>
      <w:r w:rsidDel="00000000" w:rsidR="00000000" w:rsidRPr="00000000">
        <w:rPr>
          <w:rFonts w:ascii="Arial" w:cs="Arial" w:eastAsia="Arial" w:hAnsi="Arial"/>
          <w:sz w:val="22"/>
          <w:szCs w:val="22"/>
          <w:rtl w:val="0"/>
        </w:rPr>
        <w:t xml:space="preserve">India Energy Storage Alliance. (2025). India EV market — Annual report 2025. https://indiaesa.info</w:t>
      </w:r>
      <w:r w:rsidDel="00000000" w:rsidR="00000000" w:rsidRPr="00000000">
        <w:rPr>
          <w:rtl w:val="0"/>
        </w:rPr>
      </w:r>
    </w:p>
    <w:p w:rsidR="00000000" w:rsidDel="00000000" w:rsidP="00000000" w:rsidRDefault="00000000" w:rsidRPr="00000000" w14:paraId="00000211">
      <w:pPr>
        <w:spacing w:after="160" w:lineRule="auto"/>
        <w:jc w:val="both"/>
        <w:rPr/>
      </w:pPr>
      <w:r w:rsidDel="00000000" w:rsidR="00000000" w:rsidRPr="00000000">
        <w:rPr>
          <w:rFonts w:ascii="Arial" w:cs="Arial" w:eastAsia="Arial" w:hAnsi="Arial"/>
          <w:sz w:val="22"/>
          <w:szCs w:val="22"/>
          <w:rtl w:val="0"/>
        </w:rPr>
        <w:t xml:space="preserve">India EV Digest. (2023). India EV digest 2023: Infrastructure, policy and market trends. Ministry of Heavy Industries, Government of India.</w:t>
      </w:r>
      <w:r w:rsidDel="00000000" w:rsidR="00000000" w:rsidRPr="00000000">
        <w:rPr>
          <w:rtl w:val="0"/>
        </w:rPr>
      </w:r>
    </w:p>
    <w:p w:rsidR="00000000" w:rsidDel="00000000" w:rsidP="00000000" w:rsidRDefault="00000000" w:rsidRPr="00000000" w14:paraId="00000212">
      <w:pPr>
        <w:spacing w:after="160" w:lineRule="auto"/>
        <w:jc w:val="both"/>
        <w:rPr/>
      </w:pPr>
      <w:r w:rsidDel="00000000" w:rsidR="00000000" w:rsidRPr="00000000">
        <w:rPr>
          <w:rFonts w:ascii="Arial" w:cs="Arial" w:eastAsia="Arial" w:hAnsi="Arial"/>
          <w:sz w:val="22"/>
          <w:szCs w:val="22"/>
          <w:rtl w:val="0"/>
        </w:rPr>
        <w:t xml:space="preserve">Jha, S., Garg, A., &amp; Sharma, P. (2025). An equity-based approach for EV charging infrastructure inequality: Delhi case study. Energy for Sustainable Development, 85, 101643. https://doi.org/10.1016/j.esd.2025.101643</w:t>
      </w:r>
      <w:r w:rsidDel="00000000" w:rsidR="00000000" w:rsidRPr="00000000">
        <w:rPr>
          <w:rtl w:val="0"/>
        </w:rPr>
      </w:r>
    </w:p>
    <w:p w:rsidR="00000000" w:rsidDel="00000000" w:rsidP="00000000" w:rsidRDefault="00000000" w:rsidRPr="00000000" w14:paraId="00000213">
      <w:pPr>
        <w:spacing w:after="160" w:lineRule="auto"/>
        <w:jc w:val="both"/>
        <w:rPr/>
      </w:pPr>
      <w:r w:rsidDel="00000000" w:rsidR="00000000" w:rsidRPr="00000000">
        <w:rPr>
          <w:rFonts w:ascii="Arial" w:cs="Arial" w:eastAsia="Arial" w:hAnsi="Arial"/>
          <w:sz w:val="22"/>
          <w:szCs w:val="22"/>
          <w:rtl w:val="0"/>
        </w:rPr>
        <w:t xml:space="preserve">Jolliffe, I. T. (2002). Principal component analysis (2nd ed.). Springer. https://doi.org/10.1007/b98835</w:t>
      </w:r>
      <w:r w:rsidDel="00000000" w:rsidR="00000000" w:rsidRPr="00000000">
        <w:rPr>
          <w:rtl w:val="0"/>
        </w:rPr>
      </w:r>
    </w:p>
    <w:p w:rsidR="00000000" w:rsidDel="00000000" w:rsidP="00000000" w:rsidRDefault="00000000" w:rsidRPr="00000000" w14:paraId="00000214">
      <w:pPr>
        <w:spacing w:after="160" w:lineRule="auto"/>
        <w:jc w:val="both"/>
        <w:rPr/>
      </w:pPr>
      <w:r w:rsidDel="00000000" w:rsidR="00000000" w:rsidRPr="00000000">
        <w:rPr>
          <w:rFonts w:ascii="Arial" w:cs="Arial" w:eastAsia="Arial" w:hAnsi="Arial"/>
          <w:sz w:val="22"/>
          <w:szCs w:val="22"/>
          <w:rtl w:val="0"/>
        </w:rPr>
        <w:t xml:space="preserve">Khan, M., Imran, A., &amp; Siddiqui, R. (2025). EV adoption in India: Barriers and policy solutions. Transportation Research Record, 267(4), 1370–1380. https://doi.org/10.1177/03611981241311295</w:t>
      </w:r>
      <w:r w:rsidDel="00000000" w:rsidR="00000000" w:rsidRPr="00000000">
        <w:rPr>
          <w:rtl w:val="0"/>
        </w:rPr>
      </w:r>
    </w:p>
    <w:p w:rsidR="00000000" w:rsidDel="00000000" w:rsidP="00000000" w:rsidRDefault="00000000" w:rsidRPr="00000000" w14:paraId="00000215">
      <w:pPr>
        <w:spacing w:after="160" w:lineRule="auto"/>
        <w:jc w:val="both"/>
        <w:rPr/>
      </w:pPr>
      <w:r w:rsidDel="00000000" w:rsidR="00000000" w:rsidRPr="00000000">
        <w:rPr>
          <w:rFonts w:ascii="Arial" w:cs="Arial" w:eastAsia="Arial" w:hAnsi="Arial"/>
          <w:sz w:val="22"/>
          <w:szCs w:val="22"/>
          <w:rtl w:val="0"/>
        </w:rPr>
        <w:t xml:space="preserve">Li, X., Zhang, Y., &amp; Chen, W. (2024). Demand and supply gap analysis of Chinese NEV charging infrastructure. Renewable Energy, 217, 126107. https://doi.org/10.1016/j.renene.2024.126107</w:t>
      </w:r>
      <w:r w:rsidDel="00000000" w:rsidR="00000000" w:rsidRPr="00000000">
        <w:rPr>
          <w:rtl w:val="0"/>
        </w:rPr>
      </w:r>
    </w:p>
    <w:p w:rsidR="00000000" w:rsidDel="00000000" w:rsidP="00000000" w:rsidRDefault="00000000" w:rsidRPr="00000000" w14:paraId="00000216">
      <w:pPr>
        <w:spacing w:after="160" w:lineRule="auto"/>
        <w:jc w:val="both"/>
        <w:rPr/>
      </w:pPr>
      <w:r w:rsidDel="00000000" w:rsidR="00000000" w:rsidRPr="00000000">
        <w:rPr>
          <w:rFonts w:ascii="Arial" w:cs="Arial" w:eastAsia="Arial" w:hAnsi="Arial"/>
          <w:sz w:val="22"/>
          <w:szCs w:val="22"/>
          <w:rtl w:val="0"/>
        </w:rPr>
        <w:t xml:space="preserve">Mao, Y., Zhou, H., &amp; Liu, T. (2026). EV charging demand forecasting: A data-driven integrated learning approach. Renewable Energy, 256, 124141. https://doi.org/10.1016/j.renene.2025.124141</w:t>
      </w:r>
      <w:r w:rsidDel="00000000" w:rsidR="00000000" w:rsidRPr="00000000">
        <w:rPr>
          <w:rtl w:val="0"/>
        </w:rPr>
      </w:r>
    </w:p>
    <w:p w:rsidR="00000000" w:rsidDel="00000000" w:rsidP="00000000" w:rsidRDefault="00000000" w:rsidRPr="00000000" w14:paraId="00000217">
      <w:pPr>
        <w:spacing w:after="160" w:lineRule="auto"/>
        <w:jc w:val="both"/>
        <w:rPr/>
      </w:pPr>
      <w:r w:rsidDel="00000000" w:rsidR="00000000" w:rsidRPr="00000000">
        <w:rPr>
          <w:rFonts w:ascii="Arial" w:cs="Arial" w:eastAsia="Arial" w:hAnsi="Arial"/>
          <w:sz w:val="22"/>
          <w:szCs w:val="22"/>
          <w:rtl w:val="0"/>
        </w:rPr>
        <w:t xml:space="preserve">Ministry of Heavy Industries, Government of India. (2024). PM E-DRIVE scheme. Press Information Bureau. https://heavyindustries.gov.in</w:t>
      </w:r>
      <w:r w:rsidDel="00000000" w:rsidR="00000000" w:rsidRPr="00000000">
        <w:rPr>
          <w:rtl w:val="0"/>
        </w:rPr>
      </w:r>
    </w:p>
    <w:p w:rsidR="00000000" w:rsidDel="00000000" w:rsidP="00000000" w:rsidRDefault="00000000" w:rsidRPr="00000000" w14:paraId="00000218">
      <w:pPr>
        <w:spacing w:after="160" w:lineRule="auto"/>
        <w:jc w:val="both"/>
        <w:rPr/>
      </w:pPr>
      <w:r w:rsidDel="00000000" w:rsidR="00000000" w:rsidRPr="00000000">
        <w:rPr>
          <w:rFonts w:ascii="Arial" w:cs="Arial" w:eastAsia="Arial" w:hAnsi="Arial"/>
          <w:sz w:val="22"/>
          <w:szCs w:val="22"/>
          <w:rtl w:val="0"/>
        </w:rPr>
        <w:t xml:space="preserve">Ministry of Road Transport and Highways. (2024). Vahan national vehicle registration service. https://vahan.parivahan.gov.in</w:t>
      </w:r>
      <w:r w:rsidDel="00000000" w:rsidR="00000000" w:rsidRPr="00000000">
        <w:rPr>
          <w:rtl w:val="0"/>
        </w:rPr>
      </w:r>
    </w:p>
    <w:p w:rsidR="00000000" w:rsidDel="00000000" w:rsidP="00000000" w:rsidRDefault="00000000" w:rsidRPr="00000000" w14:paraId="00000219">
      <w:pPr>
        <w:spacing w:after="160" w:lineRule="auto"/>
        <w:jc w:val="both"/>
        <w:rPr/>
      </w:pPr>
      <w:r w:rsidDel="00000000" w:rsidR="00000000" w:rsidRPr="00000000">
        <w:rPr>
          <w:rFonts w:ascii="Arial" w:cs="Arial" w:eastAsia="Arial" w:hAnsi="Arial"/>
          <w:sz w:val="22"/>
          <w:szCs w:val="22"/>
          <w:rtl w:val="0"/>
        </w:rPr>
        <w:t xml:space="preserve">NITI Aayog. (2023). India EV readiness index 2023. Government of India. https://www.niti.gov.in</w:t>
      </w:r>
      <w:r w:rsidDel="00000000" w:rsidR="00000000" w:rsidRPr="00000000">
        <w:rPr>
          <w:rtl w:val="0"/>
        </w:rPr>
      </w:r>
    </w:p>
    <w:p w:rsidR="00000000" w:rsidDel="00000000" w:rsidP="00000000" w:rsidRDefault="00000000" w:rsidRPr="00000000" w14:paraId="0000021A">
      <w:pPr>
        <w:spacing w:after="160" w:lineRule="auto"/>
        <w:jc w:val="both"/>
        <w:rPr/>
      </w:pPr>
      <w:r w:rsidDel="00000000" w:rsidR="00000000" w:rsidRPr="00000000">
        <w:rPr>
          <w:rFonts w:ascii="Arial" w:cs="Arial" w:eastAsia="Arial" w:hAnsi="Arial"/>
          <w:sz w:val="22"/>
          <w:szCs w:val="22"/>
          <w:rtl w:val="0"/>
        </w:rPr>
        <w:t xml:space="preserve">Observer Research Foundation. (2025). Charging infrastructure: The missing link in India's EV transition. ORF Issue Brief.</w:t>
      </w:r>
      <w:r w:rsidDel="00000000" w:rsidR="00000000" w:rsidRPr="00000000">
        <w:rPr>
          <w:rtl w:val="0"/>
        </w:rPr>
      </w:r>
    </w:p>
    <w:p w:rsidR="00000000" w:rsidDel="00000000" w:rsidP="00000000" w:rsidRDefault="00000000" w:rsidRPr="00000000" w14:paraId="0000021B">
      <w:pPr>
        <w:spacing w:after="160" w:lineRule="auto"/>
        <w:jc w:val="both"/>
        <w:rPr/>
      </w:pPr>
      <w:r w:rsidDel="00000000" w:rsidR="00000000" w:rsidRPr="00000000">
        <w:rPr>
          <w:rFonts w:ascii="Arial" w:cs="Arial" w:eastAsia="Arial" w:hAnsi="Arial"/>
          <w:sz w:val="22"/>
          <w:szCs w:val="22"/>
          <w:rtl w:val="0"/>
        </w:rPr>
        <w:t xml:space="preserve">Orzechowski, T., Banaszak, S., &amp; Kudra, M. (2023). A data-driven framework for medium-term EV charging demand forecasting. Energy and AI, 14, 100267. https://doi.org/10.1016/j.egyai.2023.100267</w:t>
      </w:r>
      <w:r w:rsidDel="00000000" w:rsidR="00000000" w:rsidRPr="00000000">
        <w:rPr>
          <w:rtl w:val="0"/>
        </w:rPr>
      </w:r>
    </w:p>
    <w:p w:rsidR="00000000" w:rsidDel="00000000" w:rsidP="00000000" w:rsidRDefault="00000000" w:rsidRPr="00000000" w14:paraId="0000021C">
      <w:pPr>
        <w:spacing w:after="160" w:lineRule="auto"/>
        <w:jc w:val="both"/>
        <w:rPr/>
      </w:pPr>
      <w:r w:rsidDel="00000000" w:rsidR="00000000" w:rsidRPr="00000000">
        <w:rPr>
          <w:rFonts w:ascii="Arial" w:cs="Arial" w:eastAsia="Arial" w:hAnsi="Arial"/>
          <w:sz w:val="22"/>
          <w:szCs w:val="22"/>
          <w:rtl w:val="0"/>
        </w:rPr>
        <w:t xml:space="preserve">Prakobkaew, P., &amp; Sirisumrannukul, S. (2024). Optimal locating and sizing of EV charging stations using GIS and grid partitioning. IET Generation, Transmission &amp; Distribution, 18(6), 1235–1254. https://doi.org/10.1049/gtd2.13227</w:t>
      </w:r>
      <w:r w:rsidDel="00000000" w:rsidR="00000000" w:rsidRPr="00000000">
        <w:rPr>
          <w:rtl w:val="0"/>
        </w:rPr>
      </w:r>
    </w:p>
    <w:p w:rsidR="00000000" w:rsidDel="00000000" w:rsidP="00000000" w:rsidRDefault="00000000" w:rsidRPr="00000000" w14:paraId="0000021D">
      <w:pPr>
        <w:spacing w:after="160" w:lineRule="auto"/>
        <w:jc w:val="both"/>
        <w:rPr/>
      </w:pPr>
      <w:r w:rsidDel="00000000" w:rsidR="00000000" w:rsidRPr="00000000">
        <w:rPr>
          <w:rFonts w:ascii="Arial" w:cs="Arial" w:eastAsia="Arial" w:hAnsi="Arial"/>
          <w:sz w:val="22"/>
          <w:szCs w:val="22"/>
          <w:rtl w:val="0"/>
        </w:rPr>
        <w:t xml:space="preserve">Press Information Bureau. (2025). Progress under FAME India Phase-II. Government of India. https://pib.gov.in</w:t>
      </w:r>
      <w:r w:rsidDel="00000000" w:rsidR="00000000" w:rsidRPr="00000000">
        <w:rPr>
          <w:rtl w:val="0"/>
        </w:rPr>
      </w:r>
    </w:p>
    <w:p w:rsidR="00000000" w:rsidDel="00000000" w:rsidP="00000000" w:rsidRDefault="00000000" w:rsidRPr="00000000" w14:paraId="0000021E">
      <w:pPr>
        <w:spacing w:after="160" w:lineRule="auto"/>
        <w:jc w:val="both"/>
        <w:rPr/>
      </w:pPr>
      <w:r w:rsidDel="00000000" w:rsidR="00000000" w:rsidRPr="00000000">
        <w:rPr>
          <w:rFonts w:ascii="Arial" w:cs="Arial" w:eastAsia="Arial" w:hAnsi="Arial"/>
          <w:sz w:val="22"/>
          <w:szCs w:val="22"/>
          <w:rtl w:val="0"/>
        </w:rPr>
        <w:t xml:space="preserve">Rajmal, K., &amp; Gupta, K. (2025). Fuelling EV growth: Factors that matter in India's EV story. Studies in Microeconomics, 13(1), 85–99. https://doi.org/10.1177/23210222241312091</w:t>
      </w:r>
      <w:r w:rsidDel="00000000" w:rsidR="00000000" w:rsidRPr="00000000">
        <w:rPr>
          <w:rtl w:val="0"/>
        </w:rPr>
      </w:r>
    </w:p>
    <w:p w:rsidR="00000000" w:rsidDel="00000000" w:rsidP="00000000" w:rsidRDefault="00000000" w:rsidRPr="00000000" w14:paraId="0000021F">
      <w:pPr>
        <w:spacing w:after="160" w:lineRule="auto"/>
        <w:jc w:val="both"/>
        <w:rPr/>
      </w:pPr>
      <w:r w:rsidDel="00000000" w:rsidR="00000000" w:rsidRPr="00000000">
        <w:rPr>
          <w:rFonts w:ascii="Arial" w:cs="Arial" w:eastAsia="Arial" w:hAnsi="Arial"/>
          <w:sz w:val="22"/>
          <w:szCs w:val="22"/>
          <w:rtl w:val="0"/>
        </w:rPr>
        <w:t xml:space="preserve">Roy, S., Dhiman, G., &amp; Kumar, R. (2025). Optimized placement of EV charging stations considering sustainable utility criteria. Sustainable Cities and Society. https://doi.org/10.1016/j.scs.2025.106895</w:t>
      </w:r>
      <w:r w:rsidDel="00000000" w:rsidR="00000000" w:rsidRPr="00000000">
        <w:rPr>
          <w:rtl w:val="0"/>
        </w:rPr>
      </w:r>
    </w:p>
    <w:p w:rsidR="00000000" w:rsidDel="00000000" w:rsidP="00000000" w:rsidRDefault="00000000" w:rsidRPr="00000000" w14:paraId="00000220">
      <w:pPr>
        <w:spacing w:after="160" w:lineRule="auto"/>
        <w:jc w:val="both"/>
        <w:rPr/>
      </w:pPr>
      <w:r w:rsidDel="00000000" w:rsidR="00000000" w:rsidRPr="00000000">
        <w:rPr>
          <w:rFonts w:ascii="Arial" w:cs="Arial" w:eastAsia="Arial" w:hAnsi="Arial"/>
          <w:sz w:val="22"/>
          <w:szCs w:val="22"/>
          <w:rtl w:val="0"/>
        </w:rPr>
        <w:t xml:space="preserve">Taylor, S. J., &amp; Letham, B. (2018). Forecasting at scale. The American Statistician, 72(1), 37–45. https://doi.org/10.1080/00031305.2017.1380080</w:t>
      </w:r>
      <w:r w:rsidDel="00000000" w:rsidR="00000000" w:rsidRPr="00000000">
        <w:rPr>
          <w:rtl w:val="0"/>
        </w:rPr>
      </w:r>
    </w:p>
    <w:p w:rsidR="00000000" w:rsidDel="00000000" w:rsidP="00000000" w:rsidRDefault="00000000" w:rsidRPr="00000000" w14:paraId="00000221">
      <w:pPr>
        <w:spacing w:after="160" w:lineRule="auto"/>
        <w:jc w:val="both"/>
        <w:rPr/>
      </w:pPr>
      <w:r w:rsidDel="00000000" w:rsidR="00000000" w:rsidRPr="00000000">
        <w:rPr>
          <w:rFonts w:ascii="Arial" w:cs="Arial" w:eastAsia="Arial" w:hAnsi="Arial"/>
          <w:sz w:val="22"/>
          <w:szCs w:val="22"/>
          <w:rtl w:val="0"/>
        </w:rPr>
        <w:t xml:space="preserve">Teslavolts. (2024). CPO calculator — Revenue and payback defaults. Teslavolts Technologies, GIFT City, Gujarat.</w:t>
      </w:r>
      <w:r w:rsidDel="00000000" w:rsidR="00000000" w:rsidRPr="00000000">
        <w:rPr>
          <w:rtl w:val="0"/>
        </w:rPr>
      </w:r>
    </w:p>
    <w:p w:rsidR="00000000" w:rsidDel="00000000" w:rsidP="00000000" w:rsidRDefault="00000000" w:rsidRPr="00000000" w14:paraId="00000222">
      <w:pPr>
        <w:spacing w:after="160" w:lineRule="auto"/>
        <w:jc w:val="both"/>
        <w:rPr/>
      </w:pPr>
      <w:r w:rsidDel="00000000" w:rsidR="00000000" w:rsidRPr="00000000">
        <w:rPr>
          <w:rFonts w:ascii="Arial" w:cs="Arial" w:eastAsia="Arial" w:hAnsi="Arial"/>
          <w:sz w:val="22"/>
          <w:szCs w:val="22"/>
          <w:rtl w:val="0"/>
        </w:rPr>
        <w:t xml:space="preserve">Zhang, Y., Liu, R., &amp; Wang, X. (2025). Predicting EV charging demand using explainable ML. Sustainability, 17(9), 4158. https://doi.org/10.3390/su17094158</w:t>
      </w: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180340</wp:posOffset>
          </wp:positionV>
          <wp:extent cx="5829300" cy="88900"/>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29300" cy="88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4638675</wp:posOffset>
          </wp:positionH>
          <wp:positionV relativeFrom="paragraph">
            <wp:posOffset>-390524</wp:posOffset>
          </wp:positionV>
          <wp:extent cx="1815245" cy="610298"/>
          <wp:effectExtent b="0" l="0" r="0" t="0"/>
          <wp:wrapNone/>
          <wp:docPr id="1" name="image9.png"/>
          <a:graphic>
            <a:graphicData uri="http://schemas.openxmlformats.org/drawingml/2006/picture">
              <pic:pic>
                <pic:nvPicPr>
                  <pic:cNvPr id="0" name="image9.png"/>
                  <pic:cNvPicPr preferRelativeResize="0"/>
                </pic:nvPicPr>
                <pic:blipFill>
                  <a:blip r:embed="rId1"/>
                  <a:srcRect b="-4687" l="0" r="0" t="4688"/>
                  <a:stretch>
                    <a:fillRect/>
                  </a:stretch>
                </pic:blipFill>
                <pic:spPr>
                  <a:xfrm>
                    <a:off x="0" y="0"/>
                    <a:ext cx="1815245" cy="61029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H6llY1Tz9/QeyUIdWjD2zE0Hw==">CgMxLjAaFAoBMBIPCg0IB0IJEgdHdW5nc3VoGhIKATESDQoLCAdCBxIFQ2FyZG8aFAoBMhIPCg0IB0IJEgdHdW5nc3VoGhIKATMSDQoLCAdCBxIFQ2FyZG8aEgoBNBINCgsIB0IHEgVDYXJkbxoSCgE1Eg0KCwgHQgcSBUNhcmRvGhIKATYSDQoLCAdCBxIFQ2FyZG8aFAoBNxIPCg0IB0IJEgdHdW5nc3VoGhQKATgSDwoNCAdCCRIHR3VuZ3N1aBoUCgE5Eg8KDQgHQgkSB0d1bmdzdWgaEwoCMTASDQoLCAdCBxIFQ2FyZG8aJAoCMTESHgocCAdCGAoPVGltZXMgTmV3IFJvbWFuEgVDYXJkbzIOaC5uZmM3YTBlaTJzOWIyDmgubWVva2wxczlpdjE0OAByITFiWnpJdjZDSmQ0djBjOVlhLTVFVmExbjh5bEtTdS1a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