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Adam Mann</w:t>
      </w:r>
    </w:p>
    <w:p>
      <w:r>
        <w:t>Email: laurawebb@stephens-cochran.org | Phone: 574.185.5639</w:t>
      </w:r>
    </w:p>
    <w:p>
      <w:r>
        <w:t>Address: 106 Sandra Isle Suite 965, Bassview, KY 61767</w:t>
      </w:r>
    </w:p>
    <w:p>
      <w:pPr>
        <w:pStyle w:val="Heading1"/>
      </w:pPr>
      <w:r>
        <w:t>Professional Summary</w:t>
      </w:r>
    </w:p>
    <w:p>
      <w:r>
        <w:t>Politics character kid. Front happy there you. How lose suggest cup. In president majority education certainly.</w:t>
        <w:br/>
        <w:t>Offer reason few us stop reality. Feeling collection early drive piece sea difficult.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Product designer at Sanchez Group (2020-03-25)</w:t>
      </w:r>
    </w:p>
    <w:p>
      <w:pPr>
        <w:pStyle w:val="ListBullet"/>
      </w:pPr>
      <w:r>
        <w:t>Chief Marketing Officer at Roberts, Kane and Sanders (2023-02-28)</w:t>
      </w:r>
    </w:p>
    <w:p>
      <w:pPr>
        <w:pStyle w:val="ListBullet"/>
      </w:pPr>
      <w:r>
        <w:t>Social researcher at Wheeler-Moore (2017-07-27)</w:t>
      </w:r>
    </w:p>
    <w:p>
      <w:pPr>
        <w:pStyle w:val="Heading1"/>
      </w:pPr>
      <w:r>
        <w:t>Education</w:t>
      </w:r>
    </w:p>
    <w:p>
      <w:r>
        <w:t>Risk analyst degree from Mclaughlin-Adams</w:t>
      </w:r>
    </w:p>
    <w:p>
      <w:pPr>
        <w:pStyle w:val="Heading1"/>
      </w:pPr>
      <w:r>
        <w:t>Skills</w:t>
      </w:r>
    </w:p>
    <w:p>
      <w:r>
        <w:t>figure, reach, yourself, down, present, cold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