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Brown</w:t>
      </w:r>
    </w:p>
    <w:p>
      <w:r>
        <w:t>Email: roblescharles@peterson-reynolds.org | Phone: 642-608-6659</w:t>
      </w:r>
    </w:p>
    <w:p>
      <w:r>
        <w:t>Address: 259 Stacy Terrace, Nicoleland, MS 85085</w:t>
      </w:r>
    </w:p>
    <w:p>
      <w:pPr>
        <w:pStyle w:val="Heading1"/>
      </w:pPr>
      <w:r>
        <w:t>Professional Summary</w:t>
      </w:r>
    </w:p>
    <w:p>
      <w:r>
        <w:t>Pay whole pattern international hold. None floor point many send boy number friend. Around view talk according PM side. Let support rule memory phone.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Occupational hygienist at Bell-Dorsey (2021-02-15)</w:t>
      </w:r>
    </w:p>
    <w:p>
      <w:pPr>
        <w:pStyle w:val="ListBullet"/>
      </w:pPr>
      <w:r>
        <w:t>Social researcher at Whitney, Lewis and Warren (2019-03-16)</w:t>
      </w:r>
    </w:p>
    <w:p>
      <w:pPr>
        <w:pStyle w:val="ListBullet"/>
      </w:pPr>
      <w:r>
        <w:t>Careers information officer at Webb, Singh and Carter (2020-04-18)</w:t>
      </w:r>
    </w:p>
    <w:p>
      <w:pPr>
        <w:pStyle w:val="Heading1"/>
      </w:pPr>
      <w:r>
        <w:t>Education</w:t>
      </w:r>
    </w:p>
    <w:p>
      <w:r>
        <w:t>Museum education officer degree from Barnes-Mahoney</w:t>
      </w:r>
    </w:p>
    <w:p>
      <w:pPr>
        <w:pStyle w:val="Heading1"/>
      </w:pPr>
      <w:r>
        <w:t>Skills</w:t>
      </w:r>
    </w:p>
    <w:p>
      <w:r>
        <w:t>strategy, appear, analysis, above, six,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