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Combined Summary of Variant Impacts Across MTB Samples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7"/>
        <w:gridCol w:w="1242"/>
        <w:gridCol w:w="1242"/>
        <w:gridCol w:w="1242"/>
        <w:gridCol w:w="1242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SRR285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SRR345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SRR354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SRR358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1,205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2026-05-17T13:27:01Z</dcterms:modified>
  <cp:category/>
</cp:coreProperties>
</file>