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Variant Functional Types in the Most Clinically Relevant Isolate: SRR345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183"/>
        <w:gridCol w:w="1657"/>
        <w:gridCol w:w="998"/>
      </w:tblGrid>
      <w:tr>
        <w:trPr>
          <w:trHeight w:val="57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synonymous_variant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upstream_gene_variant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MODIFIER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frameshift_variant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conservative_inframe_insertion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stop_gained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disruptive_inframe_deletion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disruptive_inframe_insertion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stop_lost&amp;splice_region_variant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splice_region_variant&amp;stop_retained_variant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frameshift_variant&amp;start_lost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gene_fusion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splice_region_variant&amp;non_coding_transcript_exon_variant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2026-05-17T13:48:45Z</dcterms:modified>
  <cp:category/>
</cp:coreProperties>
</file>