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2650" cy="2124075"/>
            <wp:effectExtent b="0" l="0" r="0" t="0"/>
            <wp:docPr id="23"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1526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MBARARA UNIVERSITY OF SCIENCE AND TECHNOLOGY</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OF HEALTH SCIENCES</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BIOCHEMISTRY</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BIOINFORMATICS AND COMPUTER ORIENTATION</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w:t>
      </w:r>
      <w:r w:rsidDel="00000000" w:rsidR="00000000" w:rsidRPr="00000000">
        <w:rPr>
          <w:rFonts w:ascii="Times New Roman" w:cs="Times New Roman" w:eastAsia="Times New Roman" w:hAnsi="Times New Roman"/>
          <w:sz w:val="24"/>
          <w:szCs w:val="24"/>
          <w:rtl w:val="0"/>
        </w:rPr>
        <w:t xml:space="preserve"> MR. EZINGA RICHARD</w:t>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NAME</w:t>
      </w:r>
      <w:r w:rsidDel="00000000" w:rsidR="00000000" w:rsidRPr="00000000">
        <w:rPr>
          <w:rFonts w:ascii="Times New Roman" w:cs="Times New Roman" w:eastAsia="Times New Roman" w:hAnsi="Times New Roman"/>
          <w:sz w:val="24"/>
          <w:szCs w:val="24"/>
          <w:rtl w:val="0"/>
        </w:rPr>
        <w:t xml:space="preserve">: ATWAU PIUS</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 NO</w:t>
      </w:r>
      <w:r w:rsidDel="00000000" w:rsidR="00000000" w:rsidRPr="00000000">
        <w:rPr>
          <w:rFonts w:ascii="Times New Roman" w:cs="Times New Roman" w:eastAsia="Times New Roman" w:hAnsi="Times New Roman"/>
          <w:sz w:val="24"/>
          <w:szCs w:val="24"/>
          <w:rtl w:val="0"/>
        </w:rPr>
        <w:t xml:space="preserve">. 2025/MMSc/038/PS</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TITLE:</w:t>
      </w:r>
      <w:r w:rsidDel="00000000" w:rsidR="00000000" w:rsidRPr="00000000">
        <w:rPr>
          <w:rFonts w:ascii="Times New Roman" w:cs="Times New Roman" w:eastAsia="Times New Roman" w:hAnsi="Times New Roman"/>
          <w:b w:val="1"/>
          <w:bCs w:val="1"/>
          <w:sz w:val="24"/>
          <w:szCs w:val="24"/>
          <w:rtl w:val="0"/>
        </w:rPr>
        <w:t xml:space="preserve"> COMPARATIVE WHOLE-GENOME ANALYSIS OF MYCOBACTERIUM TUBERCULOSIS ISOLATES: VARIANT ANNOTATION, LINEAGE CLASSIFICATION, AND PHYLOGENETIC INFERENCE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line="480" w:lineRule="auto"/>
        <w:rPr>
          <w:rFonts w:ascii="Times New Roman" w:cs="Times New Roman" w:eastAsia="Times New Roman" w:hAnsi="Times New Roman"/>
          <w:b w:val="1"/>
          <w:bCs w:val="1"/>
          <w:sz w:val="24"/>
          <w:szCs w:val="24"/>
        </w:rPr>
      </w:pPr>
      <w:bookmarkStart w:colFirst="0" w:colLast="0" w:name="_g5ybr88kiiup" w:id="0"/>
      <w:bookmarkEnd w:id="0"/>
      <w:r w:rsidDel="00000000" w:rsidR="00000000" w:rsidRPr="00000000">
        <w:rPr>
          <w:rFonts w:ascii="Times New Roman" w:cs="Times New Roman" w:eastAsia="Times New Roman" w:hAnsi="Times New Roman"/>
          <w:b w:val="1"/>
          <w:bCs w:val="1"/>
          <w:sz w:val="24"/>
          <w:szCs w:val="24"/>
          <w:rtl w:val="0"/>
        </w:rPr>
        <w:t xml:space="preserve">Tasks</w:t>
      </w:r>
    </w:p>
    <w:p w:rsidR="00000000" w:rsidDel="00000000" w:rsidP="00000000" w:rsidRDefault="00000000" w:rsidRPr="00000000" w14:paraId="0000000F">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 the variants and explain their biological impact.</w:t>
      </w:r>
    </w:p>
    <w:p w:rsidR="00000000" w:rsidDel="00000000" w:rsidP="00000000" w:rsidRDefault="00000000" w:rsidRPr="00000000" w14:paraId="00000010">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a lineage profile and give a sound report for this.</w:t>
      </w:r>
    </w:p>
    <w:p w:rsidR="00000000" w:rsidDel="00000000" w:rsidP="00000000" w:rsidRDefault="00000000" w:rsidRPr="00000000" w14:paraId="00000011">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phylogenetic tree to infer evolutionary relatedness.</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line="480" w:lineRule="auto"/>
        <w:rPr>
          <w:rFonts w:ascii="Times New Roman" w:cs="Times New Roman" w:eastAsia="Times New Roman" w:hAnsi="Times New Roman"/>
          <w:b w:val="1"/>
          <w:bCs w:val="1"/>
          <w:sz w:val="24"/>
          <w:szCs w:val="24"/>
        </w:rPr>
      </w:pPr>
      <w:bookmarkStart w:colFirst="0" w:colLast="0" w:name="_wz9tl96278kx" w:id="1"/>
      <w:bookmarkEnd w:id="1"/>
      <w:r w:rsidDel="00000000" w:rsidR="00000000" w:rsidRPr="00000000">
        <w:rPr>
          <w:rFonts w:ascii="Times New Roman" w:cs="Times New Roman" w:eastAsia="Times New Roman" w:hAnsi="Times New Roman"/>
          <w:b w:val="1"/>
          <w:bCs w:val="1"/>
          <w:sz w:val="24"/>
          <w:szCs w:val="24"/>
          <w:rtl w:val="0"/>
        </w:rPr>
        <w:t xml:space="preserve">Installation of required tools</w:t>
      </w:r>
    </w:p>
    <w:p w:rsidR="00000000" w:rsidDel="00000000" w:rsidP="00000000" w:rsidRDefault="00000000" w:rsidRPr="00000000" w14:paraId="00000014">
      <w:pPr>
        <w:pStyle w:val="Heading3"/>
        <w:spacing w:line="480" w:lineRule="auto"/>
        <w:rPr>
          <w:rFonts w:ascii="Times New Roman" w:cs="Times New Roman" w:eastAsia="Times New Roman" w:hAnsi="Times New Roman"/>
          <w:b w:val="1"/>
          <w:bCs w:val="1"/>
          <w:sz w:val="24"/>
          <w:szCs w:val="24"/>
        </w:rPr>
      </w:pPr>
      <w:bookmarkStart w:colFirst="0" w:colLast="0" w:name="_b7vb32d7ygky" w:id="2"/>
      <w:bookmarkEnd w:id="2"/>
      <w:r w:rsidDel="00000000" w:rsidR="00000000" w:rsidRPr="00000000">
        <w:rPr>
          <w:rFonts w:ascii="Times New Roman" w:cs="Times New Roman" w:eastAsia="Times New Roman" w:hAnsi="Times New Roman"/>
          <w:b w:val="1"/>
          <w:bCs w:val="1"/>
          <w:sz w:val="24"/>
          <w:szCs w:val="24"/>
          <w:rtl w:val="0"/>
        </w:rPr>
        <w:t xml:space="preserve">For variant annotation,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predict the functional effects of mutations.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SnpEff </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TB-Profiler. </w:t>
      </w:r>
    </w:p>
    <w:p w:rsidR="00000000" w:rsidDel="00000000" w:rsidP="00000000" w:rsidRDefault="00000000" w:rsidRPr="00000000" w14:paraId="0000001A">
      <w:pPr>
        <w:pStyle w:val="Heading3"/>
        <w:spacing w:line="480" w:lineRule="auto"/>
        <w:rPr>
          <w:rFonts w:ascii="Times New Roman" w:cs="Times New Roman" w:eastAsia="Times New Roman" w:hAnsi="Times New Roman"/>
          <w:b w:val="1"/>
          <w:bCs w:val="1"/>
          <w:sz w:val="24"/>
          <w:szCs w:val="24"/>
        </w:rPr>
      </w:pPr>
      <w:bookmarkStart w:colFirst="0" w:colLast="0" w:name="_85k2kgt50nfn" w:id="3"/>
      <w:bookmarkEnd w:id="3"/>
      <w:r w:rsidDel="00000000" w:rsidR="00000000" w:rsidRPr="00000000">
        <w:rPr>
          <w:rFonts w:ascii="Times New Roman" w:cs="Times New Roman" w:eastAsia="Times New Roman" w:hAnsi="Times New Roman"/>
          <w:b w:val="1"/>
          <w:bCs w:val="1"/>
          <w:sz w:val="24"/>
          <w:szCs w:val="24"/>
          <w:rtl w:val="0"/>
        </w:rPr>
        <w:t xml:space="preserve">For lineage profiling</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classify samples into M. tuberculosis lineages.</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TB-Profiler</w:t>
      </w:r>
    </w:p>
    <w:p w:rsidR="00000000" w:rsidDel="00000000" w:rsidP="00000000" w:rsidRDefault="00000000" w:rsidRPr="00000000" w14:paraId="0000001F">
      <w:pPr>
        <w:pStyle w:val="Heading3"/>
        <w:spacing w:line="480" w:lineRule="auto"/>
        <w:rPr>
          <w:rFonts w:ascii="Times New Roman" w:cs="Times New Roman" w:eastAsia="Times New Roman" w:hAnsi="Times New Roman"/>
          <w:b w:val="1"/>
          <w:bCs w:val="1"/>
          <w:sz w:val="24"/>
          <w:szCs w:val="24"/>
        </w:rPr>
      </w:pPr>
      <w:bookmarkStart w:colFirst="0" w:colLast="0" w:name="_6fd010ftv9yg" w:id="4"/>
      <w:bookmarkEnd w:id="4"/>
      <w:r w:rsidDel="00000000" w:rsidR="00000000" w:rsidRPr="00000000">
        <w:rPr>
          <w:rFonts w:ascii="Times New Roman" w:cs="Times New Roman" w:eastAsia="Times New Roman" w:hAnsi="Times New Roman"/>
          <w:b w:val="1"/>
          <w:bCs w:val="1"/>
          <w:sz w:val="24"/>
          <w:szCs w:val="24"/>
          <w:rtl w:val="0"/>
        </w:rPr>
        <w:t xml:space="preserve">Phylogenetic Reconstruction</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visualize the evolutionary relationships between the isolates</w:t>
      </w:r>
    </w:p>
    <w:p w:rsidR="00000000" w:rsidDel="00000000" w:rsidP="00000000" w:rsidRDefault="00000000" w:rsidRPr="00000000" w14:paraId="00000022">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Iqtree</w:t>
      </w:r>
    </w:p>
    <w:p w:rsidR="00000000" w:rsidDel="00000000" w:rsidP="00000000" w:rsidRDefault="00000000" w:rsidRPr="00000000" w14:paraId="00000023">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Figtree </w:t>
      </w:r>
    </w:p>
    <w:p w:rsidR="00000000" w:rsidDel="00000000" w:rsidP="00000000" w:rsidRDefault="00000000" w:rsidRPr="00000000" w14:paraId="00000024">
      <w:pPr>
        <w:pStyle w:val="Heading2"/>
        <w:spacing w:line="480" w:lineRule="auto"/>
        <w:rPr>
          <w:rFonts w:ascii="Times New Roman" w:cs="Times New Roman" w:eastAsia="Times New Roman" w:hAnsi="Times New Roman"/>
          <w:sz w:val="24"/>
          <w:szCs w:val="24"/>
        </w:rPr>
      </w:pPr>
      <w:bookmarkStart w:colFirst="0" w:colLast="0" w:name="_plyuj9oiu3xl" w:id="5"/>
      <w:bookmarkEnd w:id="5"/>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079500"/>
                  <wp:effectExtent b="0" l="0" r="0" t="0"/>
                  <wp:docPr id="31"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5591175" cy="1079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software packages for variant annotation, profiling and phylogenetic tree construction were first installed using conda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with SnpEff followed in 3 steps to predict the functional impact of each variant (e.g., whether it causes a synonymous or non-synonymous change in a protein). </w:t>
            </w:r>
          </w:p>
          <w:p w:rsidR="00000000" w:rsidDel="00000000" w:rsidP="00000000" w:rsidRDefault="00000000" w:rsidRPr="00000000" w14:paraId="0000002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the SnpEff database for the reference genome.</w:t>
            </w:r>
          </w:p>
          <w:p w:rsidR="00000000" w:rsidDel="00000000" w:rsidP="00000000" w:rsidRDefault="00000000" w:rsidRPr="00000000" w14:paraId="0000002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SnpEff Annotation</w:t>
            </w:r>
          </w:p>
          <w:p w:rsidR="00000000" w:rsidDel="00000000" w:rsidP="00000000" w:rsidRDefault="00000000" w:rsidRPr="00000000" w14:paraId="0000002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SnpEff Output for Reporting</w:t>
            </w:r>
          </w:p>
        </w:tc>
      </w:tr>
    </w:tbl>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SnpEff database</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corresponding GFF (GenBank) file from NCBI, was downloaded for the same assembly of the MTB reference genome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473200"/>
                  <wp:effectExtent b="0" l="0" r="0" t="0"/>
                  <wp:docPr id="39"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591175" cy="1473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downloaded *.gff.zip ref was then unzipped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19100"/>
                  <wp:effectExtent b="0" l="0" r="0" t="0"/>
                  <wp:docPr id="1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591175" cy="41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Construction of SnpEff database</w:t>
            </w:r>
          </w:p>
          <w:p w:rsidR="00000000" w:rsidDel="00000000" w:rsidP="00000000" w:rsidRDefault="00000000" w:rsidRPr="00000000" w14:paraId="0000003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snpeff configuration file was created in the project root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422400"/>
                  <wp:effectExtent b="0" l="0" r="0" t="0"/>
                  <wp:docPr id="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591175" cy="142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snpeff database</w:t>
            </w:r>
          </w:p>
          <w:p w:rsidR="00000000" w:rsidDel="00000000" w:rsidP="00000000" w:rsidRDefault="00000000" w:rsidRPr="00000000" w14:paraId="0000003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 snpeff requires its default directory structure inorder for it to perform the variant annotation, i.e. all the ref genome, and gff files must be located within the snpEff_data directory. This necessitated copying *.gff from </w:t>
            </w:r>
            <w:r w:rsidDel="00000000" w:rsidR="00000000" w:rsidRPr="00000000">
              <w:rPr>
                <w:rFonts w:ascii="Times New Roman" w:cs="Times New Roman" w:eastAsia="Times New Roman" w:hAnsi="Times New Roman"/>
                <w:b w:val="1"/>
                <w:bCs w:val="1"/>
                <w:i w:val="1"/>
                <w:iCs w:val="1"/>
                <w:sz w:val="24"/>
                <w:szCs w:val="24"/>
                <w:rtl w:val="0"/>
              </w:rPr>
              <w:t xml:space="preserve">ref/gff_ref</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i w:val="1"/>
                <w:iCs w:val="1"/>
                <w:sz w:val="24"/>
                <w:szCs w:val="24"/>
                <w:rtl w:val="0"/>
              </w:rPr>
              <w:t xml:space="preserve">snpEff_data/MTB_H37RV/</w:t>
            </w:r>
            <w:r w:rsidDel="00000000" w:rsidR="00000000" w:rsidRPr="00000000">
              <w:rPr>
                <w:rFonts w:ascii="Times New Roman" w:cs="Times New Roman" w:eastAsia="Times New Roman" w:hAnsi="Times New Roman"/>
                <w:sz w:val="24"/>
                <w:szCs w:val="24"/>
                <w:rtl w:val="0"/>
              </w:rPr>
              <w:t xml:space="preserve"> and renaming the file from </w:t>
            </w:r>
            <w:r w:rsidDel="00000000" w:rsidR="00000000" w:rsidRPr="00000000">
              <w:rPr>
                <w:rFonts w:ascii="Times New Roman" w:cs="Times New Roman" w:eastAsia="Times New Roman" w:hAnsi="Times New Roman"/>
                <w:b w:val="1"/>
                <w:bCs w:val="1"/>
                <w:i w:val="1"/>
                <w:iCs w:val="1"/>
                <w:sz w:val="24"/>
                <w:szCs w:val="24"/>
                <w:rtl w:val="0"/>
              </w:rPr>
              <w:t xml:space="preserve">GCF_000195955.2_ASM19595v2_genomic.gff </w:t>
            </w:r>
            <w:r w:rsidDel="00000000" w:rsidR="00000000" w:rsidRPr="00000000">
              <w:rPr>
                <w:rFonts w:ascii="Times New Roman" w:cs="Times New Roman" w:eastAsia="Times New Roman" w:hAnsi="Times New Roman"/>
                <w:sz w:val="24"/>
                <w:szCs w:val="24"/>
                <w:rtl w:val="0"/>
              </w:rPr>
              <w:t xml:space="preserve">to simply </w:t>
            </w:r>
            <w:r w:rsidDel="00000000" w:rsidR="00000000" w:rsidRPr="00000000">
              <w:rPr>
                <w:rFonts w:ascii="Times New Roman" w:cs="Times New Roman" w:eastAsia="Times New Roman" w:hAnsi="Times New Roman"/>
                <w:b w:val="1"/>
                <w:bCs w:val="1"/>
                <w:i w:val="1"/>
                <w:iCs w:val="1"/>
                <w:sz w:val="24"/>
                <w:szCs w:val="24"/>
                <w:rtl w:val="0"/>
              </w:rPr>
              <w:t xml:space="preserve">genes.gff</w:t>
            </w:r>
            <w:r w:rsidDel="00000000" w:rsidR="00000000" w:rsidRPr="00000000">
              <w:rPr>
                <w:rFonts w:ascii="Times New Roman" w:cs="Times New Roman" w:eastAsia="Times New Roman" w:hAnsi="Times New Roman"/>
                <w:sz w:val="24"/>
                <w:szCs w:val="24"/>
                <w:rtl w:val="0"/>
              </w:rPr>
              <w:t xml:space="preserve"> as this is the file which snEff expects.</w:t>
            </w:r>
          </w:p>
          <w:p w:rsidR="00000000" w:rsidDel="00000000" w:rsidP="00000000" w:rsidRDefault="00000000" w:rsidRPr="00000000" w14:paraId="0000003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was true for </w:t>
            </w:r>
            <w:r w:rsidDel="00000000" w:rsidR="00000000" w:rsidRPr="00000000">
              <w:rPr>
                <w:rFonts w:ascii="Times New Roman" w:cs="Times New Roman" w:eastAsia="Times New Roman" w:hAnsi="Times New Roman"/>
                <w:b w:val="1"/>
                <w:bCs w:val="1"/>
                <w:i w:val="1"/>
                <w:iCs w:val="1"/>
                <w:sz w:val="24"/>
                <w:szCs w:val="24"/>
                <w:rtl w:val="0"/>
              </w:rPr>
              <w:t xml:space="preserve">ref/GCF_000195955.2_ASM19595v2_genomic.fna</w:t>
            </w:r>
            <w:r w:rsidDel="00000000" w:rsidR="00000000" w:rsidRPr="00000000">
              <w:rPr>
                <w:rFonts w:ascii="Times New Roman" w:cs="Times New Roman" w:eastAsia="Times New Roman" w:hAnsi="Times New Roman"/>
                <w:sz w:val="24"/>
                <w:szCs w:val="24"/>
                <w:rtl w:val="0"/>
              </w:rPr>
              <w:t xml:space="preserve"> which had to be copied to </w:t>
            </w:r>
            <w:r w:rsidDel="00000000" w:rsidR="00000000" w:rsidRPr="00000000">
              <w:rPr>
                <w:rFonts w:ascii="Times New Roman" w:cs="Times New Roman" w:eastAsia="Times New Roman" w:hAnsi="Times New Roman"/>
                <w:b w:val="1"/>
                <w:bCs w:val="1"/>
                <w:i w:val="1"/>
                <w:iCs w:val="1"/>
                <w:sz w:val="24"/>
                <w:szCs w:val="24"/>
                <w:rtl w:val="0"/>
              </w:rPr>
              <w:t xml:space="preserve">snpEff_data/MTB_H37RV/ </w:t>
            </w:r>
            <w:r w:rsidDel="00000000" w:rsidR="00000000" w:rsidRPr="00000000">
              <w:rPr>
                <w:rFonts w:ascii="Times New Roman" w:cs="Times New Roman" w:eastAsia="Times New Roman" w:hAnsi="Times New Roman"/>
                <w:sz w:val="24"/>
                <w:szCs w:val="24"/>
                <w:rtl w:val="0"/>
              </w:rPr>
              <w:t xml:space="preserve">and renamed to </w:t>
            </w:r>
            <w:r w:rsidDel="00000000" w:rsidR="00000000" w:rsidRPr="00000000">
              <w:rPr>
                <w:rFonts w:ascii="Times New Roman" w:cs="Times New Roman" w:eastAsia="Times New Roman" w:hAnsi="Times New Roman"/>
                <w:b w:val="1"/>
                <w:bCs w:val="1"/>
                <w:i w:val="1"/>
                <w:iCs w:val="1"/>
                <w:sz w:val="24"/>
                <w:szCs w:val="24"/>
                <w:rtl w:val="0"/>
              </w:rPr>
              <w:t xml:space="preserve">sequences.fa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06400"/>
                  <wp:effectExtent b="0" l="0" r="0" t="0"/>
                  <wp:docPr id="40"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591175" cy="40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of building a custom snpeff database failed. So opted to using prebuilt highly annotated snpeff databases that come with snpeff</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28900"/>
                  <wp:effectExtent b="0" l="0" r="0" t="0"/>
                  <wp:docPr id="24"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591175" cy="262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searched for prebuilt tuberculosis snpeff databases to choose which to download for my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7051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591175" cy="2705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 annotation script was then written, and executed on filtered variants created earlier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333500"/>
                  <wp:effectExtent b="0" l="0" r="0" t="0"/>
                  <wp:docPr id="33"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591175" cy="133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SnpSift (which is bundled with SnpEff) to extract specific columns of interest for downstream variant analysis</w:t>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Extract Data into a Tabular Format </w:t>
      </w:r>
    </w:p>
    <w:p w:rsidR="00000000" w:rsidDel="00000000" w:rsidP="00000000" w:rsidRDefault="00000000" w:rsidRPr="00000000" w14:paraId="00000049">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2692400"/>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91175" cy="2692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relevant annotation fields into a flat text file .tsv for analysis in R, using  SnpSift  (to extract specific columns).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2311400"/>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591175" cy="231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only the first (primary) annotation impact (by modifying selectors from </w:t>
            </w:r>
            <w:r w:rsidDel="00000000" w:rsidR="00000000" w:rsidRPr="00000000">
              <w:rPr>
                <w:rFonts w:ascii="Times New Roman" w:cs="Times New Roman" w:eastAsia="Times New Roman" w:hAnsi="Times New Roman"/>
                <w:color w:val="188038"/>
                <w:sz w:val="24"/>
                <w:szCs w:val="24"/>
                <w:rtl w:val="0"/>
              </w:rPr>
              <w:t xml:space="preserve">ANN[*]</w:t>
            </w:r>
            <w:r w:rsidDel="00000000" w:rsidR="00000000" w:rsidRPr="00000000">
              <w:rPr>
                <w:rFonts w:ascii="Times New Roman" w:cs="Times New Roman" w:eastAsia="Times New Roman" w:hAnsi="Times New Roman"/>
                <w:sz w:val="24"/>
                <w:szCs w:val="24"/>
                <w:rtl w:val="0"/>
              </w:rPr>
              <w:t xml:space="preserve"> (which grabs everything) to </w:t>
            </w:r>
            <w:r w:rsidDel="00000000" w:rsidR="00000000" w:rsidRPr="00000000">
              <w:rPr>
                <w:rFonts w:ascii="Times New Roman" w:cs="Times New Roman" w:eastAsia="Times New Roman" w:hAnsi="Times New Roman"/>
                <w:color w:val="188038"/>
                <w:sz w:val="24"/>
                <w:szCs w:val="24"/>
                <w:rtl w:val="0"/>
              </w:rPr>
              <w:t xml:space="preserve">ANN[0]</w:t>
            </w:r>
            <w:r w:rsidDel="00000000" w:rsidR="00000000" w:rsidRPr="00000000">
              <w:rPr>
                <w:rFonts w:ascii="Times New Roman" w:cs="Times New Roman" w:eastAsia="Times New Roman" w:hAnsi="Times New Roman"/>
                <w:sz w:val="24"/>
                <w:szCs w:val="24"/>
                <w:rtl w:val="0"/>
              </w:rPr>
              <w:t xml:space="preserve"> (which grabs only the first index).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2654300"/>
                  <wp:effectExtent b="0" l="0" r="0" t="0"/>
                  <wp:docPr id="28"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591175"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spacing w:line="480" w:lineRule="auto"/>
        <w:rPr>
          <w:rFonts w:ascii="Times New Roman" w:cs="Times New Roman" w:eastAsia="Times New Roman" w:hAnsi="Times New Roman"/>
          <w:b w:val="1"/>
          <w:bCs w:val="1"/>
          <w:sz w:val="24"/>
          <w:szCs w:val="24"/>
        </w:rPr>
      </w:pPr>
      <w:bookmarkStart w:colFirst="0" w:colLast="0" w:name="_76telxyn84aa" w:id="6"/>
      <w:bookmarkEnd w:id="6"/>
      <w:r w:rsidDel="00000000" w:rsidR="00000000" w:rsidRPr="00000000">
        <w:rPr>
          <w:rFonts w:ascii="Times New Roman" w:cs="Times New Roman" w:eastAsia="Times New Roman" w:hAnsi="Times New Roman"/>
          <w:b w:val="1"/>
          <w:bCs w:val="1"/>
          <w:sz w:val="24"/>
          <w:szCs w:val="24"/>
          <w:rtl w:val="0"/>
        </w:rPr>
        <w:t xml:space="preserve">3. Results</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5400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91175" cy="254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6616700"/>
                  <wp:effectExtent b="0" l="0" r="0" t="0"/>
                  <wp:docPr id="11"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591175" cy="661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analysis, the most clinically relevant isolate was SRR34502717 because it had the highest number of drug resistant gene mutations (i.e. 8) with one being a stop codon i.e. </w:t>
            </w:r>
            <w:r w:rsidDel="00000000" w:rsidR="00000000" w:rsidRPr="00000000">
              <w:rPr>
                <w:rFonts w:ascii="Times New Roman" w:cs="Times New Roman" w:eastAsia="Times New Roman" w:hAnsi="Times New Roman"/>
                <w:sz w:val="24"/>
                <w:szCs w:val="24"/>
                <w:highlight w:val="yellow"/>
                <w:rtl w:val="0"/>
              </w:rPr>
              <w:t xml:space="preserve">p.Glu192*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sample SRR35891567 had 8 top most clinically significant drug resistant gene mutations, however, all had moderate impact on resultant protein gene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711700"/>
                  <wp:effectExtent b="0" l="0" r="0" t="0"/>
                  <wp:docPr id="3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591175" cy="4711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E">
      <w:pPr>
        <w:pStyle w:val="Heading2"/>
        <w:spacing w:line="480" w:lineRule="auto"/>
        <w:rPr>
          <w:rFonts w:ascii="Times New Roman" w:cs="Times New Roman" w:eastAsia="Times New Roman" w:hAnsi="Times New Roman"/>
          <w:b w:val="1"/>
          <w:bCs w:val="1"/>
          <w:sz w:val="24"/>
          <w:szCs w:val="24"/>
        </w:rPr>
      </w:pPr>
      <w:bookmarkStart w:colFirst="0" w:colLast="0" w:name="_7b14xh1obpk8" w:id="7"/>
      <w:bookmarkEnd w:id="7"/>
      <w:r w:rsidDel="00000000" w:rsidR="00000000" w:rsidRPr="00000000">
        <w:rPr>
          <w:rFonts w:ascii="Times New Roman" w:cs="Times New Roman" w:eastAsia="Times New Roman" w:hAnsi="Times New Roman"/>
          <w:b w:val="1"/>
          <w:bCs w:val="1"/>
          <w:sz w:val="24"/>
          <w:szCs w:val="24"/>
          <w:rtl w:val="0"/>
        </w:rPr>
        <w:t xml:space="preserve">2. Drug Resistance Profiling and Lineage Typing</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TB-Profiler was utilized to classify the samples into specific M. tuberculosis lineages and to predict antimicrobial resistance profiles. TB-Profiler was executed using the full profile tag rather than the lineage-only tag. This comprehensive mode cross-references the detected variants against established resistance catalogs (such as the WHO mutation catalog for MTB) to generate detailed drug resistance reports, identify lineage-defining SNPs (e.g., the Coll et al. 2014 SNP barcode), and provide quality control metrics like sequencing depth and missing positions.</w:t>
      </w: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tb-profiler,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9845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opted to run </w:t>
            </w:r>
            <w:r w:rsidDel="00000000" w:rsidR="00000000" w:rsidRPr="00000000">
              <w:rPr>
                <w:rFonts w:ascii="Times New Roman" w:cs="Times New Roman" w:eastAsia="Times New Roman" w:hAnsi="Times New Roman"/>
                <w:b w:val="1"/>
                <w:bCs w:val="1"/>
                <w:i w:val="1"/>
                <w:iCs w:val="1"/>
                <w:sz w:val="24"/>
                <w:szCs w:val="24"/>
                <w:rtl w:val="0"/>
              </w:rPr>
              <w:t xml:space="preserve">tb-profiler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i w:val="1"/>
                <w:iCs w:val="1"/>
                <w:sz w:val="24"/>
                <w:szCs w:val="24"/>
                <w:rtl w:val="0"/>
              </w:rPr>
              <w:t xml:space="preserve">profile</w:t>
            </w:r>
            <w:r w:rsidDel="00000000" w:rsidR="00000000" w:rsidRPr="00000000">
              <w:rPr>
                <w:rFonts w:ascii="Times New Roman" w:cs="Times New Roman" w:eastAsia="Times New Roman" w:hAnsi="Times New Roman"/>
                <w:sz w:val="24"/>
                <w:szCs w:val="24"/>
                <w:rtl w:val="0"/>
              </w:rPr>
              <w:t xml:space="preserve"> tag as opposed to </w:t>
            </w:r>
            <w:r w:rsidDel="00000000" w:rsidR="00000000" w:rsidRPr="00000000">
              <w:rPr>
                <w:rFonts w:ascii="Times New Roman" w:cs="Times New Roman" w:eastAsia="Times New Roman" w:hAnsi="Times New Roman"/>
                <w:b w:val="1"/>
                <w:bCs w:val="1"/>
                <w:i w:val="1"/>
                <w:iCs w:val="1"/>
                <w:sz w:val="24"/>
                <w:szCs w:val="24"/>
                <w:rtl w:val="0"/>
              </w:rPr>
              <w:t xml:space="preserve">lineage</w:t>
            </w:r>
            <w:r w:rsidDel="00000000" w:rsidR="00000000" w:rsidRPr="00000000">
              <w:rPr>
                <w:rFonts w:ascii="Times New Roman" w:cs="Times New Roman" w:eastAsia="Times New Roman" w:hAnsi="Times New Roman"/>
                <w:sz w:val="24"/>
                <w:szCs w:val="24"/>
                <w:rtl w:val="0"/>
              </w:rPr>
              <w:t xml:space="preserve"> tag alone to obtain other useful information like drug resistance reports. Lineage-only mode would not produce drug resistance reports, detailed variant lists, or QC metrics like depth, missing positions, etc. It only outputs the predicted lineage (e.g., Lineage 4.3, East-African-Indian,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4160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591175" cy="2641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Tb-profiler with lineage tag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2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314700"/>
                  <wp:effectExtent b="0" l="0" r="0" t="0"/>
                  <wp:docPr id="20"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591175" cy="331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37"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SRR28515580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Lineage:</w:t>
            </w:r>
            <w:r w:rsidDel="00000000" w:rsidR="00000000" w:rsidRPr="00000000">
              <w:rPr>
                <w:rFonts w:ascii="Times New Roman" w:cs="Times New Roman" w:eastAsia="Times New Roman" w:hAnsi="Times New Roman"/>
                <w:sz w:val="24"/>
                <w:szCs w:val="24"/>
                <w:rtl w:val="0"/>
              </w:rPr>
              <w:t xml:space="preserve"> Lineage 4 (Euro-American)</w:t>
            </w:r>
          </w:p>
          <w:p w:rsidR="00000000" w:rsidDel="00000000" w:rsidP="00000000" w:rsidRDefault="00000000" w:rsidRPr="00000000" w14:paraId="0000006C">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Profile:</w:t>
            </w:r>
            <w:r w:rsidDel="00000000" w:rsidR="00000000" w:rsidRPr="00000000">
              <w:rPr>
                <w:rFonts w:ascii="Times New Roman" w:cs="Times New Roman" w:eastAsia="Times New Roman" w:hAnsi="Times New Roman"/>
                <w:sz w:val="24"/>
                <w:szCs w:val="24"/>
                <w:rtl w:val="0"/>
              </w:rPr>
              <w:t xml:space="preserve"> MDR-TB (Multidrug-resistant TB)</w:t>
            </w:r>
          </w:p>
          <w:p w:rsidR="00000000" w:rsidDel="00000000" w:rsidP="00000000" w:rsidRDefault="00000000" w:rsidRPr="00000000" w14:paraId="0000006D">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Detected Resistances:</w:t>
            </w:r>
          </w:p>
          <w:p w:rsidR="00000000" w:rsidDel="00000000" w:rsidP="00000000" w:rsidRDefault="00000000" w:rsidRPr="00000000" w14:paraId="0000006E">
            <w:pPr>
              <w:widowControl w:val="0"/>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Rifampicin (rpoB p.Ser450Leu)</w:t>
            </w:r>
          </w:p>
          <w:p w:rsidR="00000000" w:rsidDel="00000000" w:rsidP="00000000" w:rsidRDefault="00000000" w:rsidRPr="00000000" w14:paraId="0000006F">
            <w:pPr>
              <w:widowControl w:val="0"/>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Rifapentine (rpoB p.Ser450Leu)</w:t>
            </w:r>
          </w:p>
          <w:p w:rsidR="00000000" w:rsidDel="00000000" w:rsidP="00000000" w:rsidRDefault="00000000" w:rsidRPr="00000000" w14:paraId="00000070">
            <w:pPr>
              <w:widowControl w:val="0"/>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Isoniazid (katG p.Ser315Thr)</w:t>
            </w:r>
          </w:p>
          <w:p w:rsidR="00000000" w:rsidDel="00000000" w:rsidP="00000000" w:rsidRDefault="00000000" w:rsidRPr="00000000" w14:paraId="00000071">
            <w:pPr>
              <w:widowControl w:val="0"/>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Ethambutol (embB p.Met306Ile)</w:t>
            </w:r>
          </w:p>
          <w:p w:rsidR="00000000" w:rsidDel="00000000" w:rsidP="00000000" w:rsidRDefault="00000000" w:rsidRPr="00000000" w14:paraId="00000072">
            <w:pPr>
              <w:widowControl w:val="0"/>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Ethionamide (ethA c.966_968dupGAC)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2806700"/>
                  <wp:effectExtent b="0" l="0" r="0" t="0"/>
                  <wp:docPr id="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591175" cy="2806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SAMPLE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32"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35"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SRR34502717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Lineage:</w:t>
            </w:r>
            <w:r w:rsidDel="00000000" w:rsidR="00000000" w:rsidRPr="00000000">
              <w:rPr>
                <w:rFonts w:ascii="Times New Roman" w:cs="Times New Roman" w:eastAsia="Times New Roman" w:hAnsi="Times New Roman"/>
                <w:sz w:val="24"/>
                <w:szCs w:val="24"/>
                <w:rtl w:val="0"/>
              </w:rPr>
              <w:t xml:space="preserve"> Lineage 2.2.1 (East-Asian / Beijing)</w:t>
            </w:r>
          </w:p>
          <w:p w:rsidR="00000000" w:rsidDel="00000000" w:rsidP="00000000" w:rsidRDefault="00000000" w:rsidRPr="00000000" w14:paraId="0000007A">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Profile:</w:t>
            </w:r>
            <w:r w:rsidDel="00000000" w:rsidR="00000000" w:rsidRPr="00000000">
              <w:rPr>
                <w:rFonts w:ascii="Times New Roman" w:cs="Times New Roman" w:eastAsia="Times New Roman" w:hAnsi="Times New Roman"/>
                <w:sz w:val="24"/>
                <w:szCs w:val="24"/>
                <w:rtl w:val="0"/>
              </w:rPr>
              <w:t xml:space="preserve"> MDR-TB</w:t>
            </w:r>
          </w:p>
          <w:p w:rsidR="00000000" w:rsidDel="00000000" w:rsidP="00000000" w:rsidRDefault="00000000" w:rsidRPr="00000000" w14:paraId="0000007B">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Detected Resistances:</w:t>
            </w:r>
          </w:p>
          <w:p w:rsidR="00000000" w:rsidDel="00000000" w:rsidP="00000000" w:rsidRDefault="00000000" w:rsidRPr="00000000" w14:paraId="0000007C">
            <w:pPr>
              <w:widowControl w:val="0"/>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Rifampicin (rpoB p.Asn437Asp, rpoB p.Asp435Tyr)</w:t>
            </w:r>
          </w:p>
          <w:p w:rsidR="00000000" w:rsidDel="00000000" w:rsidP="00000000" w:rsidRDefault="00000000" w:rsidRPr="00000000" w14:paraId="0000007D">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Rifapentine (rpoB p.Asn437Asp, rpoB p.Asp435Tyr)</w:t>
            </w:r>
          </w:p>
          <w:p w:rsidR="00000000" w:rsidDel="00000000" w:rsidP="00000000" w:rsidRDefault="00000000" w:rsidRPr="00000000" w14:paraId="0000007E">
            <w:pPr>
              <w:widowControl w:val="0"/>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Isoniazid (ahpC c.-54C&gt;T)</w:t>
            </w:r>
          </w:p>
          <w:p w:rsidR="00000000" w:rsidDel="00000000" w:rsidP="00000000" w:rsidRDefault="00000000" w:rsidRPr="00000000" w14:paraId="0000007F">
            <w:pPr>
              <w:widowControl w:val="0"/>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Pyrazinamide (pncA deletion)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3403600"/>
                  <wp:effectExtent b="0" l="0" r="0" t="0"/>
                  <wp:docPr id="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591175" cy="3403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48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SAMPLE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1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SRR35497378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Lineage:</w:t>
            </w:r>
            <w:r w:rsidDel="00000000" w:rsidR="00000000" w:rsidRPr="00000000">
              <w:rPr>
                <w:rFonts w:ascii="Times New Roman" w:cs="Times New Roman" w:eastAsia="Times New Roman" w:hAnsi="Times New Roman"/>
                <w:sz w:val="24"/>
                <w:szCs w:val="24"/>
                <w:rtl w:val="0"/>
              </w:rPr>
              <w:t xml:space="preserve"> Lineage 4.5 (Euro-American)</w:t>
            </w:r>
          </w:p>
          <w:p w:rsidR="00000000" w:rsidDel="00000000" w:rsidP="00000000" w:rsidRDefault="00000000" w:rsidRPr="00000000" w14:paraId="00000087">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Profile:</w:t>
            </w:r>
            <w:r w:rsidDel="00000000" w:rsidR="00000000" w:rsidRPr="00000000">
              <w:rPr>
                <w:rFonts w:ascii="Times New Roman" w:cs="Times New Roman" w:eastAsia="Times New Roman" w:hAnsi="Times New Roman"/>
                <w:sz w:val="24"/>
                <w:szCs w:val="24"/>
                <w:rtl w:val="0"/>
              </w:rPr>
              <w:t xml:space="preserve"> Susceptible</w:t>
            </w:r>
          </w:p>
          <w:p w:rsidR="00000000" w:rsidDel="00000000" w:rsidP="00000000" w:rsidRDefault="00000000" w:rsidRPr="00000000" w14:paraId="00000088">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Detected Resistances:</w:t>
            </w:r>
            <w:r w:rsidDel="00000000" w:rsidR="00000000" w:rsidRPr="00000000">
              <w:rPr>
                <w:rFonts w:ascii="Times New Roman" w:cs="Times New Roman" w:eastAsia="Times New Roman" w:hAnsi="Times New Roman"/>
                <w:sz w:val="24"/>
                <w:szCs w:val="24"/>
                <w:rtl w:val="0"/>
              </w:rPr>
              <w:t xml:space="preserve"> None. The profile indicates susceptibility to all tested anti-TB drugs.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3073400"/>
                  <wp:effectExtent b="0" l="0" r="0" t="0"/>
                  <wp:docPr id="25"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591175" cy="3073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48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SAMPLE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SRR35891567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Lineage:</w:t>
            </w:r>
            <w:r w:rsidDel="00000000" w:rsidR="00000000" w:rsidRPr="00000000">
              <w:rPr>
                <w:rFonts w:ascii="Times New Roman" w:cs="Times New Roman" w:eastAsia="Times New Roman" w:hAnsi="Times New Roman"/>
                <w:sz w:val="24"/>
                <w:szCs w:val="24"/>
                <w:rtl w:val="0"/>
              </w:rPr>
              <w:t xml:space="preserve"> Lineage 1.2.1.2.1 (Indo-Oceanic)</w:t>
            </w:r>
          </w:p>
          <w:p w:rsidR="00000000" w:rsidDel="00000000" w:rsidP="00000000" w:rsidRDefault="00000000" w:rsidRPr="00000000" w14:paraId="00000091">
            <w:pPr>
              <w:widowControl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Resistance Profile:</w:t>
            </w:r>
            <w:r w:rsidDel="00000000" w:rsidR="00000000" w:rsidRPr="00000000">
              <w:rPr>
                <w:rFonts w:ascii="Times New Roman" w:cs="Times New Roman" w:eastAsia="Times New Roman" w:hAnsi="Times New Roman"/>
                <w:sz w:val="24"/>
                <w:szCs w:val="24"/>
                <w:rtl w:val="0"/>
              </w:rPr>
              <w:t xml:space="preserve"> HR-TB (Isoniazid-resistant TB)</w:t>
            </w:r>
          </w:p>
          <w:p w:rsidR="00000000" w:rsidDel="00000000" w:rsidP="00000000" w:rsidRDefault="00000000" w:rsidRPr="00000000" w14:paraId="00000092">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Detected Resistances:</w:t>
            </w:r>
          </w:p>
          <w:p w:rsidR="00000000" w:rsidDel="00000000" w:rsidP="00000000" w:rsidRDefault="00000000" w:rsidRPr="00000000" w14:paraId="00000093">
            <w:pPr>
              <w:widowControl w:val="0"/>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Isoniazid (katG p.Ser315Thr)</w:t>
            </w:r>
          </w:p>
          <w:p w:rsidR="00000000" w:rsidDel="00000000" w:rsidP="00000000" w:rsidRDefault="00000000" w:rsidRPr="00000000" w14:paraId="00000094">
            <w:pPr>
              <w:widowControl w:val="0"/>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Streptomycin (gid c.48delT)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91175" cy="3149600"/>
                  <wp:effectExtent b="0" l="0" r="0" t="0"/>
                  <wp:docPr id="17"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679700"/>
                  <wp:effectExtent b="0" l="0" r="0" t="0"/>
                  <wp:docPr id="18"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591175" cy="267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tree construction</w:t>
            </w:r>
          </w:p>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iqtree package for phylogenetic tree construction was installed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1409700"/>
                  <wp:effectExtent b="0" l="0" r="0" t="0"/>
                  <wp:docPr id="1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591175" cy="1409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Iqtree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060700"/>
                  <wp:effectExtent b="0" l="0" r="0" t="0"/>
                  <wp:docPr id="10"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91175" cy="306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159000"/>
                  <wp:effectExtent b="0" l="0" r="0" t="0"/>
                  <wp:docPr id="36"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591175" cy="215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 script for phylogenetic tree construction was then written, but this involved trying individual codes, the ones which worked were then compiled into single 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30"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3492500"/>
                  <wp:effectExtent b="0" l="0" r="0" t="0"/>
                  <wp:docPr id="27"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591175" cy="349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was then run to construct the phylogenetic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2857500"/>
                  <wp:effectExtent b="0" l="0" r="0" t="0"/>
                  <wp:docPr id="29"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5591175" cy="285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tree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Tthe phylogenetic tree was then visualized using figtree desktop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1175" cy="4445000"/>
                  <wp:effectExtent b="0" l="0" r="0" t="0"/>
                  <wp:docPr id="9"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591175" cy="444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phylogenetic tree reveals three distinct evolutionary trajectories among the </w:t>
            </w:r>
            <w:r w:rsidDel="00000000" w:rsidR="00000000" w:rsidRPr="00000000">
              <w:rPr>
                <w:rFonts w:ascii="Times New Roman" w:cs="Times New Roman" w:eastAsia="Times New Roman" w:hAnsi="Times New Roman"/>
                <w:i w:val="1"/>
                <w:iCs w:val="1"/>
                <w:sz w:val="24"/>
                <w:szCs w:val="24"/>
                <w:rtl w:val="0"/>
              </w:rPr>
              <w:t xml:space="preserve">Mycobacterium tuberculosis</w:t>
            </w:r>
            <w:r w:rsidDel="00000000" w:rsidR="00000000" w:rsidRPr="00000000">
              <w:rPr>
                <w:rFonts w:ascii="Times New Roman" w:cs="Times New Roman" w:eastAsia="Times New Roman" w:hAnsi="Times New Roman"/>
                <w:sz w:val="24"/>
                <w:szCs w:val="24"/>
                <w:rtl w:val="0"/>
              </w:rPr>
              <w:t xml:space="preserve"> samples, aligning with their recognized global lineages. Samples SRR35497378 and SRR28515580 share a recent common ancestor, forming a tightly clustered Euro-American (Lineage 4) clade supported by maximum (100%) bootstrap confidence. Diverging significantly from this group is sample SRR34502717, which occupies a long, separate branch representative of the distinct East-Asian/Beijing (Lineage 2) evolutionary path. Finally, sample SRR35891567 represents the most genetically distinct isolate in this dataset, branching off entirely on its own to reflect its ancient Indo-Oceanic (Lineage 1) origins, highlighting the broad genetic diversity captured across these four clinical samples. </w:t>
            </w:r>
          </w:p>
        </w:tc>
      </w:tr>
    </w:tbl>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2"/>
        <w:spacing w:line="480" w:lineRule="auto"/>
        <w:rPr>
          <w:rFonts w:ascii="Times New Roman" w:cs="Times New Roman" w:eastAsia="Times New Roman" w:hAnsi="Times New Roman"/>
          <w:b w:val="1"/>
          <w:bCs w:val="1"/>
          <w:sz w:val="24"/>
          <w:szCs w:val="24"/>
        </w:rPr>
      </w:pPr>
      <w:bookmarkStart w:colFirst="0" w:colLast="0" w:name="_8mhij42q7rhv" w:id="8"/>
      <w:bookmarkEnd w:id="8"/>
      <w:r w:rsidDel="00000000" w:rsidR="00000000" w:rsidRPr="00000000">
        <w:rPr>
          <w:rFonts w:ascii="Times New Roman" w:cs="Times New Roman" w:eastAsia="Times New Roman" w:hAnsi="Times New Roman"/>
          <w:b w:val="1"/>
          <w:bCs w:val="1"/>
          <w:sz w:val="24"/>
          <w:szCs w:val="24"/>
          <w:rtl w:val="0"/>
        </w:rPr>
        <w:t xml:space="preserve">4. Discussion</w:t>
      </w:r>
    </w:p>
    <w:p w:rsidR="00000000" w:rsidDel="00000000" w:rsidP="00000000" w:rsidRDefault="00000000" w:rsidRPr="00000000" w14:paraId="000000B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genomic analysis of the four M. tuberculosis isolates highlighted the intersection of lineage diversity and antimicrobial resistance. The isolates span three major global lineages: </w:t>
      </w:r>
      <w:r w:rsidDel="00000000" w:rsidR="00000000" w:rsidRPr="00000000">
        <w:rPr>
          <w:rFonts w:ascii="Times New Roman" w:cs="Times New Roman" w:eastAsia="Times New Roman" w:hAnsi="Times New Roman"/>
          <w:b w:val="1"/>
          <w:bCs w:val="1"/>
          <w:i w:val="1"/>
          <w:iCs w:val="1"/>
          <w:sz w:val="24"/>
          <w:szCs w:val="24"/>
          <w:rtl w:val="0"/>
        </w:rPr>
        <w:t xml:space="preserve">Lineage 1 (Indo-Oceanic), Lineage 2 (East-Asian/Beijing), and Lineage 4 (Euro-American)</w:t>
      </w:r>
      <w:r w:rsidDel="00000000" w:rsidR="00000000" w:rsidRPr="00000000">
        <w:rPr>
          <w:rFonts w:ascii="Times New Roman" w:cs="Times New Roman" w:eastAsia="Times New Roman" w:hAnsi="Times New Roman"/>
          <w:sz w:val="24"/>
          <w:szCs w:val="24"/>
          <w:rtl w:val="0"/>
        </w:rPr>
        <w:t xml:space="preserve">. Lineage 4 is known to be the most globally widespread, which is consistent with the clustering of SRR35497378 and SRR28515580. Lineage 2, the Beijing sublineage (SRR34502717), is frequently associated with high transmission rates and a strong propensity for acquiring multidrug resistance. Lineage 1 (SRR35891567) is considered an evolutionarily ancient lineage, primarily restricted to regions around the Indian Ocean.</w:t>
      </w:r>
    </w:p>
    <w:p w:rsidR="00000000" w:rsidDel="00000000" w:rsidP="00000000" w:rsidRDefault="00000000" w:rsidRPr="00000000" w14:paraId="000000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drug resistance profiles correlate strongly with the identified mutations. Sample SRR28515580 (MDR-TB) harbors the classic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rpoB p.Ser450Leu mutation, which is the most common mechanism conferring high-level resistance to Rifampicin by altering the drug-binding site on the RNA polymerase beta-subunit.</w:t>
      </w:r>
      <w:r w:rsidDel="00000000" w:rsidR="00000000" w:rsidRPr="00000000">
        <w:rPr>
          <w:rFonts w:ascii="Times New Roman" w:cs="Times New Roman" w:eastAsia="Times New Roman" w:hAnsi="Times New Roman"/>
          <w:sz w:val="24"/>
          <w:szCs w:val="24"/>
          <w:rtl w:val="0"/>
        </w:rPr>
        <w:t xml:space="preserve"> It also contains the katG p.Ser315Thr mutation, a hallmark of high-level Isoniazid resistance resulting from the diminished activation of the prodrug. Interestingly, this isolate also features a frameshift deletion in mmpL5 (c.605delG). The MmpS5-MmpL5 efflux pump system is implicated in resistance to bedaquiline and clofazimine; mutations in mmpL5 can abrogate the efflux function, potentially restoring susceptibility or counteracting mutations in the mmpR5 repressor</w:t>
      </w:r>
    </w:p>
    <w:p w:rsidR="00000000" w:rsidDel="00000000" w:rsidP="00000000" w:rsidRDefault="00000000" w:rsidRPr="00000000" w14:paraId="000000B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SRR34502717 (MDR-TB, Beijing lineage) exhibited a different resistance mechanism profile. </w:t>
      </w:r>
      <w:r w:rsidDel="00000000" w:rsidR="00000000" w:rsidRPr="00000000">
        <w:rPr>
          <w:rFonts w:ascii="Times New Roman" w:cs="Times New Roman" w:eastAsia="Times New Roman" w:hAnsi="Times New Roman"/>
          <w:b w:val="1"/>
          <w:bCs w:val="1"/>
          <w:i w:val="1"/>
          <w:iCs w:val="1"/>
          <w:sz w:val="24"/>
          <w:szCs w:val="24"/>
          <w:rtl w:val="0"/>
        </w:rPr>
        <w:t xml:space="preserve">It lacked the common katG mutation but possesses a promoter mutation in ahpC (c.-54C&gt;T), which is a compensatory mutation often associated with Isoniazid resistance.</w:t>
      </w:r>
      <w:r w:rsidDel="00000000" w:rsidR="00000000" w:rsidRPr="00000000">
        <w:rPr>
          <w:rFonts w:ascii="Times New Roman" w:cs="Times New Roman" w:eastAsia="Times New Roman" w:hAnsi="Times New Roman"/>
          <w:sz w:val="24"/>
          <w:szCs w:val="24"/>
          <w:rtl w:val="0"/>
        </w:rPr>
        <w:t xml:space="preserve"> Furthermore, it harbored a deletion in the pncA gene. The pncA gene encodes pyrazinamidase, which converts the prodrug pyrazinamide into its active form; deletions or loss-of-function mutations (such as the p.Glu192* stop codon noted in the SnpEff results) in this gene are the primary drivers of pyrazinamide resistance</w:t>
      </w:r>
    </w:p>
    <w:p w:rsidR="00000000" w:rsidDel="00000000" w:rsidP="00000000" w:rsidRDefault="00000000" w:rsidRPr="00000000" w14:paraId="000000B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SRR35891567 (HR-TB) demonstrates Isoniazid resistance via the katG p.Ser315Thr mutation and low-level Streptomycin resistance through a frameshift mutation in the gid gene (c.48delT). Mutations in gidB (encoding a conserved 16S rRNA methyltransferase) are well-documented causes of low-level streptomycin resistance and are sometimes lineage-specific polymorphisms</w:t>
      </w:r>
    </w:p>
    <w:p w:rsidR="00000000" w:rsidDel="00000000" w:rsidP="00000000" w:rsidRDefault="00000000" w:rsidRPr="00000000" w14:paraId="000000B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phylogenetic tree supported the epidemiological and evolutionary independence of these isolates. The tight clustering of the two Lineage 4 isolates suggests a closer genetic relationship, though one is MDR-TB and the other is fully susceptible, indicating that the resistance in SRR28515580 was likely acquired independently after divergence. The long branch lengths separating the Lineage 1, Lineage 2, and Lineage 4 clades refute any direct epidemiological link or recent transmission chain between these specific patients, instead reflecting the broad, independent global circulation of these distinct strains.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27.png"/><Relationship Id="rId42" Type="http://schemas.openxmlformats.org/officeDocument/2006/relationships/image" Target="media/image7.png"/><Relationship Id="rId41" Type="http://schemas.openxmlformats.org/officeDocument/2006/relationships/image" Target="media/image36.png"/><Relationship Id="rId22" Type="http://schemas.openxmlformats.org/officeDocument/2006/relationships/image" Target="media/image6.png"/><Relationship Id="rId44" Type="http://schemas.openxmlformats.org/officeDocument/2006/relationships/image" Target="media/image35.png"/><Relationship Id="rId21" Type="http://schemas.openxmlformats.org/officeDocument/2006/relationships/image" Target="media/image9.png"/><Relationship Id="rId43" Type="http://schemas.openxmlformats.org/officeDocument/2006/relationships/image" Target="media/image25.png"/><Relationship Id="rId24" Type="http://schemas.openxmlformats.org/officeDocument/2006/relationships/image" Target="media/image20.png"/><Relationship Id="rId23" Type="http://schemas.openxmlformats.org/officeDocument/2006/relationships/image" Target="media/image19.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37.png"/><Relationship Id="rId25" Type="http://schemas.openxmlformats.org/officeDocument/2006/relationships/image" Target="media/image1.png"/><Relationship Id="rId28" Type="http://schemas.openxmlformats.org/officeDocument/2006/relationships/image" Target="media/image2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31.png"/><Relationship Id="rId7" Type="http://schemas.openxmlformats.org/officeDocument/2006/relationships/image" Target="media/image28.png"/><Relationship Id="rId8" Type="http://schemas.openxmlformats.org/officeDocument/2006/relationships/image" Target="media/image34.png"/><Relationship Id="rId31" Type="http://schemas.openxmlformats.org/officeDocument/2006/relationships/image" Target="media/image17.png"/><Relationship Id="rId30" Type="http://schemas.openxmlformats.org/officeDocument/2006/relationships/image" Target="media/image16.png"/><Relationship Id="rId11" Type="http://schemas.openxmlformats.org/officeDocument/2006/relationships/image" Target="media/image38.png"/><Relationship Id="rId33" Type="http://schemas.openxmlformats.org/officeDocument/2006/relationships/image" Target="media/image40.png"/><Relationship Id="rId10" Type="http://schemas.openxmlformats.org/officeDocument/2006/relationships/image" Target="media/image18.png"/><Relationship Id="rId32" Type="http://schemas.openxmlformats.org/officeDocument/2006/relationships/image" Target="media/image21.png"/><Relationship Id="rId13" Type="http://schemas.openxmlformats.org/officeDocument/2006/relationships/image" Target="media/image4.png"/><Relationship Id="rId35" Type="http://schemas.openxmlformats.org/officeDocument/2006/relationships/image" Target="media/image11.png"/><Relationship Id="rId12" Type="http://schemas.openxmlformats.org/officeDocument/2006/relationships/image" Target="media/image29.png"/><Relationship Id="rId34" Type="http://schemas.openxmlformats.org/officeDocument/2006/relationships/image" Target="media/image30.png"/><Relationship Id="rId15" Type="http://schemas.openxmlformats.org/officeDocument/2006/relationships/image" Target="media/image22.png"/><Relationship Id="rId37" Type="http://schemas.openxmlformats.org/officeDocument/2006/relationships/image" Target="media/image14.png"/><Relationship Id="rId14" Type="http://schemas.openxmlformats.org/officeDocument/2006/relationships/image" Target="media/image39.png"/><Relationship Id="rId36" Type="http://schemas.openxmlformats.org/officeDocument/2006/relationships/image" Target="media/image8.png"/><Relationship Id="rId17" Type="http://schemas.openxmlformats.org/officeDocument/2006/relationships/image" Target="media/image23.png"/><Relationship Id="rId39" Type="http://schemas.openxmlformats.org/officeDocument/2006/relationships/image" Target="media/image5.png"/><Relationship Id="rId16" Type="http://schemas.openxmlformats.org/officeDocument/2006/relationships/image" Target="media/image13.png"/><Relationship Id="rId38" Type="http://schemas.openxmlformats.org/officeDocument/2006/relationships/image" Target="media/image2.png"/><Relationship Id="rId19" Type="http://schemas.openxmlformats.org/officeDocument/2006/relationships/image" Target="media/image3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