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7B25" w14:textId="1BBC5D18" w:rsidR="00C50B92" w:rsidRPr="004F5F1E" w:rsidRDefault="00C50B92" w:rsidP="00716379">
      <w:pPr>
        <w:pStyle w:val="Heading1"/>
        <w:numPr>
          <w:ilvl w:val="0"/>
          <w:numId w:val="0"/>
        </w:numPr>
        <w:ind w:left="360"/>
      </w:pPr>
      <w:r w:rsidRPr="004F5F1E">
        <w:t>Clinic Policy and Retention in Methadone Maintenance: An analysis of the ADDICTS Cohort (1986 – 1990)</w:t>
      </w:r>
    </w:p>
    <w:p w14:paraId="1855AEDB" w14:textId="332E343B" w:rsidR="00C50B92" w:rsidRPr="004F5F1E" w:rsidRDefault="00C50B92" w:rsidP="00563394">
      <w:pPr>
        <w:pStyle w:val="Heading1"/>
      </w:pPr>
      <w:r w:rsidRPr="004F5F1E">
        <w:t>Introduction:</w:t>
      </w:r>
    </w:p>
    <w:p w14:paraId="403D235F" w14:textId="77777777" w:rsidR="00C50B92" w:rsidRPr="004F5F1E" w:rsidRDefault="00C50B92" w:rsidP="00723229">
      <w:pPr>
        <w:jc w:val="both"/>
        <w:rPr>
          <w:szCs w:val="22"/>
        </w:rPr>
      </w:pPr>
    </w:p>
    <w:p w14:paraId="2A75778E" w14:textId="5EE27E95" w:rsidR="000C28F7" w:rsidRPr="00310E04" w:rsidRDefault="00777A78" w:rsidP="00723229">
      <w:pPr>
        <w:spacing w:line="480" w:lineRule="auto"/>
        <w:jc w:val="both"/>
        <w:rPr>
          <w:sz w:val="22"/>
          <w:szCs w:val="22"/>
        </w:rPr>
      </w:pPr>
      <w:r w:rsidRPr="00777A78">
        <w:rPr>
          <w:sz w:val="22"/>
          <w:szCs w:val="22"/>
        </w:rPr>
        <w:t>Opioid‐use disorder has continued to drive a staggering global mortality burden. Worldwide, the World Health Organization estimate</w:t>
      </w:r>
      <w:r w:rsidR="0099582D">
        <w:rPr>
          <w:sz w:val="22"/>
          <w:szCs w:val="22"/>
        </w:rPr>
        <w:t>d</w:t>
      </w:r>
      <w:r w:rsidRPr="00777A78">
        <w:rPr>
          <w:sz w:val="22"/>
          <w:szCs w:val="22"/>
        </w:rPr>
        <w:t xml:space="preserve"> that in 2019</w:t>
      </w:r>
      <w:r w:rsidR="00CC676B" w:rsidRPr="00310E04">
        <w:rPr>
          <w:sz w:val="22"/>
          <w:szCs w:val="22"/>
        </w:rPr>
        <w:t>,</w:t>
      </w:r>
      <w:r w:rsidRPr="00777A78">
        <w:rPr>
          <w:sz w:val="22"/>
          <w:szCs w:val="22"/>
        </w:rPr>
        <w:t xml:space="preserve"> there were roughly 600</w:t>
      </w:r>
      <w:r w:rsidR="00CC676B" w:rsidRPr="00310E04">
        <w:rPr>
          <w:sz w:val="22"/>
          <w:szCs w:val="22"/>
        </w:rPr>
        <w:t>,</w:t>
      </w:r>
      <w:r w:rsidRPr="00777A78">
        <w:rPr>
          <w:sz w:val="22"/>
          <w:szCs w:val="22"/>
        </w:rPr>
        <w:t>000 drug‐related deaths, of which about 80 % involved opioids and approximately 125</w:t>
      </w:r>
      <w:r w:rsidR="00CC676B" w:rsidRPr="00310E04">
        <w:rPr>
          <w:sz w:val="22"/>
          <w:szCs w:val="22"/>
        </w:rPr>
        <w:t>,</w:t>
      </w:r>
      <w:r w:rsidRPr="00777A78">
        <w:rPr>
          <w:sz w:val="22"/>
          <w:szCs w:val="22"/>
        </w:rPr>
        <w:t>000 were directly attributable to opioid overdose.</w:t>
      </w:r>
      <w:r w:rsidR="00EA2B63" w:rsidRPr="00310E04">
        <w:rPr>
          <w:sz w:val="22"/>
          <w:szCs w:val="22"/>
        </w:rPr>
        <w:fldChar w:fldCharType="begin"/>
      </w:r>
      <w:r w:rsidR="00110784" w:rsidRPr="00310E04">
        <w:rPr>
          <w:sz w:val="22"/>
          <w:szCs w:val="22"/>
        </w:rPr>
        <w:instrText xml:space="preserve"> ADDIN ZOTERO_ITEM CSL_CITATION {"citationID":"2sqJr962","properties":{"formattedCitation":"\\super 1\\nosupersub{}","plainCitation":"1","noteIndex":0},"citationItems":[{"id":3968,"uris":["http://zotero.org/users/12322989/items/J3ISHVJ6"],"itemData":{"id":3968,"type":"webpage","abstract":"The term “opioids” includes compounds that are extracted from the poppy seed as well as semisynthetic and synthetic compounds that can interact with opioid receptors in the brain.","language":"en","title":"Opioid overdose","URL":"https://www.who.int/news-room/fact-sheets/detail/opioid-overdose","accessed":{"date-parts":[["2025",5,1]]},"citation-key":"OpioidOverdose"}}],"schema":"https://github.com/citation-style-language/schema/raw/master/csl-citation.json"} </w:instrText>
      </w:r>
      <w:r w:rsidR="00EA2B63" w:rsidRPr="00310E04">
        <w:rPr>
          <w:sz w:val="22"/>
          <w:szCs w:val="22"/>
        </w:rPr>
        <w:fldChar w:fldCharType="separate"/>
      </w:r>
      <w:r w:rsidR="00110784" w:rsidRPr="00310E04">
        <w:rPr>
          <w:sz w:val="22"/>
          <w:szCs w:val="22"/>
          <w:vertAlign w:val="superscript"/>
          <w14:ligatures w14:val="standardContextual"/>
        </w:rPr>
        <w:t>1</w:t>
      </w:r>
      <w:r w:rsidR="00EA2B63" w:rsidRPr="00310E04">
        <w:rPr>
          <w:sz w:val="22"/>
          <w:szCs w:val="22"/>
        </w:rPr>
        <w:fldChar w:fldCharType="end"/>
      </w:r>
      <w:r w:rsidRPr="00777A78">
        <w:rPr>
          <w:sz w:val="22"/>
          <w:szCs w:val="22"/>
        </w:rPr>
        <w:t xml:space="preserve"> In the United States, the latest CDC‐adjusted figures show 111</w:t>
      </w:r>
      <w:r w:rsidR="009C6F63">
        <w:rPr>
          <w:sz w:val="22"/>
          <w:szCs w:val="22"/>
        </w:rPr>
        <w:t>,</w:t>
      </w:r>
      <w:r w:rsidRPr="00777A78">
        <w:rPr>
          <w:sz w:val="22"/>
          <w:szCs w:val="22"/>
        </w:rPr>
        <w:t>029 drug overdose deaths in 2022—324 per million population—with nearly 108</w:t>
      </w:r>
      <w:r w:rsidR="009C6F63">
        <w:rPr>
          <w:sz w:val="22"/>
          <w:szCs w:val="22"/>
        </w:rPr>
        <w:t>,</w:t>
      </w:r>
      <w:r w:rsidRPr="00777A78">
        <w:rPr>
          <w:sz w:val="22"/>
          <w:szCs w:val="22"/>
        </w:rPr>
        <w:t>000 of these fatalities involving opioids, marking a slight uptick from 2021’s totals.</w:t>
      </w:r>
      <w:r w:rsidR="001377A1" w:rsidRPr="00310E04">
        <w:rPr>
          <w:sz w:val="22"/>
          <w:szCs w:val="22"/>
        </w:rPr>
        <w:fldChar w:fldCharType="begin"/>
      </w:r>
      <w:r w:rsidR="001377A1" w:rsidRPr="00310E04">
        <w:rPr>
          <w:sz w:val="22"/>
          <w:szCs w:val="22"/>
        </w:rPr>
        <w:instrText xml:space="preserve"> ADDIN ZOTERO_ITEM CSL_CITATION {"citationID":"aN5cTHgX","properties":{"formattedCitation":"\\super 2,3\\nosupersub{}","plainCitation":"2,3","noteIndex":0},"citationItems":[{"id":3971,"uris":["http://zotero.org/users/12322989/items/6YHZKRKK"],"itemData":{"id":3971,"type":"webpage","title":"Psychiatry.org - Opioid Use Disorder","URL":"https://www.psychiatry.org/patients-families/opioid-use-disorder?utm_source=chatgpt.com","accessed":{"date-parts":[["2025",5,1]]},"citation-key":"PsychiatryorgOpioidUse"},"label":"page"},{"id":3970,"uris":["http://zotero.org/users/12322989/items/X25YDVRC"],"itemData":{"id":3970,"type":"webpage","abstract":"Recommended Meta description: The U.S. approach to reducing overdose deaths is fragmented and inadequate compared to other countries. Learn about global drug overdose deaths per year.","language":"en","note":"DOI: 10.26099/ppdk-qy10","title":"U.S. Overdose Deaths Remain Higher Than in Other Countries — Trend-Tracking and Harm-Reduction Policies Could Help","URL":"https://www.commonwealthfund.org/blog/2025/us-overdose-deaths-remain-higher-other-countries-trend-tracking-and-harm-reduction","accessed":{"date-parts":[["2025",5,1]]},"issued":{"date-parts":[["2025",1,9]]},"citation-key":"USOverdoseDeaths2025"},"label":"page"}],"schema":"https://github.com/citation-style-language/schema/raw/master/csl-citation.json"} </w:instrText>
      </w:r>
      <w:r w:rsidR="001377A1" w:rsidRPr="00310E04">
        <w:rPr>
          <w:sz w:val="22"/>
          <w:szCs w:val="22"/>
        </w:rPr>
        <w:fldChar w:fldCharType="separate"/>
      </w:r>
      <w:r w:rsidR="001377A1" w:rsidRPr="00310E04">
        <w:rPr>
          <w:sz w:val="22"/>
          <w:szCs w:val="22"/>
          <w:vertAlign w:val="superscript"/>
          <w14:ligatures w14:val="standardContextual"/>
        </w:rPr>
        <w:t>2,3</w:t>
      </w:r>
      <w:r w:rsidR="001377A1" w:rsidRPr="00310E04">
        <w:rPr>
          <w:sz w:val="22"/>
          <w:szCs w:val="22"/>
        </w:rPr>
        <w:fldChar w:fldCharType="end"/>
      </w:r>
      <w:r w:rsidRPr="00777A78">
        <w:rPr>
          <w:sz w:val="22"/>
          <w:szCs w:val="22"/>
        </w:rPr>
        <w:t xml:space="preserve"> Provisional data for 2023 indicate a modest 3 % decline to 107</w:t>
      </w:r>
      <w:r w:rsidR="009C6F63">
        <w:rPr>
          <w:sz w:val="22"/>
          <w:szCs w:val="22"/>
        </w:rPr>
        <w:t>,</w:t>
      </w:r>
      <w:r w:rsidRPr="00777A78">
        <w:rPr>
          <w:sz w:val="22"/>
          <w:szCs w:val="22"/>
        </w:rPr>
        <w:t>543 total overdose deaths (still among the highest rates globally)</w:t>
      </w:r>
      <w:r w:rsidR="009C6F63">
        <w:rPr>
          <w:sz w:val="22"/>
          <w:szCs w:val="22"/>
        </w:rPr>
        <w:t>.</w:t>
      </w:r>
      <w:r w:rsidRPr="00777A78">
        <w:rPr>
          <w:sz w:val="22"/>
          <w:szCs w:val="22"/>
        </w:rPr>
        <w:t xml:space="preserve"> </w:t>
      </w:r>
      <w:r w:rsidR="009C6F63">
        <w:rPr>
          <w:sz w:val="22"/>
          <w:szCs w:val="22"/>
        </w:rPr>
        <w:t>However,</w:t>
      </w:r>
      <w:r w:rsidRPr="00777A78">
        <w:rPr>
          <w:sz w:val="22"/>
          <w:szCs w:val="22"/>
        </w:rPr>
        <w:t xml:space="preserve"> synthetic opioids such as fentanyl now underlie the majority of these fatalities, accounting for over 74</w:t>
      </w:r>
      <w:r w:rsidR="009C6F63">
        <w:rPr>
          <w:sz w:val="22"/>
          <w:szCs w:val="22"/>
        </w:rPr>
        <w:t>,</w:t>
      </w:r>
      <w:r w:rsidRPr="00777A78">
        <w:rPr>
          <w:sz w:val="22"/>
          <w:szCs w:val="22"/>
        </w:rPr>
        <w:t>000 deaths in 2022 alone.</w:t>
      </w:r>
      <w:r w:rsidR="00B203F3" w:rsidRPr="00310E04">
        <w:rPr>
          <w:sz w:val="22"/>
          <w:szCs w:val="22"/>
        </w:rPr>
        <w:fldChar w:fldCharType="begin"/>
      </w:r>
      <w:r w:rsidR="00C505BD" w:rsidRPr="00310E04">
        <w:rPr>
          <w:sz w:val="22"/>
          <w:szCs w:val="22"/>
        </w:rPr>
        <w:instrText xml:space="preserve"> ADDIN ZOTERO_ITEM CSL_CITATION {"citationID":"qywxqMsc","properties":{"formattedCitation":"\\super 2,4\\nosupersub{}","plainCitation":"2,4","noteIndex":0},"citationItems":[{"id":3971,"uris":["http://zotero.org/users/12322989/items/6YHZKRKK"],"itemData":{"id":3971,"type":"webpage","title":"Psychiatry.org - Opioid Use Disorder","URL":"https://www.psychiatry.org/patients-families/opioid-use-disorder?utm_source=chatgpt.com","accessed":{"date-parts":[["2025",5,1]]},"citation-key":"PsychiatryorgOpioidUse"},"label":"page"},{"id":3974,"uris":["http://zotero.org/users/12322989/items/5VHYZLKK"],"itemData":{"id":3974,"type":"webpage","abstract":"While it's the first annual decline since 2018, more than 100,000 died from overdoses last year.","container-title":"Axios","language":"en","title":"Overdose deaths in 2023 fell for the first time since the pandemic","URL":"https://www.axios.com/2024/05/15/drug-overdoses-decline-fentanyl","author":[{"family":"Millman","given":"Jason"}],"accessed":{"date-parts":[["2025",5,1]]},"issued":{"date-parts":[["2024",5,15]]},"citation-key":"millmanOverdoseDeaths20232024"},"label":"page"}],"schema":"https://github.com/citation-style-language/schema/raw/master/csl-citation.json"} </w:instrText>
      </w:r>
      <w:r w:rsidR="00B203F3" w:rsidRPr="00310E04">
        <w:rPr>
          <w:sz w:val="22"/>
          <w:szCs w:val="22"/>
        </w:rPr>
        <w:fldChar w:fldCharType="separate"/>
      </w:r>
      <w:r w:rsidR="00C505BD" w:rsidRPr="00310E04">
        <w:rPr>
          <w:sz w:val="22"/>
          <w:szCs w:val="22"/>
          <w:vertAlign w:val="superscript"/>
          <w14:ligatures w14:val="standardContextual"/>
        </w:rPr>
        <w:t>2,4</w:t>
      </w:r>
      <w:r w:rsidR="00B203F3" w:rsidRPr="00310E04">
        <w:rPr>
          <w:sz w:val="22"/>
          <w:szCs w:val="22"/>
        </w:rPr>
        <w:fldChar w:fldCharType="end"/>
      </w:r>
      <w:r w:rsidRPr="00777A78">
        <w:rPr>
          <w:sz w:val="22"/>
          <w:szCs w:val="22"/>
        </w:rPr>
        <w:t xml:space="preserve"> Together, these trends underscore that opioid‐related mortality remains alarmingly high—and, importantly, that sustained engagement in effective treatments like methadone maintenance therapy is more critical than ever to mitigate this ongoing crisis.</w:t>
      </w:r>
    </w:p>
    <w:p w14:paraId="539D2AC3" w14:textId="77777777" w:rsidR="00777A78" w:rsidRPr="003E525F" w:rsidRDefault="00777A78" w:rsidP="00723229">
      <w:pPr>
        <w:spacing w:line="480" w:lineRule="auto"/>
        <w:jc w:val="both"/>
        <w:rPr>
          <w:sz w:val="22"/>
          <w:szCs w:val="22"/>
        </w:rPr>
      </w:pPr>
    </w:p>
    <w:p w14:paraId="794CD0C2" w14:textId="4FDC5776" w:rsidR="00AB3BFF" w:rsidRDefault="003E525F" w:rsidP="00723229">
      <w:pPr>
        <w:spacing w:line="480" w:lineRule="auto"/>
        <w:jc w:val="both"/>
        <w:rPr>
          <w:rFonts w:eastAsiaTheme="majorEastAsia"/>
          <w:sz w:val="22"/>
          <w:szCs w:val="22"/>
        </w:rPr>
      </w:pPr>
      <w:r w:rsidRPr="003E525F">
        <w:rPr>
          <w:sz w:val="22"/>
          <w:szCs w:val="22"/>
        </w:rPr>
        <w:t>Methadone maintenance therapy (MMT) represents the most extensively studied opioid‐substitution intervention and has been shown to reduce all‐cause and overdose mortality by two‐thirds compared with off‐treatment periods,</w:t>
      </w:r>
      <w:r w:rsidR="00821D61" w:rsidRPr="00310E04">
        <w:rPr>
          <w:sz w:val="22"/>
          <w:szCs w:val="22"/>
        </w:rPr>
        <w:fldChar w:fldCharType="begin"/>
      </w:r>
      <w:r w:rsidR="00821D61" w:rsidRPr="00310E04">
        <w:rPr>
          <w:sz w:val="22"/>
          <w:szCs w:val="22"/>
        </w:rPr>
        <w:instrText xml:space="preserve"> ADDIN ZOTERO_ITEM CSL_CITATION {"citationID":"5mUoVd9q","properties":{"formattedCitation":"\\super 5\\nosupersub{}","plainCitation":"5","noteIndex":0},"citationItems":[{"id":3976,"uris":["http://zotero.org/users/12322989/items/PQUYTQ68"],"itemData":{"id":3976,"type":"article-journal","abstract":"Objective To compare the risk for all cause and overdose mortality in people with opioid dependence during and after substitution treatment with methadone or buprenorphine and to characterise trends in risk of mortality after initiation and cessation of treatment.\nDesign Systematic review and meta-analysis.\nData sources Medline, Embase, PsycINFO, and LILACS to September 2016.\nStudy selection Prospective or retrospective cohort studies in people with opioid dependence that reported deaths from all causes or overdose during follow-up periods in and out of opioid substitution treatment with methadone or buprenorphine.\nData extraction and synthesis Two independent reviewers performed data extraction and assessed study quality. Mortality rates in and out of treatment were jointly combined across methadone or buprenorphine cohorts by using multivariate random effects meta-analysis.\nResults There were 19 eligible cohorts, following 122 885 people treated with methadone over 1.3-13.9 years and 15 831 people treated with buprenorphine over 1.1-4.5 years. Pooled all cause mortality rates were 11.3 and 36.1 per 1000 person years in and out of methadone treatment (unadjusted out-to-in rate ratio 3.20, 95% confidence interval 2.65 to 3.86) and reduced to 4.3 and 9.5 in and out of buprenorphine treatment (2.20, 1.34 to 3.61). In pooled trend analysis, all cause mortality dropped sharply over the first four weeks of methadone treatment and decreased gradually two weeks after leaving treatment. All cause mortality remained stable during induction and remaining time on buprenorphine treatment. Overdose mortality evolved similarly, with pooled overdose mortality rates of 2.6 and 12.7 per 1000 person years in and out of methadone treatment (unadjusted out-to-in rate ratio 4.80, 2.90 to 7.96) and 1.4 and 4.6 in and out of buprenorphine treatment.\nConclusions Retention in methadone and buprenorphine treatment is associated with substantial reductions in the risk for all cause and overdose mortality in people dependent on opioids. The induction phase onto methadone treatment and the time immediately after leaving treatment with both drugs are periods of particularly increased mortality risk, which should be dealt with by both public health and clinical strategies to mitigate such risk. These findings are potentially important, but further research must be conducted to properly account for potential confounding and selection bias in comparisons of mortality risk between opioid substitution treatments, as well as throughout periods in and out of each treatment.","container-title":"BMJ","DOI":"10.1136/bmj.j1550","ISSN":"0959-8138,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British Medical Journal Publishing Group\nsection: Research\nPMID: 28446428","page":"j1550","source":"www.bmj.com","title":"Mortality risk during and after opioid substitution treatment: systematic review and meta-analysis of cohort studies","title-short":"Mortality risk during and after opioid substitution treatment","volume":"357","author":[{"family":"Sordo","given":"Luis"},{"family":"Barrio","given":"Gregorio"},{"family":"Bravo","given":"Maria J."},{"family":"Indave","given":"B. Iciar"},{"family":"Degenhardt","given":"Louisa"},{"family":"Wiessing","given":"Lucas"},{"family":"Ferri","given":"Marica"},{"family":"Pastor-Barriuso","given":"Roberto"}],"issued":{"date-parts":[["2017",4,26]]},"citation-key":"sordoMortalityRiskOpioid2017"}}],"schema":"https://github.com/citation-style-language/schema/raw/master/csl-citation.json"} </w:instrText>
      </w:r>
      <w:r w:rsidR="00821D61" w:rsidRPr="00310E04">
        <w:rPr>
          <w:sz w:val="22"/>
          <w:szCs w:val="22"/>
        </w:rPr>
        <w:fldChar w:fldCharType="separate"/>
      </w:r>
      <w:r w:rsidR="00821D61" w:rsidRPr="00310E04">
        <w:rPr>
          <w:sz w:val="22"/>
          <w:szCs w:val="22"/>
          <w:vertAlign w:val="superscript"/>
          <w14:ligatures w14:val="standardContextual"/>
        </w:rPr>
        <w:t>5</w:t>
      </w:r>
      <w:r w:rsidR="00821D61" w:rsidRPr="00310E04">
        <w:rPr>
          <w:sz w:val="22"/>
          <w:szCs w:val="22"/>
        </w:rPr>
        <w:fldChar w:fldCharType="end"/>
      </w:r>
      <w:r w:rsidRPr="003E525F">
        <w:rPr>
          <w:sz w:val="22"/>
          <w:szCs w:val="22"/>
        </w:rPr>
        <w:t xml:space="preserve"> to sharply lower HIV and hepatitis transmission among people who inject drugs, and to decrease drug‐related criminal activity and illicit opioid use by over 50 % in pooled analyses</w:t>
      </w:r>
      <w:r w:rsidR="00E602FA" w:rsidRPr="00310E04">
        <w:rPr>
          <w:rFonts w:eastAsiaTheme="majorEastAsia"/>
          <w:sz w:val="22"/>
          <w:szCs w:val="22"/>
        </w:rPr>
        <w:t>.</w:t>
      </w:r>
      <w:r w:rsidR="00E602FA" w:rsidRPr="00310E04">
        <w:rPr>
          <w:rFonts w:eastAsiaTheme="majorEastAsia"/>
          <w:sz w:val="22"/>
          <w:szCs w:val="22"/>
        </w:rPr>
        <w:fldChar w:fldCharType="begin"/>
      </w:r>
      <w:r w:rsidR="00EA71F2" w:rsidRPr="00310E04">
        <w:rPr>
          <w:rFonts w:eastAsiaTheme="majorEastAsia"/>
          <w:sz w:val="22"/>
          <w:szCs w:val="22"/>
        </w:rPr>
        <w:instrText xml:space="preserve"> ADDIN ZOTERO_ITEM CSL_CITATION {"citationID":"Tq4OdQm1","properties":{"formattedCitation":"\\super 6\\nosupersub{}","plainCitation":"6","noteIndex":0},"citationItems":[{"id":3979,"uris":["http://zotero.org/users/12322989/items/RH35QGLR"],"itemData":{"id":3979,"type":"webpage","title":"Meta-analysis Confirms Methadone Maintenance Reduces Illicit Opioid Use and Improves Treatment Retention in Patients with Opioid Dependence | Alcohol, Other Drugs, and Health: Current Evidence","URL":"https://www.bu.edu/aodhealth/2009/09/01/meta-analysis-confirms-methadone-maintenance-reduces-illicit-opioid-use-and-improves-treatment-retention-in-patients-with-opioid-dependence/?utm_source=chatgpt.com","accessed":{"date-parts":[["2025",5,1]]},"citation-key":"MetaanalysisConfirmsMethadone"}}],"schema":"https://github.com/citation-style-language/schema/raw/master/csl-citation.json"} </w:instrText>
      </w:r>
      <w:r w:rsidR="00E602FA" w:rsidRPr="00310E04">
        <w:rPr>
          <w:rFonts w:eastAsiaTheme="majorEastAsia"/>
          <w:sz w:val="22"/>
          <w:szCs w:val="22"/>
        </w:rPr>
        <w:fldChar w:fldCharType="separate"/>
      </w:r>
      <w:r w:rsidR="00EA71F2" w:rsidRPr="00310E04">
        <w:rPr>
          <w:sz w:val="22"/>
          <w:szCs w:val="22"/>
          <w:vertAlign w:val="superscript"/>
          <w14:ligatures w14:val="standardContextual"/>
        </w:rPr>
        <w:t>6</w:t>
      </w:r>
      <w:r w:rsidR="00E602FA" w:rsidRPr="00310E04">
        <w:rPr>
          <w:rFonts w:eastAsiaTheme="majorEastAsia"/>
          <w:sz w:val="22"/>
          <w:szCs w:val="22"/>
        </w:rPr>
        <w:fldChar w:fldCharType="end"/>
      </w:r>
      <w:r w:rsidR="00E602FA" w:rsidRPr="00310E04">
        <w:rPr>
          <w:rFonts w:eastAsiaTheme="majorEastAsia"/>
          <w:sz w:val="22"/>
          <w:szCs w:val="22"/>
        </w:rPr>
        <w:t xml:space="preserve"> </w:t>
      </w:r>
      <w:r w:rsidRPr="003E525F">
        <w:rPr>
          <w:sz w:val="22"/>
          <w:szCs w:val="22"/>
        </w:rPr>
        <w:t>These benefits, however, are contingent upon sustained engagement: attrition from MMT is associated with a threefold increase in mortality in the weeks following treatment cessation</w:t>
      </w:r>
      <w:r w:rsidR="00A40CD2">
        <w:rPr>
          <w:sz w:val="22"/>
          <w:szCs w:val="22"/>
        </w:rPr>
        <w:t xml:space="preserve"> </w:t>
      </w:r>
      <w:r w:rsidR="00A40CD2" w:rsidRPr="00A40CD2">
        <w:rPr>
          <w:sz w:val="22"/>
          <w:szCs w:val="22"/>
        </w:rPr>
        <w:t>(adjusted rate ratio 3.1; 95 % CI 1.5–6.6)</w:t>
      </w:r>
      <w:r w:rsidR="00A40CD2">
        <w:rPr>
          <w:sz w:val="22"/>
          <w:szCs w:val="22"/>
        </w:rPr>
        <w:t>.</w:t>
      </w:r>
      <w:r w:rsidR="00617225">
        <w:rPr>
          <w:sz w:val="22"/>
          <w:szCs w:val="22"/>
        </w:rPr>
        <w:fldChar w:fldCharType="begin"/>
      </w:r>
      <w:r w:rsidR="00676E9A">
        <w:rPr>
          <w:sz w:val="22"/>
          <w:szCs w:val="22"/>
        </w:rPr>
        <w:instrText xml:space="preserve"> ADDIN ZOTERO_ITEM CSL_CITATION {"citationID":"qnlcehgE","properties":{"formattedCitation":"\\super 7\\nosupersub{}","plainCitation":"7","noteIndex":0},"citationItems":[{"id":4002,"uris":["http://zotero.org/users/12322989/items/WJLFJA4X"],"itemData":{"id":4002,"type":"article-journal","abstract":"OBJECTIVE: To investigate the effect of opiate substitution treatment at the beginning and end of treatment and according to duration of treatment.\nDESIGN: Prospective cohort study. Setting UK General Practice Research Database.\nPARTICIPANTS: Primary care patients with a diagnosis of substance misuse prescribed methadone or buprenorphine during 1990-2005. 5577 patients with 267 003 prescriptions for opiate substitution treatment followed-up (17 732 years) until one year after the expiry of their last prescription, the date of death before this time had elapsed, or the date of transfer away from the practice.\nMAIN OUTCOME MEASURES: Mortality rates and rate ratios comparing periods in and out of treatment adjusted for sex, age, calendar year, and comorbidity; standardised mortality ratios comparing opiate users' mortality with general population mortality rates.\nRESULTS: Crude mortality rates were 0.7 per 100 person years on opiate substitution treatment and 1.3 per 100 person years off treatment; standardised mortality ratios were 5.3 (95% confidence interval 4.0 to 6.8) on treatment and 10.9 (9.0 to 13.1) off treatment. Men using opiates had approximately twice the risk of death of women (morality rate ratio 2.0, 1.4 to 2.9). In the first two weeks of opiate substitution treatment the crude mortality rate was 1.7 per 100 person years: 3.1 (1.5 to 6.6) times higher (after adjustment for sex, age group, calendar period, and comorbidity) than the rate during the rest of time on treatment. The crude mortality rate was 4.8 per 100 person years in weeks 1-2 after treatment stopped, 4.3 in weeks 3-4, and 0.95 during the rest of time off treatment: 9 (5.4 to 14.9), 8 (4.7 to 13.7), and 1.9 (1.3 to 2.8) times higher than the baseline risk of mortality during treatment. Opiate substitution treatment has a greater than 85% chance of reducing overall mortality among opiate users if the average duration approaches or exceeds 12 months.\nCONCLUSIONS: Clinicians and patients should be aware of the increased mortality risk at the start of opiate substitution treatment and immediately after stopping treatment. Further research is needed to investigate the effect of average duration of opiate substitution treatment on drug related mortality.","container-title":"BMJ (Clinical research ed.)","DOI":"10.1136/bmj.c5475","ISSN":"1756-1833","journalAbbreviation":"BMJ","language":"eng","note":"PMID: 20978062\nPMCID: PMC2965139","page":"c5475","source":"PubMed","title":"Risk of death during and after opiate substitution treatment in primary care: prospective observational study in UK General Practice Research Database","title-short":"Risk of death during and after opiate substitution treatment in primary care","volume":"341","author":[{"family":"Cornish","given":"Rosie"},{"family":"Macleod","given":"John"},{"family":"Strang","given":"John"},{"family":"Vickerman","given":"Peter"},{"family":"Hickman","given":"Matt"}],"issued":{"date-parts":[["2010",10,26]]},"citation-key":"cornishRiskDeathOpiate2010b"}}],"schema":"https://github.com/citation-style-language/schema/raw/master/csl-citation.json"} </w:instrText>
      </w:r>
      <w:r w:rsidR="00617225">
        <w:rPr>
          <w:sz w:val="22"/>
          <w:szCs w:val="22"/>
        </w:rPr>
        <w:fldChar w:fldCharType="separate"/>
      </w:r>
      <w:r w:rsidR="00676E9A" w:rsidRPr="00676E9A">
        <w:rPr>
          <w:sz w:val="22"/>
          <w:vertAlign w:val="superscript"/>
          <w14:ligatures w14:val="standardContextual"/>
        </w:rPr>
        <w:t>7</w:t>
      </w:r>
      <w:r w:rsidR="00617225">
        <w:rPr>
          <w:sz w:val="22"/>
          <w:szCs w:val="22"/>
        </w:rPr>
        <w:fldChar w:fldCharType="end"/>
      </w:r>
    </w:p>
    <w:p w14:paraId="493A0AF0" w14:textId="77777777" w:rsidR="0069485E" w:rsidRPr="00AB3BFF" w:rsidRDefault="0069485E" w:rsidP="00723229">
      <w:pPr>
        <w:spacing w:line="480" w:lineRule="auto"/>
        <w:jc w:val="both"/>
        <w:rPr>
          <w:rFonts w:eastAsiaTheme="majorEastAsia"/>
          <w:sz w:val="22"/>
          <w:szCs w:val="22"/>
        </w:rPr>
      </w:pPr>
    </w:p>
    <w:p w14:paraId="2C0ED6AF" w14:textId="44D22D04" w:rsidR="003E525F" w:rsidRPr="003E525F" w:rsidRDefault="003E525F" w:rsidP="00723229">
      <w:pPr>
        <w:spacing w:line="480" w:lineRule="auto"/>
        <w:jc w:val="both"/>
        <w:rPr>
          <w:sz w:val="22"/>
          <w:szCs w:val="22"/>
        </w:rPr>
      </w:pPr>
      <w:r w:rsidRPr="003E525F">
        <w:rPr>
          <w:sz w:val="22"/>
          <w:szCs w:val="22"/>
        </w:rPr>
        <w:t xml:space="preserve">Retention in MMT is multifactorial, influenced by patient‐level variables—such as psychiatric comorbidity, socio‐structural instability, and substance‐use severity—and program‐level features, including dosing </w:t>
      </w:r>
      <w:r w:rsidRPr="003E525F">
        <w:rPr>
          <w:sz w:val="22"/>
          <w:szCs w:val="22"/>
        </w:rPr>
        <w:lastRenderedPageBreak/>
        <w:t>protocols, counseling intensity, and discharge criteria.</w:t>
      </w:r>
      <w:r w:rsidR="00865E58" w:rsidRPr="00310E04">
        <w:rPr>
          <w:sz w:val="22"/>
          <w:szCs w:val="22"/>
        </w:rPr>
        <w:fldChar w:fldCharType="begin"/>
      </w:r>
      <w:r w:rsidR="00676E9A">
        <w:rPr>
          <w:sz w:val="22"/>
          <w:szCs w:val="22"/>
        </w:rPr>
        <w:instrText xml:space="preserve"> ADDIN ZOTERO_ITEM CSL_CITATION {"citationID":"iltgi1vY","properties":{"formattedCitation":"\\super 8,9\\nosupersub{}","plainCitation":"8,9","noteIndex":0},"citationItems":[{"id":3981,"uris":["http://zotero.org/users/12322989/items/B7Q2JBLU"],"itemData":{"id":3981,"type":"article-journal","abstract":"Opioid dependence is a serious public health concern, particularly for older individuals who have a high prevalence of comorbid conditions. To effectively manage opioid use disorder (OUD), methadone maintenance treatment (MMT) is crucial; however, the MMT poses certain challenges for the aging population. The purpose of this review is to evaluate the impact of MMT on health outcomes, identify predictive factors for mortality, and assess mortality rates among older individuals receiving MMT. A systematic search was performed across databases, including PubMed, Scopus, Web of Science, and Google Scholar, adhering to the Preferred Reporting Items for Systematic reviews and Meta-Analyses (PRISMA) guidelines. Studies included were published between January 2000 and December 2023, focused on elderly patients (60 years of age and older) receiving MMT and provided information on death rates. A total of 15 studies were examined. The main causes of death for older MMT patients were overdose, respiratory issues, and cardiovascular diseases. The annual mortality rates for these patients ranged from 2% to 10%. Treatment outcomes and mortality were significantly impacted by comorbid conditions. Greater treatment adherence and longer care periods were observed in older individuals, which correlated with better health outcomes and lower mortality. This review makes clear how elderly MMT patients with addiction and chronic health issues require integrated care models. Treatment effectiveness may be further increased by gender-specific interventions. For this aging population, policy reforms and enhanced healthcare support are essential. To enhance clinical results and lower mortality rates among older individuals enrolled in MMT programs, comprehensive age-appropriate care models are crucial. Long-term health outcomes should be investigated further and evidence-based treatments for older individuals with OUD should be developed.","container-title":"Cureus","DOI":"10.7759/cureus.68910","ISSN":"2168-8184","issue":"9","journalAbbreviation":"Cureus","language":"eng","note":"PMID: 39381465\nPMCID: PMC11461037","page":"e68910","source":"PubMed","title":"Systematic Review on Mortality in the Elderly on Methadone Maintenance Treatment","volume":"16","author":[{"family":"Nazmin","given":"Farhana"},{"family":"Nath","given":"Tuheen Sankar"},{"family":"Limbaña","given":"Therese Anne"},{"family":"Murugan","given":"Vignesh"},{"family":"Garcia","given":"Jian"},{"family":"Singareddy","given":"Sanjana"}],"issued":{"date-parts":[["2024",9]]},"citation-key":"nazminSystematicReviewMortality2024"},"label":"page"},{"id":3984,"uris":["http://zotero.org/users/12322989/items/2B46VKIB"],"itemData":{"id":3984,"type":"post-weblog","abstract":"Worldwide There is an international crisis of drug overdose. Over the last twenty years drug overdose deaths have increased significantly in many parts of the world. Each year a record number of deaths are reported, predominantly driven by the misuse of opioids, often in combination with other drugs including benzodiazepines, stimulants and alcohol. In 2021, an estimated [...]","container-title":"International Overdose Awareness Day","language":"en-AU","title":"Facts &amp; Stats","URL":"https://www.overdoseday.com/facts-stats/","accessed":{"date-parts":[["2025",5,1]]},"citation-key":"FactsStats"},"label":"page"}],"schema":"https://github.com/citation-style-language/schema/raw/master/csl-citation.json"} </w:instrText>
      </w:r>
      <w:r w:rsidR="00865E58" w:rsidRPr="00310E04">
        <w:rPr>
          <w:sz w:val="22"/>
          <w:szCs w:val="22"/>
        </w:rPr>
        <w:fldChar w:fldCharType="separate"/>
      </w:r>
      <w:r w:rsidR="00676E9A" w:rsidRPr="00676E9A">
        <w:rPr>
          <w:sz w:val="22"/>
          <w:vertAlign w:val="superscript"/>
          <w14:ligatures w14:val="standardContextual"/>
        </w:rPr>
        <w:t>8,9</w:t>
      </w:r>
      <w:r w:rsidR="00865E58" w:rsidRPr="00310E04">
        <w:rPr>
          <w:sz w:val="22"/>
          <w:szCs w:val="22"/>
        </w:rPr>
        <w:fldChar w:fldCharType="end"/>
      </w:r>
      <w:r w:rsidRPr="003E525F">
        <w:rPr>
          <w:sz w:val="22"/>
          <w:szCs w:val="22"/>
        </w:rPr>
        <w:t xml:space="preserve"> While dozens of cohort studies have identified individual‐risk factors for drop‐out, the independent role of clinic‐level policy—particularly the dichotomy between abstinence‐focused, residential models and indefinite maintenance programs—has not been systematically quantified using modern survival‐analysis frameworks.</w:t>
      </w:r>
    </w:p>
    <w:p w14:paraId="5A297C27" w14:textId="77777777" w:rsidR="00B36A44" w:rsidRPr="00310E04" w:rsidRDefault="00B36A44" w:rsidP="00723229">
      <w:pPr>
        <w:spacing w:line="480" w:lineRule="auto"/>
        <w:jc w:val="both"/>
        <w:rPr>
          <w:sz w:val="22"/>
          <w:szCs w:val="22"/>
        </w:rPr>
      </w:pPr>
    </w:p>
    <w:p w14:paraId="4DEEC41B" w14:textId="78DA3063" w:rsidR="000C28F7" w:rsidRDefault="003E525F" w:rsidP="00723229">
      <w:pPr>
        <w:spacing w:line="480" w:lineRule="auto"/>
        <w:jc w:val="both"/>
        <w:rPr>
          <w:sz w:val="22"/>
          <w:szCs w:val="22"/>
        </w:rPr>
      </w:pPr>
      <w:r w:rsidRPr="003E525F">
        <w:rPr>
          <w:sz w:val="22"/>
          <w:szCs w:val="22"/>
        </w:rPr>
        <w:t>In their landmark 1991 comparison, Caplehorn et al. observed significantly higher attrition in an abstinence‐oriented, live‐in clinic versus a maintenance‐oriented program in New South Wales, Australia</w:t>
      </w:r>
      <w:r w:rsidR="00824F9F" w:rsidRPr="00310E04">
        <w:rPr>
          <w:sz w:val="22"/>
          <w:szCs w:val="22"/>
        </w:rPr>
        <w:t>.</w:t>
      </w:r>
      <w:r w:rsidR="00FB699B" w:rsidRPr="00310E04">
        <w:rPr>
          <w:sz w:val="22"/>
          <w:szCs w:val="22"/>
        </w:rPr>
        <w:fldChar w:fldCharType="begin"/>
      </w:r>
      <w:r w:rsidR="00676E9A">
        <w:rPr>
          <w:sz w:val="22"/>
          <w:szCs w:val="22"/>
        </w:rPr>
        <w:instrText xml:space="preserve"> ADDIN ZOTERO_ITEM CSL_CITATION {"citationID":"sSXPaxkI","properties":{"formattedCitation":"\\super 10\\nosupersub{}","plainCitation":"10","noteIndex":0},"citationItems":[{"id":3986,"uris":["http://zotero.org/users/12322989/items/86ESRMYA"],"itemData":{"id":3986,"type":"article-journal","abstract":"The history of methadone treatment in Australia has been and continues to be marked by conflict between two competing aims: harm minimisation and abstinence. The two approaches tend to be associated with high dose-long term and low dose-short term treatment, respectively. Most programmes fail to provide adequate ancillary services, often to the detriment of patient outcome. Despite chronic under-funding, a relative lack of staff training and, in some states, the absence of a system of clinical accountability, Australian methadone services have grown significantly in the last decade. Factors influencing the growth of programmes have been described using the New South Wales programme as the example as it represents the largest and most complex programme in the country. Current problems and the impact of the Human Immunodeficiency Virus on policy development are highlighted.","container-title":"Journal of Drug Issues","DOI":"10.1177/002204269202200314","ISSN":"0022-0426","issue":"3","language":"EN","note":"publisher: SAGE Publications Inc","page":"661-678","source":"SAGE Journals","title":"Methadone Maintenance in Australia","volume":"22","author":[{"family":"Caplehorn","given":"John R. M."},{"family":"Batey","given":"Robert G."}],"issued":{"date-parts":[["1992",7,1]]},"citation-key":"caplehornMethadoneMaintenanceAustralia1992"}}],"schema":"https://github.com/citation-style-language/schema/raw/master/csl-citation.json"} </w:instrText>
      </w:r>
      <w:r w:rsidR="00FB699B" w:rsidRPr="00310E04">
        <w:rPr>
          <w:sz w:val="22"/>
          <w:szCs w:val="22"/>
        </w:rPr>
        <w:fldChar w:fldCharType="separate"/>
      </w:r>
      <w:r w:rsidR="00676E9A" w:rsidRPr="00676E9A">
        <w:rPr>
          <w:sz w:val="22"/>
          <w:vertAlign w:val="superscript"/>
          <w14:ligatures w14:val="standardContextual"/>
        </w:rPr>
        <w:t>10</w:t>
      </w:r>
      <w:r w:rsidR="00FB699B" w:rsidRPr="00310E04">
        <w:rPr>
          <w:sz w:val="22"/>
          <w:szCs w:val="22"/>
        </w:rPr>
        <w:fldChar w:fldCharType="end"/>
      </w:r>
      <w:r w:rsidR="00824F9F" w:rsidRPr="00310E04">
        <w:rPr>
          <w:sz w:val="22"/>
          <w:szCs w:val="22"/>
        </w:rPr>
        <w:t xml:space="preserve"> </w:t>
      </w:r>
      <w:r w:rsidRPr="003E525F">
        <w:rPr>
          <w:sz w:val="22"/>
          <w:szCs w:val="22"/>
        </w:rPr>
        <w:t xml:space="preserve">However, that analysis relied on simple life‐table methods without adjusting for time‐varying covariates or assessing proportional‐hazards assumptions. By re‐examining the ADDICTS cohort with Cox proportional‐hazards models—augmented by Schoenfeld residual diagnostics alongside piecewise‐exponential approaches to capture interval‐specific hazards </w:t>
      </w:r>
      <w:r w:rsidR="006C10DE" w:rsidRPr="00310E04">
        <w:rPr>
          <w:sz w:val="22"/>
          <w:szCs w:val="22"/>
        </w:rPr>
        <w:t xml:space="preserve">and </w:t>
      </w:r>
      <w:r w:rsidRPr="003E525F">
        <w:rPr>
          <w:sz w:val="22"/>
          <w:szCs w:val="22"/>
        </w:rPr>
        <w:t>interaction tests for dosing and incarceration history, we not only refine effect estimates but also reveal how baseline hazard shifts over treatment duration.</w:t>
      </w:r>
    </w:p>
    <w:p w14:paraId="68575174" w14:textId="77777777" w:rsidR="00310E04" w:rsidRPr="003E525F" w:rsidRDefault="00310E04" w:rsidP="00723229">
      <w:pPr>
        <w:spacing w:line="480" w:lineRule="auto"/>
        <w:jc w:val="both"/>
        <w:rPr>
          <w:sz w:val="22"/>
          <w:szCs w:val="22"/>
        </w:rPr>
      </w:pPr>
    </w:p>
    <w:p w14:paraId="4BDAC505" w14:textId="540DC69D" w:rsidR="00C50B92" w:rsidRPr="00310E04" w:rsidRDefault="003E525F" w:rsidP="00310E04">
      <w:pPr>
        <w:spacing w:line="480" w:lineRule="auto"/>
        <w:jc w:val="both"/>
        <w:rPr>
          <w:sz w:val="22"/>
          <w:szCs w:val="22"/>
        </w:rPr>
      </w:pPr>
      <w:r w:rsidRPr="003E525F">
        <w:rPr>
          <w:sz w:val="22"/>
          <w:szCs w:val="22"/>
        </w:rPr>
        <w:t>This rigorous methodological suite—spanning semiparametric, parametric, and interaction‐testing techniques—advances Caplehorn’s foundational work by providing robust, reproducible estimates of clinic‐policy effects, clarifying dose‐response dynamics, and ensuring that model assumptions hold. Such precision is critical for informing evidence‐based program design and optimizing MMT delivery to maximize retention and reduce opioid‐related harms.</w:t>
      </w:r>
    </w:p>
    <w:p w14:paraId="43106FB3" w14:textId="77777777" w:rsidR="00FC04FA" w:rsidRPr="004F5F1E" w:rsidRDefault="00FC04FA" w:rsidP="00723229">
      <w:pPr>
        <w:jc w:val="both"/>
        <w:rPr>
          <w:szCs w:val="22"/>
        </w:rPr>
      </w:pPr>
    </w:p>
    <w:p w14:paraId="4BE22CED" w14:textId="65AFFFA7" w:rsidR="005F66E6" w:rsidRDefault="00954AE5" w:rsidP="00B91420">
      <w:pPr>
        <w:pStyle w:val="Heading2"/>
      </w:pPr>
      <w:r w:rsidRPr="00954AE5">
        <w:t>Study Objectives</w:t>
      </w:r>
      <w:r w:rsidR="005F66E6" w:rsidRPr="005F66E6">
        <w:t>:</w:t>
      </w:r>
    </w:p>
    <w:p w14:paraId="1FB0E511" w14:textId="77777777" w:rsidR="00B91420" w:rsidRPr="00B91420" w:rsidRDefault="00B91420" w:rsidP="00B91420"/>
    <w:p w14:paraId="4CEF58BA" w14:textId="77777777" w:rsidR="00954AE5" w:rsidRPr="00954AE5" w:rsidRDefault="00954AE5" w:rsidP="00723229">
      <w:pPr>
        <w:pStyle w:val="ListParagraph"/>
        <w:numPr>
          <w:ilvl w:val="0"/>
          <w:numId w:val="34"/>
        </w:numPr>
        <w:spacing w:line="480" w:lineRule="auto"/>
        <w:ind w:left="360"/>
        <w:jc w:val="both"/>
      </w:pPr>
      <w:r w:rsidRPr="00B87F46">
        <w:rPr>
          <w:rFonts w:eastAsiaTheme="majorEastAsia"/>
          <w:b/>
          <w:bCs/>
        </w:rPr>
        <w:t>Primary Objective:</w:t>
      </w:r>
      <w:r w:rsidRPr="00954AE5">
        <w:t xml:space="preserve"> Quantify the association between clinic policy (maintenance-oriented vs. abstinence-oriented) and the hazard of treatment drop-out.</w:t>
      </w:r>
    </w:p>
    <w:p w14:paraId="6AE055B9" w14:textId="1DD25379" w:rsidR="00436921" w:rsidRDefault="00954AE5" w:rsidP="00436921">
      <w:pPr>
        <w:pStyle w:val="ListParagraph"/>
        <w:numPr>
          <w:ilvl w:val="0"/>
          <w:numId w:val="34"/>
        </w:numPr>
        <w:spacing w:line="480" w:lineRule="auto"/>
        <w:ind w:left="360"/>
        <w:jc w:val="both"/>
      </w:pPr>
      <w:r w:rsidRPr="00D6042E">
        <w:rPr>
          <w:rFonts w:eastAsiaTheme="majorEastAsia"/>
          <w:b/>
          <w:bCs/>
        </w:rPr>
        <w:t>Secondary Objective</w:t>
      </w:r>
      <w:r w:rsidRPr="00D6042E">
        <w:rPr>
          <w:rFonts w:eastAsiaTheme="majorEastAsia"/>
        </w:rPr>
        <w:t xml:space="preserve"> </w:t>
      </w:r>
      <w:r w:rsidR="00B87F46" w:rsidRPr="00D6042E">
        <w:rPr>
          <w:rFonts w:eastAsiaTheme="majorEastAsia"/>
          <w:b/>
          <w:bCs/>
        </w:rPr>
        <w:t>2.1</w:t>
      </w:r>
      <w:r w:rsidRPr="00D6042E">
        <w:rPr>
          <w:rFonts w:eastAsiaTheme="majorEastAsia"/>
          <w:b/>
          <w:bCs/>
        </w:rPr>
        <w:t>:</w:t>
      </w:r>
      <w:r w:rsidRPr="00954AE5">
        <w:t xml:space="preserve"> Estimate the protective effect of higher methadone dose (per 1 mg and per 10 mg) on retention.</w:t>
      </w:r>
      <w:r w:rsidR="00B87F46">
        <w:t xml:space="preserve"> </w:t>
      </w:r>
      <w:r w:rsidR="00B87F46" w:rsidRPr="00D6042E">
        <w:rPr>
          <w:b/>
          <w:bCs/>
        </w:rPr>
        <w:t>2.</w:t>
      </w:r>
      <w:r w:rsidRPr="00D6042E">
        <w:rPr>
          <w:rFonts w:eastAsiaTheme="majorEastAsia"/>
          <w:b/>
          <w:bCs/>
        </w:rPr>
        <w:t>2:</w:t>
      </w:r>
      <w:r w:rsidRPr="00954AE5">
        <w:t xml:space="preserve"> </w:t>
      </w:r>
      <w:r w:rsidR="00436921" w:rsidRPr="00436921">
        <w:t>Evaluate whether the dose–retention relationship is modified by (a) clinic policy, (b) incarceration history, and (c) their joint interaction—that is, test both the two‐way interactions (Clinic × Dose and Prison × Dose) and the three‐way interaction (Clinic × Prison × Dose) on drop-out hazard.</w:t>
      </w:r>
    </w:p>
    <w:p w14:paraId="48E28EE4" w14:textId="58BADCAD" w:rsidR="00954AE5" w:rsidRPr="003F3063" w:rsidRDefault="00954AE5" w:rsidP="00B87F46">
      <w:pPr>
        <w:pStyle w:val="ListParagraph"/>
        <w:numPr>
          <w:ilvl w:val="0"/>
          <w:numId w:val="34"/>
        </w:numPr>
        <w:spacing w:line="480" w:lineRule="auto"/>
        <w:ind w:left="360"/>
        <w:jc w:val="both"/>
      </w:pPr>
      <w:r w:rsidRPr="00652015">
        <w:rPr>
          <w:rFonts w:eastAsiaTheme="majorEastAsia"/>
          <w:b/>
          <w:bCs/>
        </w:rPr>
        <w:t>Exploratory Objective:</w:t>
      </w:r>
      <w:r w:rsidRPr="00954AE5">
        <w:t xml:space="preserve"> Describe how the baseline hazard of drop-out changes over discrete follow-up intervals using a piecewise-exponential model.</w:t>
      </w:r>
    </w:p>
    <w:p w14:paraId="36909905" w14:textId="6A8A3D03" w:rsidR="00954AE5" w:rsidRDefault="00954AE5" w:rsidP="00B91420">
      <w:pPr>
        <w:pStyle w:val="Heading2"/>
      </w:pPr>
      <w:r w:rsidRPr="00954AE5">
        <w:t>Hypotheses</w:t>
      </w:r>
      <w:r w:rsidR="00B91420">
        <w:t>:</w:t>
      </w:r>
    </w:p>
    <w:p w14:paraId="21643730" w14:textId="77777777" w:rsidR="00B91420" w:rsidRPr="00B91420" w:rsidRDefault="00B91420" w:rsidP="00B91420">
      <w:pPr>
        <w:rPr>
          <w:rFonts w:eastAsiaTheme="majorEastAsia"/>
        </w:rPr>
      </w:pPr>
    </w:p>
    <w:p w14:paraId="644B26A3" w14:textId="77777777" w:rsidR="00954AE5" w:rsidRPr="00954AE5" w:rsidRDefault="00954AE5" w:rsidP="00FA19B6">
      <w:pPr>
        <w:pStyle w:val="ListParagraph"/>
        <w:numPr>
          <w:ilvl w:val="0"/>
          <w:numId w:val="35"/>
        </w:numPr>
        <w:spacing w:line="480" w:lineRule="auto"/>
        <w:ind w:left="360"/>
        <w:jc w:val="both"/>
      </w:pPr>
      <w:r w:rsidRPr="00954DB4">
        <w:rPr>
          <w:rFonts w:eastAsiaTheme="majorEastAsia"/>
          <w:b/>
          <w:bCs/>
        </w:rPr>
        <w:t>H₁ (Clinic Policy):</w:t>
      </w:r>
      <w:r w:rsidRPr="00954AE5">
        <w:t xml:space="preserve"> Patients treated in the maintenance-oriented clinic will have a significantly lower hazard of drop-out than those in the abstinence-oriented clinic (HR &lt; 1).</w:t>
      </w:r>
    </w:p>
    <w:p w14:paraId="3216228B" w14:textId="1815E752" w:rsidR="00954AE5" w:rsidRPr="00954AE5" w:rsidRDefault="00954AE5" w:rsidP="00FA19B6">
      <w:pPr>
        <w:pStyle w:val="ListParagraph"/>
        <w:numPr>
          <w:ilvl w:val="0"/>
          <w:numId w:val="35"/>
        </w:numPr>
        <w:spacing w:line="480" w:lineRule="auto"/>
        <w:ind w:left="360"/>
        <w:jc w:val="both"/>
      </w:pPr>
      <w:r w:rsidRPr="00954DB4">
        <w:rPr>
          <w:rFonts w:eastAsiaTheme="majorEastAsia"/>
          <w:b/>
          <w:bCs/>
        </w:rPr>
        <w:t>H₂ (Dose):</w:t>
      </w:r>
      <w:r w:rsidRPr="00954AE5">
        <w:t xml:space="preserve"> Each additional 1 mg increase in maximum methadone dose will be associated with a lower hazard of drop-out (HR &lt; 1).</w:t>
      </w:r>
    </w:p>
    <w:p w14:paraId="1637F47B" w14:textId="77777777" w:rsidR="00954AE5" w:rsidRPr="00954AE5" w:rsidRDefault="00954AE5" w:rsidP="00FA19B6">
      <w:pPr>
        <w:pStyle w:val="ListParagraph"/>
        <w:numPr>
          <w:ilvl w:val="0"/>
          <w:numId w:val="35"/>
        </w:numPr>
        <w:spacing w:line="480" w:lineRule="auto"/>
        <w:ind w:left="360"/>
        <w:jc w:val="both"/>
      </w:pPr>
      <w:r w:rsidRPr="00954DB4">
        <w:rPr>
          <w:rFonts w:eastAsiaTheme="majorEastAsia"/>
          <w:b/>
          <w:bCs/>
        </w:rPr>
        <w:t>H₃ (Interaction—Clinic×Dose):</w:t>
      </w:r>
      <w:r w:rsidRPr="00954AE5">
        <w:t xml:space="preserve"> The protective effect of increasing dose will be stronger in the maintenance-oriented clinic compared to the abstinence-oriented clinic.</w:t>
      </w:r>
    </w:p>
    <w:p w14:paraId="45C58F79" w14:textId="77777777" w:rsidR="00333B09" w:rsidRDefault="00954AE5" w:rsidP="00251B63">
      <w:pPr>
        <w:pStyle w:val="ListParagraph"/>
        <w:numPr>
          <w:ilvl w:val="0"/>
          <w:numId w:val="35"/>
        </w:numPr>
        <w:spacing w:line="480" w:lineRule="auto"/>
        <w:ind w:left="360"/>
        <w:jc w:val="both"/>
      </w:pPr>
      <w:r w:rsidRPr="00954DB4">
        <w:rPr>
          <w:rFonts w:eastAsiaTheme="majorEastAsia"/>
          <w:b/>
          <w:bCs/>
        </w:rPr>
        <w:t>H₄ (Interaction—Prison×Dose):</w:t>
      </w:r>
      <w:r w:rsidRPr="00954AE5">
        <w:t xml:space="preserve"> The association between dose and retention will not differ by prior incarceration history.</w:t>
      </w:r>
    </w:p>
    <w:p w14:paraId="2D477F0B" w14:textId="6D756E77" w:rsidR="00251B63" w:rsidRPr="00954AE5" w:rsidRDefault="00251B63" w:rsidP="00251B63">
      <w:pPr>
        <w:pStyle w:val="ListParagraph"/>
        <w:numPr>
          <w:ilvl w:val="0"/>
          <w:numId w:val="35"/>
        </w:numPr>
        <w:spacing w:line="480" w:lineRule="auto"/>
        <w:ind w:left="360"/>
        <w:jc w:val="both"/>
      </w:pPr>
      <w:r w:rsidRPr="00954DB4">
        <w:rPr>
          <w:rFonts w:eastAsiaTheme="majorEastAsia"/>
          <w:b/>
          <w:bCs/>
        </w:rPr>
        <w:t>H₅ (Clinic × Prison × Dose Three‐Way Interaction):</w:t>
      </w:r>
      <w:r w:rsidRPr="00251B63">
        <w:t xml:space="preserve"> The magnitude of the Dose‐by‐Prison interaction will itself differ by clinic policy—specifically, dose will confer greater protection for previously incarcerated patients in the maintenance‐oriented clinic than in the abstinence‐oriented clinic.</w:t>
      </w:r>
    </w:p>
    <w:p w14:paraId="39D0220A" w14:textId="55D3DF11" w:rsidR="00497B56" w:rsidRPr="00FC04FA" w:rsidRDefault="00954AE5" w:rsidP="00723229">
      <w:pPr>
        <w:pStyle w:val="ListParagraph"/>
        <w:numPr>
          <w:ilvl w:val="0"/>
          <w:numId w:val="35"/>
        </w:numPr>
        <w:spacing w:line="480" w:lineRule="auto"/>
        <w:ind w:left="360"/>
        <w:jc w:val="both"/>
      </w:pPr>
      <w:r w:rsidRPr="00D6042E">
        <w:rPr>
          <w:rFonts w:eastAsiaTheme="majorEastAsia"/>
          <w:b/>
          <w:bCs/>
        </w:rPr>
        <w:t>H</w:t>
      </w:r>
      <w:r w:rsidR="00333B09" w:rsidRPr="00D6042E">
        <w:rPr>
          <w:rFonts w:eastAsiaTheme="majorEastAsia"/>
          <w:b/>
          <w:bCs/>
          <w:vertAlign w:val="subscript"/>
        </w:rPr>
        <w:t>6</w:t>
      </w:r>
      <w:r w:rsidRPr="00D6042E">
        <w:rPr>
          <w:rFonts w:eastAsiaTheme="majorEastAsia"/>
          <w:b/>
          <w:bCs/>
        </w:rPr>
        <w:t xml:space="preserve"> (Baseline Hazard Dynamics):</w:t>
      </w:r>
      <w:r w:rsidRPr="00954AE5">
        <w:t xml:space="preserve"> The underlying hazard of drop-out will increase in later follow-up intervals (e.g., &gt; 12 months) compared to the first month of treatment.</w:t>
      </w:r>
    </w:p>
    <w:p w14:paraId="64C75C4C" w14:textId="191A346A" w:rsidR="00127FA0" w:rsidRPr="00127FA0" w:rsidRDefault="00127FA0" w:rsidP="00723229">
      <w:pPr>
        <w:pStyle w:val="Heading1"/>
        <w:spacing w:line="480" w:lineRule="auto"/>
      </w:pPr>
      <w:r w:rsidRPr="00127FA0">
        <w:t>Methods</w:t>
      </w:r>
    </w:p>
    <w:p w14:paraId="093BB5F3" w14:textId="524895E1" w:rsidR="00497B56" w:rsidRPr="00B91420" w:rsidRDefault="00127FA0" w:rsidP="00723229">
      <w:pPr>
        <w:pStyle w:val="Heading2"/>
        <w:spacing w:line="480" w:lineRule="auto"/>
        <w:rPr>
          <w:szCs w:val="22"/>
        </w:rPr>
      </w:pPr>
      <w:r w:rsidRPr="00B91420">
        <w:rPr>
          <w:szCs w:val="22"/>
        </w:rPr>
        <w:t>Data Source and Study Population</w:t>
      </w:r>
      <w:r w:rsidR="00497B56" w:rsidRPr="00B91420">
        <w:rPr>
          <w:szCs w:val="22"/>
        </w:rPr>
        <w:t>:</w:t>
      </w:r>
    </w:p>
    <w:p w14:paraId="5FCD0ACB" w14:textId="7E059137" w:rsidR="00127FA0" w:rsidRPr="00127FA0" w:rsidRDefault="00127FA0" w:rsidP="00723229">
      <w:pPr>
        <w:spacing w:line="480" w:lineRule="auto"/>
        <w:jc w:val="both"/>
        <w:rPr>
          <w:sz w:val="22"/>
          <w:szCs w:val="22"/>
        </w:rPr>
      </w:pPr>
      <w:r w:rsidRPr="00127FA0">
        <w:rPr>
          <w:sz w:val="22"/>
          <w:szCs w:val="22"/>
        </w:rPr>
        <w:t xml:space="preserve">We performed a retrospective cohort analysis using the ADDICTS dataset, which comprises 238 adults (≥18 years) meeting DSM-III criteria for heroin dependence who initiated methadone maintenance therapy between February 10, </w:t>
      </w:r>
      <w:r w:rsidR="00CC676B" w:rsidRPr="00B91420">
        <w:rPr>
          <w:sz w:val="22"/>
          <w:szCs w:val="22"/>
        </w:rPr>
        <w:t>1986,</w:t>
      </w:r>
      <w:r w:rsidRPr="00127FA0">
        <w:rPr>
          <w:sz w:val="22"/>
          <w:szCs w:val="22"/>
        </w:rPr>
        <w:t xml:space="preserve"> and August 31, </w:t>
      </w:r>
      <w:r w:rsidR="00B91420" w:rsidRPr="00B91420">
        <w:rPr>
          <w:sz w:val="22"/>
          <w:szCs w:val="22"/>
        </w:rPr>
        <w:t>1987,</w:t>
      </w:r>
      <w:r w:rsidRPr="00127FA0">
        <w:rPr>
          <w:sz w:val="22"/>
          <w:szCs w:val="22"/>
        </w:rPr>
        <w:t xml:space="preserve"> at two Sydney clinics. Clinic 1 enforced an abstinence-oriented, live-in policy, whereas Clinic 2 offered indefinite maintenance without residency requirements. Only patients with complete baseline and follow-up information were eligible for inclusion.</w:t>
      </w:r>
    </w:p>
    <w:p w14:paraId="47176AB3" w14:textId="1F9F5D57" w:rsidR="00497B56" w:rsidRPr="00127FA0" w:rsidRDefault="00127FA0" w:rsidP="00723229">
      <w:pPr>
        <w:pStyle w:val="Heading2"/>
        <w:spacing w:line="480" w:lineRule="auto"/>
        <w:rPr>
          <w:szCs w:val="22"/>
        </w:rPr>
      </w:pPr>
      <w:r w:rsidRPr="00B91420">
        <w:rPr>
          <w:szCs w:val="22"/>
        </w:rPr>
        <w:t>Outcome Definition and Follow-Up</w:t>
      </w:r>
      <w:r w:rsidR="00497B56" w:rsidRPr="00B91420">
        <w:rPr>
          <w:szCs w:val="22"/>
        </w:rPr>
        <w:t>:</w:t>
      </w:r>
    </w:p>
    <w:p w14:paraId="78832EE6" w14:textId="199694C0" w:rsidR="00723229" w:rsidRPr="00127FA0" w:rsidRDefault="00127FA0" w:rsidP="00723229">
      <w:pPr>
        <w:spacing w:line="480" w:lineRule="auto"/>
        <w:jc w:val="both"/>
        <w:rPr>
          <w:sz w:val="22"/>
          <w:szCs w:val="22"/>
        </w:rPr>
      </w:pPr>
      <w:r w:rsidRPr="00127FA0">
        <w:rPr>
          <w:sz w:val="22"/>
          <w:szCs w:val="22"/>
        </w:rPr>
        <w:t>Time zero was defined as the date of each patient’s first recorded methadone dose, with follow-up time calculated in days and later converted to months for analysis. The event of interest was permanent treatment discontinuation (STATUS = 1); patients still in treatment at the administrative end date (December 31, 1990) or lost to follow-up were right-censored (STATUS = 0), assuming noninformative censoring.</w:t>
      </w:r>
    </w:p>
    <w:p w14:paraId="79644E68" w14:textId="431B9B4B" w:rsidR="00497B56" w:rsidRPr="00B91420" w:rsidRDefault="00127FA0" w:rsidP="00723229">
      <w:pPr>
        <w:pStyle w:val="Heading2"/>
        <w:spacing w:line="480" w:lineRule="auto"/>
        <w:rPr>
          <w:szCs w:val="22"/>
        </w:rPr>
      </w:pPr>
      <w:r w:rsidRPr="00B91420">
        <w:rPr>
          <w:szCs w:val="22"/>
        </w:rPr>
        <w:t>Exposures and Covariates</w:t>
      </w:r>
      <w:r w:rsidR="00497B56" w:rsidRPr="00B91420">
        <w:rPr>
          <w:szCs w:val="22"/>
        </w:rPr>
        <w:t>:</w:t>
      </w:r>
    </w:p>
    <w:p w14:paraId="4345F275" w14:textId="6354100B" w:rsidR="00127FA0" w:rsidRPr="00127FA0" w:rsidRDefault="00127FA0" w:rsidP="00723229">
      <w:pPr>
        <w:spacing w:line="480" w:lineRule="auto"/>
        <w:jc w:val="both"/>
        <w:rPr>
          <w:sz w:val="22"/>
          <w:szCs w:val="22"/>
        </w:rPr>
      </w:pPr>
      <w:r w:rsidRPr="00127FA0">
        <w:rPr>
          <w:sz w:val="22"/>
          <w:szCs w:val="22"/>
        </w:rPr>
        <w:t>Our primary exposure was clinic policy (CLINIC = 1 vs 2). We adjusted for prior incarceration (PRISON = 1 vs 0) and maximum daily methadone dose (DOSE, mg/day). Because DOSE exhibited positive skew, we examined its distribution and centered it at the sample mean for interaction testing.</w:t>
      </w:r>
    </w:p>
    <w:p w14:paraId="7EF0B294" w14:textId="02D9F1BF" w:rsidR="00497B56" w:rsidRPr="00B91420" w:rsidRDefault="00127FA0" w:rsidP="00723229">
      <w:pPr>
        <w:pStyle w:val="Heading2"/>
        <w:spacing w:line="480" w:lineRule="auto"/>
        <w:rPr>
          <w:szCs w:val="22"/>
        </w:rPr>
      </w:pPr>
      <w:r w:rsidRPr="00B91420">
        <w:rPr>
          <w:szCs w:val="22"/>
        </w:rPr>
        <w:t>Statistical Analysis</w:t>
      </w:r>
      <w:r w:rsidR="00497B56" w:rsidRPr="00B91420">
        <w:rPr>
          <w:szCs w:val="22"/>
        </w:rPr>
        <w:t>:</w:t>
      </w:r>
    </w:p>
    <w:p w14:paraId="7EC7DAE9" w14:textId="48B12D77" w:rsidR="00620F70" w:rsidRPr="00620F70" w:rsidRDefault="00127FA0" w:rsidP="00723229">
      <w:pPr>
        <w:spacing w:line="480" w:lineRule="auto"/>
        <w:jc w:val="both"/>
        <w:rPr>
          <w:sz w:val="22"/>
          <w:szCs w:val="22"/>
        </w:rPr>
      </w:pPr>
      <w:r w:rsidRPr="00127FA0">
        <w:rPr>
          <w:sz w:val="22"/>
          <w:szCs w:val="22"/>
        </w:rPr>
        <w:t>All analyses were conducted in Stata 18 with two-sided α = 0.05. We first declared survival data via</w:t>
      </w:r>
      <w:r w:rsidR="00620F70" w:rsidRPr="00B91420">
        <w:rPr>
          <w:sz w:val="22"/>
          <w:szCs w:val="22"/>
        </w:rPr>
        <w:t xml:space="preserve"> and generated Kaplan–Meier curves stratified by clinic, comparing them with log-rank tests and estimating median survival with 95 % C</w:t>
      </w:r>
      <w:r w:rsidR="003C2A64">
        <w:rPr>
          <w:sz w:val="22"/>
          <w:szCs w:val="22"/>
        </w:rPr>
        <w:t>onfidence interval</w:t>
      </w:r>
      <w:r w:rsidR="00620F70" w:rsidRPr="00B91420">
        <w:rPr>
          <w:sz w:val="22"/>
          <w:szCs w:val="22"/>
        </w:rPr>
        <w:t>s using the Brookmeyer–Crowley method.</w:t>
      </w:r>
      <w:r w:rsidR="009408D4">
        <w:rPr>
          <w:sz w:val="22"/>
          <w:szCs w:val="22"/>
        </w:rPr>
        <w:t xml:space="preserve"> </w:t>
      </w:r>
      <w:r w:rsidR="00620F70" w:rsidRPr="00620F70">
        <w:rPr>
          <w:sz w:val="22"/>
          <w:szCs w:val="22"/>
        </w:rPr>
        <w:t>Our primary inferential model was a Cox proportional hazards regression</w:t>
      </w:r>
      <w:r w:rsidR="003C2A64">
        <w:rPr>
          <w:sz w:val="22"/>
          <w:szCs w:val="22"/>
        </w:rPr>
        <w:t xml:space="preserve"> </w:t>
      </w:r>
      <w:r w:rsidR="00620F70" w:rsidRPr="00620F70">
        <w:rPr>
          <w:sz w:val="22"/>
          <w:szCs w:val="22"/>
        </w:rPr>
        <w:t xml:space="preserve">yielding adjusted hazard ratios (HRs) for clinic, prison history, and dose. We assessed the proportional-hazards assumption using Schoenfeld residual tests and parallel log–log survival </w:t>
      </w:r>
      <w:r w:rsidR="00B91420" w:rsidRPr="00B91420">
        <w:rPr>
          <w:sz w:val="22"/>
          <w:szCs w:val="22"/>
        </w:rPr>
        <w:t>plots and</w:t>
      </w:r>
      <w:r w:rsidR="00620F70" w:rsidRPr="00620F70">
        <w:rPr>
          <w:sz w:val="22"/>
          <w:szCs w:val="22"/>
        </w:rPr>
        <w:t xml:space="preserve"> inspected Martingale residuals to verify the linear functional form of DOSE.</w:t>
      </w:r>
    </w:p>
    <w:p w14:paraId="3F38898B" w14:textId="691239F4" w:rsidR="00620F70" w:rsidRPr="00620F70" w:rsidRDefault="00620F70" w:rsidP="00723229">
      <w:pPr>
        <w:spacing w:line="480" w:lineRule="auto"/>
        <w:jc w:val="both"/>
        <w:rPr>
          <w:sz w:val="22"/>
          <w:szCs w:val="22"/>
        </w:rPr>
      </w:pPr>
      <w:r w:rsidRPr="00620F70">
        <w:rPr>
          <w:sz w:val="22"/>
          <w:szCs w:val="22"/>
        </w:rPr>
        <w:t>As a semi-parametric sensitivity analysis, we fit a piecewise-exponential model by splitting follow-up into six clinically meaningful intervals (0–1, 1–3, 3–6, 6–12, 12–24, ≥24 months) and then estimating</w:t>
      </w:r>
      <w:r w:rsidRPr="00B91420">
        <w:rPr>
          <w:sz w:val="22"/>
          <w:szCs w:val="22"/>
        </w:rPr>
        <w:t xml:space="preserve"> to allow the baseline hazard to vary discretely. We compared model fit via log-likelihood, A</w:t>
      </w:r>
      <w:r w:rsidR="001F169F">
        <w:rPr>
          <w:sz w:val="22"/>
          <w:szCs w:val="22"/>
        </w:rPr>
        <w:t xml:space="preserve">kaike </w:t>
      </w:r>
      <w:r w:rsidRPr="00B91420">
        <w:rPr>
          <w:sz w:val="22"/>
          <w:szCs w:val="22"/>
        </w:rPr>
        <w:t>I</w:t>
      </w:r>
      <w:r w:rsidR="001F169F">
        <w:rPr>
          <w:sz w:val="22"/>
          <w:szCs w:val="22"/>
        </w:rPr>
        <w:t xml:space="preserve">nformation </w:t>
      </w:r>
      <w:r w:rsidRPr="00B91420">
        <w:rPr>
          <w:sz w:val="22"/>
          <w:szCs w:val="22"/>
        </w:rPr>
        <w:t>C</w:t>
      </w:r>
      <w:r w:rsidR="001F169F">
        <w:rPr>
          <w:sz w:val="22"/>
          <w:szCs w:val="22"/>
        </w:rPr>
        <w:t>riterion (AIC)</w:t>
      </w:r>
      <w:r w:rsidRPr="00B91420">
        <w:rPr>
          <w:sz w:val="22"/>
          <w:szCs w:val="22"/>
        </w:rPr>
        <w:t xml:space="preserve">, and </w:t>
      </w:r>
      <w:r w:rsidR="001F169F">
        <w:rPr>
          <w:sz w:val="22"/>
          <w:szCs w:val="22"/>
        </w:rPr>
        <w:t>Bayesian Information Criterion (</w:t>
      </w:r>
      <w:r w:rsidRPr="00B91420">
        <w:rPr>
          <w:sz w:val="22"/>
          <w:szCs w:val="22"/>
        </w:rPr>
        <w:t>BIC</w:t>
      </w:r>
      <w:r w:rsidR="001F169F">
        <w:rPr>
          <w:sz w:val="22"/>
          <w:szCs w:val="22"/>
        </w:rPr>
        <w:t>)</w:t>
      </w:r>
      <w:r w:rsidRPr="00B91420">
        <w:rPr>
          <w:sz w:val="22"/>
          <w:szCs w:val="22"/>
        </w:rPr>
        <w:t>.</w:t>
      </w:r>
    </w:p>
    <w:p w14:paraId="4D616C33" w14:textId="77777777" w:rsidR="00C47CA2" w:rsidRDefault="00620F70" w:rsidP="00723229">
      <w:pPr>
        <w:spacing w:line="480" w:lineRule="auto"/>
        <w:jc w:val="both"/>
        <w:rPr>
          <w:sz w:val="22"/>
          <w:szCs w:val="22"/>
        </w:rPr>
      </w:pPr>
      <w:r w:rsidRPr="00620F70">
        <w:rPr>
          <w:sz w:val="22"/>
          <w:szCs w:val="22"/>
        </w:rPr>
        <w:t>To probe effect modification, we included interaction terms between clinic and prison history (i.clinic##i.prison) and between clinic, prison, and centered dose (i.clinic##i.prison##c.dose_c), testing each via Wald statistics (testparm). Adjusted survival curves for a “reference” patient (no prison, dose = mean) were generated with</w:t>
      </w:r>
      <w:r w:rsidR="00B25B97">
        <w:rPr>
          <w:sz w:val="22"/>
          <w:szCs w:val="22"/>
        </w:rPr>
        <w:t>.</w:t>
      </w:r>
      <w:r w:rsidR="00497B56" w:rsidRPr="00B91420">
        <w:rPr>
          <w:sz w:val="22"/>
          <w:szCs w:val="22"/>
        </w:rPr>
        <w:t xml:space="preserve"> Finally, we contrasted dosing practices between clinics with two-sample t-tests</w:t>
      </w:r>
      <w:r w:rsidR="009408D4">
        <w:rPr>
          <w:sz w:val="22"/>
          <w:szCs w:val="22"/>
        </w:rPr>
        <w:t xml:space="preserve"> </w:t>
      </w:r>
      <w:r w:rsidR="00497B56" w:rsidRPr="00B91420">
        <w:rPr>
          <w:sz w:val="22"/>
          <w:szCs w:val="22"/>
        </w:rPr>
        <w:t>and conducted sensitivity analyses by (1) categorizing dose into quartiles and (2) restricting to patients with ≥30 days of follow-up.</w:t>
      </w:r>
      <w:r w:rsidR="00C47CA2">
        <w:rPr>
          <w:sz w:val="22"/>
          <w:szCs w:val="22"/>
        </w:rPr>
        <w:t xml:space="preserve"> </w:t>
      </w:r>
    </w:p>
    <w:p w14:paraId="35A1E1DD" w14:textId="69F7F08F" w:rsidR="00723229" w:rsidRPr="00127FA0" w:rsidRDefault="00C47CA2" w:rsidP="00723229">
      <w:pPr>
        <w:spacing w:line="480" w:lineRule="auto"/>
        <w:jc w:val="both"/>
        <w:rPr>
          <w:sz w:val="22"/>
          <w:szCs w:val="22"/>
        </w:rPr>
      </w:pPr>
      <w:r w:rsidRPr="00C47CA2">
        <w:rPr>
          <w:b/>
          <w:bCs/>
          <w:sz w:val="22"/>
          <w:szCs w:val="22"/>
        </w:rPr>
        <w:t>Reproducibility:</w:t>
      </w:r>
      <w:r>
        <w:rPr>
          <w:sz w:val="22"/>
          <w:szCs w:val="22"/>
        </w:rPr>
        <w:t xml:space="preserve"> For purposes of reproducibility, syntax has been included in the </w:t>
      </w:r>
      <w:r w:rsidRPr="00C47CA2">
        <w:rPr>
          <w:i/>
          <w:iCs/>
          <w:sz w:val="22"/>
          <w:szCs w:val="22"/>
        </w:rPr>
        <w:t>appendix</w:t>
      </w:r>
      <w:r>
        <w:rPr>
          <w:i/>
          <w:iCs/>
          <w:sz w:val="22"/>
          <w:szCs w:val="22"/>
        </w:rPr>
        <w:t>.</w:t>
      </w:r>
    </w:p>
    <w:p w14:paraId="7C99308A" w14:textId="34D6BAE5" w:rsidR="00723229" w:rsidRPr="008D1421" w:rsidRDefault="00D318C8" w:rsidP="008D1421">
      <w:pPr>
        <w:spacing w:line="480" w:lineRule="auto"/>
        <w:jc w:val="both"/>
        <w:rPr>
          <w:sz w:val="22"/>
          <w:szCs w:val="22"/>
        </w:rPr>
      </w:pPr>
      <w:r w:rsidRPr="008D1421">
        <w:rPr>
          <w:b/>
          <w:bCs/>
          <w:sz w:val="22"/>
          <w:szCs w:val="22"/>
        </w:rPr>
        <w:t>Ethical considerations</w:t>
      </w:r>
      <w:r w:rsidR="008D1421" w:rsidRPr="008D1421">
        <w:rPr>
          <w:b/>
          <w:bCs/>
          <w:sz w:val="22"/>
          <w:szCs w:val="22"/>
        </w:rPr>
        <w:t>:</w:t>
      </w:r>
      <w:r w:rsidR="008D1421" w:rsidRPr="008D1421">
        <w:rPr>
          <w:sz w:val="22"/>
          <w:szCs w:val="22"/>
        </w:rPr>
        <w:t xml:space="preserve"> </w:t>
      </w:r>
      <w:r w:rsidRPr="008D1421">
        <w:rPr>
          <w:sz w:val="22"/>
          <w:szCs w:val="22"/>
        </w:rPr>
        <w:t>The ADDICTS dataset is de-identified and publicly available; original data collection predated modern ethics boards, and this secondary analysis of anonymized data was exempt from additional institutional review.</w:t>
      </w:r>
    </w:p>
    <w:p w14:paraId="0ADD7F10" w14:textId="04FCC359" w:rsidR="00C50B92" w:rsidRDefault="00612797" w:rsidP="00723229">
      <w:pPr>
        <w:pStyle w:val="Heading1"/>
      </w:pPr>
      <w:r w:rsidRPr="003D098B">
        <w:t>Results:</w:t>
      </w:r>
    </w:p>
    <w:p w14:paraId="7E11C914" w14:textId="77777777" w:rsidR="00723229" w:rsidRPr="00723229" w:rsidRDefault="00723229" w:rsidP="00723229"/>
    <w:p w14:paraId="5516B1E4" w14:textId="3FB275E4" w:rsidR="00612797" w:rsidRDefault="00355E2D" w:rsidP="00723229">
      <w:pPr>
        <w:pStyle w:val="Heading2"/>
      </w:pPr>
      <w:r>
        <w:t>Sample characteristics</w:t>
      </w:r>
    </w:p>
    <w:p w14:paraId="644C7F87" w14:textId="77777777" w:rsidR="00723229" w:rsidRPr="00723229" w:rsidRDefault="00723229" w:rsidP="00723229"/>
    <w:p w14:paraId="16CA7CF7" w14:textId="50E629D3" w:rsidR="002E0B4E" w:rsidRPr="00281339" w:rsidRDefault="00AA1B42" w:rsidP="00281339">
      <w:pPr>
        <w:spacing w:line="480" w:lineRule="auto"/>
        <w:jc w:val="both"/>
        <w:rPr>
          <w:sz w:val="22"/>
          <w:szCs w:val="22"/>
        </w:rPr>
      </w:pPr>
      <w:r w:rsidRPr="003D098B">
        <w:rPr>
          <w:sz w:val="22"/>
          <w:szCs w:val="22"/>
        </w:rPr>
        <w:t xml:space="preserve">After converting follow-up </w:t>
      </w:r>
      <w:r w:rsidR="00CD294C">
        <w:rPr>
          <w:sz w:val="22"/>
          <w:szCs w:val="22"/>
        </w:rPr>
        <w:t xml:space="preserve">from days </w:t>
      </w:r>
      <w:r w:rsidRPr="003D098B">
        <w:rPr>
          <w:sz w:val="22"/>
          <w:szCs w:val="22"/>
        </w:rPr>
        <w:t>to months (</w:t>
      </w:r>
      <w:r w:rsidRPr="003D098B">
        <w:rPr>
          <w:rFonts w:eastAsiaTheme="majorEastAsia"/>
          <w:sz w:val="22"/>
          <w:szCs w:val="22"/>
        </w:rPr>
        <w:t>survt_mo</w:t>
      </w:r>
      <w:r w:rsidRPr="003D098B">
        <w:rPr>
          <w:sz w:val="22"/>
          <w:szCs w:val="22"/>
        </w:rPr>
        <w:t xml:space="preserve">) and declaring the data via </w:t>
      </w:r>
      <w:r w:rsidRPr="003D098B">
        <w:rPr>
          <w:rFonts w:eastAsiaTheme="majorEastAsia"/>
          <w:sz w:val="22"/>
          <w:szCs w:val="22"/>
        </w:rPr>
        <w:t>stset survt_mo, failure(status==1)</w:t>
      </w:r>
      <w:r w:rsidRPr="003D098B">
        <w:rPr>
          <w:sz w:val="22"/>
          <w:szCs w:val="22"/>
        </w:rPr>
        <w:t xml:space="preserve">, we estimated Kaplan–Meier survival curves by clinic </w:t>
      </w:r>
      <w:r w:rsidRPr="00E451F7">
        <w:rPr>
          <w:sz w:val="22"/>
          <w:szCs w:val="22"/>
        </w:rPr>
        <w:t>(Figure 1).</w:t>
      </w:r>
      <w:r w:rsidRPr="003D098B">
        <w:rPr>
          <w:rFonts w:eastAsiaTheme="majorEastAsia"/>
          <w:sz w:val="22"/>
          <w:szCs w:val="22"/>
        </w:rPr>
        <w:t xml:space="preserve">  </w:t>
      </w:r>
      <w:r w:rsidRPr="003D098B">
        <w:rPr>
          <w:sz w:val="22"/>
          <w:szCs w:val="22"/>
        </w:rPr>
        <w:t xml:space="preserve">In Clinic 1, 96.9% remained at one month, falling to 59.1% by month 10 and just 1.1% by month 30, whereas Clinic 2 retained 97.3% at month 1, 71.5% at month 10, and 51.3% at month 30 </w:t>
      </w:r>
      <w:r w:rsidRPr="00E451F7">
        <w:rPr>
          <w:sz w:val="22"/>
          <w:szCs w:val="22"/>
        </w:rPr>
        <w:t>(Table 1).</w:t>
      </w:r>
      <w:r w:rsidRPr="003D098B">
        <w:rPr>
          <w:rFonts w:eastAsiaTheme="majorEastAsia"/>
          <w:sz w:val="22"/>
          <w:szCs w:val="22"/>
        </w:rPr>
        <w:t xml:space="preserve">  </w:t>
      </w:r>
      <w:r w:rsidRPr="003D098B">
        <w:rPr>
          <w:sz w:val="22"/>
          <w:szCs w:val="22"/>
        </w:rPr>
        <w:t>A log-rank test confirmed these curves differ significantly (χ²₁ = 27.89, p &lt; 0.001; 122 observed vs. 90.9 expected events in Clinic 1, 28 vs. 59.1 in Clinic 2).</w:t>
      </w:r>
      <w:r w:rsidRPr="003D098B">
        <w:rPr>
          <w:rFonts w:eastAsiaTheme="majorEastAsia"/>
          <w:sz w:val="22"/>
          <w:szCs w:val="22"/>
        </w:rPr>
        <w:t xml:space="preserve">  </w:t>
      </w:r>
      <w:r w:rsidRPr="003D098B">
        <w:rPr>
          <w:sz w:val="22"/>
          <w:szCs w:val="22"/>
        </w:rPr>
        <w:t xml:space="preserve">Median time to drop-out in Clinic 1 was 14.06 months (95% CI 11.20–16.82), while fewer than half of Clinic 2 patients exited by study end (median not reached) </w:t>
      </w:r>
      <w:r w:rsidRPr="00E451F7">
        <w:rPr>
          <w:sz w:val="22"/>
          <w:szCs w:val="22"/>
        </w:rPr>
        <w:t>(Table 2).</w:t>
      </w:r>
      <w:r w:rsidRPr="003D098B">
        <w:rPr>
          <w:rFonts w:eastAsiaTheme="majorEastAsia"/>
          <w:sz w:val="22"/>
          <w:szCs w:val="22"/>
        </w:rPr>
        <w:t xml:space="preserve">  </w:t>
      </w:r>
      <w:r w:rsidRPr="003D098B">
        <w:rPr>
          <w:sz w:val="22"/>
          <w:szCs w:val="22"/>
        </w:rPr>
        <w:t>Together, these graph‐ and table‐based descriptives underscore markedly superior retention under the maintenance‐oriented policy.</w:t>
      </w:r>
    </w:p>
    <w:p w14:paraId="61203C81" w14:textId="5A397C3F" w:rsidR="006C0263" w:rsidRPr="00E451F7" w:rsidRDefault="006C0263" w:rsidP="006C0263">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1</w:t>
      </w:r>
      <w:r w:rsidRPr="00E451F7">
        <w:rPr>
          <w:b/>
          <w:bCs/>
          <w:sz w:val="13"/>
          <w:szCs w:val="13"/>
        </w:rPr>
        <w:fldChar w:fldCharType="end"/>
      </w:r>
      <w:r w:rsidRPr="00E451F7">
        <w:rPr>
          <w:b/>
          <w:bCs/>
          <w:sz w:val="13"/>
          <w:szCs w:val="13"/>
        </w:rPr>
        <w:t>: Participant Life table</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231"/>
        <w:gridCol w:w="607"/>
        <w:gridCol w:w="685"/>
        <w:gridCol w:w="529"/>
        <w:gridCol w:w="841"/>
        <w:gridCol w:w="919"/>
        <w:gridCol w:w="1153"/>
        <w:gridCol w:w="1153"/>
      </w:tblGrid>
      <w:tr w:rsidR="00A63CE5" w:rsidRPr="00E76C10" w14:paraId="24BCA3E2" w14:textId="77777777" w:rsidTr="00A63CE5">
        <w:trPr>
          <w:trHeight w:val="144"/>
        </w:trPr>
        <w:tc>
          <w:tcPr>
            <w:tcW w:w="1231" w:type="dxa"/>
            <w:tcBorders>
              <w:bottom w:val="nil"/>
            </w:tcBorders>
            <w:shd w:val="clear" w:color="auto" w:fill="auto"/>
            <w:noWrap/>
            <w:vAlign w:val="bottom"/>
          </w:tcPr>
          <w:p w14:paraId="755EF6F3" w14:textId="75D3050D"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Clinic 1</w:t>
            </w:r>
            <w:r w:rsidR="00716379">
              <w:rPr>
                <w:rFonts w:ascii="Courier New" w:hAnsi="Courier New" w:cs="Courier New"/>
                <w:b/>
                <w:bCs/>
                <w:color w:val="000000"/>
                <w:sz w:val="13"/>
                <w:szCs w:val="13"/>
              </w:rPr>
              <w:t>/</w:t>
            </w:r>
          </w:p>
        </w:tc>
        <w:tc>
          <w:tcPr>
            <w:tcW w:w="607" w:type="dxa"/>
            <w:tcBorders>
              <w:bottom w:val="nil"/>
            </w:tcBorders>
            <w:shd w:val="clear" w:color="auto" w:fill="auto"/>
            <w:noWrap/>
            <w:vAlign w:val="bottom"/>
          </w:tcPr>
          <w:p w14:paraId="5734C628" w14:textId="77777777" w:rsidR="004A225E" w:rsidRPr="00E76C10" w:rsidRDefault="004A225E" w:rsidP="00E76C10">
            <w:pPr>
              <w:rPr>
                <w:rFonts w:ascii="Courier New" w:hAnsi="Courier New" w:cs="Courier New"/>
                <w:b/>
                <w:bCs/>
                <w:color w:val="000000"/>
                <w:sz w:val="13"/>
                <w:szCs w:val="13"/>
              </w:rPr>
            </w:pPr>
          </w:p>
        </w:tc>
        <w:tc>
          <w:tcPr>
            <w:tcW w:w="685" w:type="dxa"/>
            <w:tcBorders>
              <w:bottom w:val="nil"/>
            </w:tcBorders>
            <w:shd w:val="clear" w:color="auto" w:fill="auto"/>
            <w:noWrap/>
            <w:vAlign w:val="bottom"/>
          </w:tcPr>
          <w:p w14:paraId="1EA2CC5E" w14:textId="77777777" w:rsidR="004A225E" w:rsidRPr="00E76C10" w:rsidRDefault="004A225E" w:rsidP="00E76C10">
            <w:pPr>
              <w:rPr>
                <w:rFonts w:ascii="Courier New" w:hAnsi="Courier New" w:cs="Courier New"/>
                <w:b/>
                <w:bCs/>
                <w:color w:val="000000"/>
                <w:sz w:val="13"/>
                <w:szCs w:val="13"/>
              </w:rPr>
            </w:pPr>
          </w:p>
        </w:tc>
        <w:tc>
          <w:tcPr>
            <w:tcW w:w="529" w:type="dxa"/>
            <w:tcBorders>
              <w:bottom w:val="nil"/>
            </w:tcBorders>
            <w:shd w:val="clear" w:color="auto" w:fill="auto"/>
            <w:noWrap/>
            <w:vAlign w:val="bottom"/>
          </w:tcPr>
          <w:p w14:paraId="6686F1D6" w14:textId="77777777" w:rsidR="004A225E" w:rsidRPr="00E76C10" w:rsidRDefault="004A225E" w:rsidP="00E76C10">
            <w:pPr>
              <w:rPr>
                <w:rFonts w:ascii="Courier New" w:hAnsi="Courier New" w:cs="Courier New"/>
                <w:b/>
                <w:bCs/>
                <w:color w:val="000000"/>
                <w:sz w:val="13"/>
                <w:szCs w:val="13"/>
              </w:rPr>
            </w:pPr>
          </w:p>
        </w:tc>
        <w:tc>
          <w:tcPr>
            <w:tcW w:w="841" w:type="dxa"/>
            <w:tcBorders>
              <w:bottom w:val="nil"/>
            </w:tcBorders>
            <w:shd w:val="clear" w:color="auto" w:fill="auto"/>
            <w:noWrap/>
            <w:vAlign w:val="bottom"/>
          </w:tcPr>
          <w:p w14:paraId="61F887B7" w14:textId="77777777" w:rsidR="004A225E" w:rsidRPr="00E76C10" w:rsidRDefault="004A225E" w:rsidP="00E76C10">
            <w:pPr>
              <w:rPr>
                <w:rFonts w:ascii="Courier New" w:hAnsi="Courier New" w:cs="Courier New"/>
                <w:b/>
                <w:bCs/>
                <w:color w:val="000000"/>
                <w:sz w:val="13"/>
                <w:szCs w:val="13"/>
              </w:rPr>
            </w:pPr>
          </w:p>
        </w:tc>
        <w:tc>
          <w:tcPr>
            <w:tcW w:w="919" w:type="dxa"/>
            <w:tcBorders>
              <w:bottom w:val="nil"/>
            </w:tcBorders>
            <w:shd w:val="clear" w:color="auto" w:fill="auto"/>
            <w:noWrap/>
            <w:vAlign w:val="bottom"/>
          </w:tcPr>
          <w:p w14:paraId="167B63AE" w14:textId="77777777" w:rsidR="004A225E" w:rsidRPr="00E76C10" w:rsidRDefault="004A225E" w:rsidP="00E76C10">
            <w:pPr>
              <w:rPr>
                <w:rFonts w:ascii="Courier New" w:hAnsi="Courier New" w:cs="Courier New"/>
                <w:b/>
                <w:bCs/>
                <w:color w:val="000000"/>
                <w:sz w:val="13"/>
                <w:szCs w:val="13"/>
              </w:rPr>
            </w:pPr>
          </w:p>
        </w:tc>
        <w:tc>
          <w:tcPr>
            <w:tcW w:w="1153" w:type="dxa"/>
            <w:tcBorders>
              <w:bottom w:val="nil"/>
            </w:tcBorders>
            <w:shd w:val="clear" w:color="auto" w:fill="auto"/>
            <w:noWrap/>
            <w:vAlign w:val="bottom"/>
          </w:tcPr>
          <w:p w14:paraId="16ABC8C7" w14:textId="77777777" w:rsidR="004A225E" w:rsidRPr="00E76C10" w:rsidRDefault="004A225E" w:rsidP="00E76C10">
            <w:pPr>
              <w:rPr>
                <w:rFonts w:ascii="Courier New" w:hAnsi="Courier New" w:cs="Courier New"/>
                <w:b/>
                <w:bCs/>
                <w:color w:val="000000"/>
                <w:sz w:val="13"/>
                <w:szCs w:val="13"/>
              </w:rPr>
            </w:pPr>
          </w:p>
        </w:tc>
        <w:tc>
          <w:tcPr>
            <w:tcW w:w="1153" w:type="dxa"/>
            <w:tcBorders>
              <w:bottom w:val="nil"/>
            </w:tcBorders>
            <w:shd w:val="clear" w:color="auto" w:fill="auto"/>
            <w:noWrap/>
            <w:vAlign w:val="bottom"/>
          </w:tcPr>
          <w:p w14:paraId="57424778" w14:textId="77777777" w:rsidR="004A225E" w:rsidRPr="00E76C10" w:rsidRDefault="004A225E" w:rsidP="00E76C10">
            <w:pPr>
              <w:rPr>
                <w:rFonts w:ascii="Courier New" w:hAnsi="Courier New" w:cs="Courier New"/>
                <w:b/>
                <w:bCs/>
                <w:color w:val="000000"/>
                <w:sz w:val="13"/>
                <w:szCs w:val="13"/>
              </w:rPr>
            </w:pPr>
          </w:p>
        </w:tc>
      </w:tr>
      <w:tr w:rsidR="00A63CE5" w:rsidRPr="00E76C10" w14:paraId="4393F439" w14:textId="77777777" w:rsidTr="00A63CE5">
        <w:trPr>
          <w:trHeight w:val="144"/>
        </w:trPr>
        <w:tc>
          <w:tcPr>
            <w:tcW w:w="1231" w:type="dxa"/>
            <w:tcBorders>
              <w:top w:val="nil"/>
              <w:bottom w:val="single" w:sz="4" w:space="0" w:color="auto"/>
            </w:tcBorders>
            <w:shd w:val="clear" w:color="auto" w:fill="auto"/>
            <w:noWrap/>
            <w:vAlign w:val="bottom"/>
            <w:hideMark/>
          </w:tcPr>
          <w:p w14:paraId="1B26B096" w14:textId="4A6AFCB5"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Interval(</w:t>
            </w:r>
            <w:proofErr w:type="spellStart"/>
            <w:r w:rsidRPr="00E76C10">
              <w:rPr>
                <w:rFonts w:ascii="Courier New" w:hAnsi="Courier New" w:cs="Courier New"/>
                <w:b/>
                <w:bCs/>
                <w:color w:val="000000"/>
                <w:sz w:val="13"/>
                <w:szCs w:val="13"/>
              </w:rPr>
              <w:t>mo</w:t>
            </w:r>
            <w:proofErr w:type="spellEnd"/>
            <w:r w:rsidRPr="00E76C10">
              <w:rPr>
                <w:rFonts w:ascii="Courier New" w:hAnsi="Courier New" w:cs="Courier New"/>
                <w:b/>
                <w:bCs/>
                <w:color w:val="000000"/>
                <w:sz w:val="13"/>
                <w:szCs w:val="13"/>
              </w:rPr>
              <w:t>)</w:t>
            </w:r>
          </w:p>
        </w:tc>
        <w:tc>
          <w:tcPr>
            <w:tcW w:w="607" w:type="dxa"/>
            <w:tcBorders>
              <w:top w:val="nil"/>
              <w:bottom w:val="single" w:sz="4" w:space="0" w:color="auto"/>
            </w:tcBorders>
            <w:shd w:val="clear" w:color="auto" w:fill="auto"/>
            <w:noWrap/>
            <w:vAlign w:val="bottom"/>
            <w:hideMark/>
          </w:tcPr>
          <w:p w14:paraId="365134E6"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Total</w:t>
            </w:r>
          </w:p>
        </w:tc>
        <w:tc>
          <w:tcPr>
            <w:tcW w:w="685" w:type="dxa"/>
            <w:tcBorders>
              <w:top w:val="nil"/>
              <w:bottom w:val="single" w:sz="4" w:space="0" w:color="auto"/>
            </w:tcBorders>
            <w:shd w:val="clear" w:color="auto" w:fill="auto"/>
            <w:noWrap/>
            <w:vAlign w:val="bottom"/>
            <w:hideMark/>
          </w:tcPr>
          <w:p w14:paraId="64671D31"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Deaths</w:t>
            </w:r>
          </w:p>
        </w:tc>
        <w:tc>
          <w:tcPr>
            <w:tcW w:w="529" w:type="dxa"/>
            <w:tcBorders>
              <w:top w:val="nil"/>
              <w:bottom w:val="single" w:sz="4" w:space="0" w:color="auto"/>
            </w:tcBorders>
            <w:shd w:val="clear" w:color="auto" w:fill="auto"/>
            <w:noWrap/>
            <w:vAlign w:val="bottom"/>
            <w:hideMark/>
          </w:tcPr>
          <w:p w14:paraId="62D7BF22"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Lost</w:t>
            </w:r>
          </w:p>
        </w:tc>
        <w:tc>
          <w:tcPr>
            <w:tcW w:w="841" w:type="dxa"/>
            <w:tcBorders>
              <w:top w:val="nil"/>
              <w:bottom w:val="single" w:sz="4" w:space="0" w:color="auto"/>
            </w:tcBorders>
            <w:shd w:val="clear" w:color="auto" w:fill="auto"/>
            <w:noWrap/>
            <w:vAlign w:val="bottom"/>
            <w:hideMark/>
          </w:tcPr>
          <w:p w14:paraId="09CC6F7E"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Survival</w:t>
            </w:r>
          </w:p>
        </w:tc>
        <w:tc>
          <w:tcPr>
            <w:tcW w:w="919" w:type="dxa"/>
            <w:tcBorders>
              <w:top w:val="nil"/>
              <w:bottom w:val="single" w:sz="4" w:space="0" w:color="auto"/>
            </w:tcBorders>
            <w:shd w:val="clear" w:color="auto" w:fill="auto"/>
            <w:noWrap/>
            <w:vAlign w:val="bottom"/>
            <w:hideMark/>
          </w:tcPr>
          <w:p w14:paraId="02DDFD15"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Std. Err.</w:t>
            </w:r>
          </w:p>
        </w:tc>
        <w:tc>
          <w:tcPr>
            <w:tcW w:w="1153" w:type="dxa"/>
            <w:tcBorders>
              <w:top w:val="nil"/>
              <w:bottom w:val="single" w:sz="4" w:space="0" w:color="auto"/>
            </w:tcBorders>
            <w:shd w:val="clear" w:color="auto" w:fill="auto"/>
            <w:noWrap/>
            <w:vAlign w:val="bottom"/>
            <w:hideMark/>
          </w:tcPr>
          <w:p w14:paraId="1942CCF9"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95% CI Lower</w:t>
            </w:r>
          </w:p>
        </w:tc>
        <w:tc>
          <w:tcPr>
            <w:tcW w:w="1153" w:type="dxa"/>
            <w:tcBorders>
              <w:top w:val="nil"/>
              <w:bottom w:val="single" w:sz="4" w:space="0" w:color="auto"/>
            </w:tcBorders>
            <w:shd w:val="clear" w:color="auto" w:fill="auto"/>
            <w:noWrap/>
            <w:vAlign w:val="bottom"/>
            <w:hideMark/>
          </w:tcPr>
          <w:p w14:paraId="32BE24BB" w14:textId="77777777" w:rsidR="004A225E" w:rsidRPr="00E76C10" w:rsidRDefault="004A225E"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95% CI Upper</w:t>
            </w:r>
          </w:p>
        </w:tc>
      </w:tr>
      <w:tr w:rsidR="00A63CE5" w:rsidRPr="00E76C10" w14:paraId="4142B735" w14:textId="77777777" w:rsidTr="00A63CE5">
        <w:trPr>
          <w:trHeight w:val="144"/>
        </w:trPr>
        <w:tc>
          <w:tcPr>
            <w:tcW w:w="1231" w:type="dxa"/>
            <w:tcBorders>
              <w:top w:val="single" w:sz="4" w:space="0" w:color="auto"/>
            </w:tcBorders>
            <w:shd w:val="clear" w:color="auto" w:fill="auto"/>
            <w:noWrap/>
            <w:vAlign w:val="bottom"/>
            <w:hideMark/>
          </w:tcPr>
          <w:p w14:paraId="1E0D03D4"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0–1</w:t>
            </w:r>
          </w:p>
        </w:tc>
        <w:tc>
          <w:tcPr>
            <w:tcW w:w="607" w:type="dxa"/>
            <w:tcBorders>
              <w:top w:val="single" w:sz="4" w:space="0" w:color="auto"/>
            </w:tcBorders>
            <w:shd w:val="clear" w:color="auto" w:fill="auto"/>
            <w:noWrap/>
            <w:vAlign w:val="bottom"/>
            <w:hideMark/>
          </w:tcPr>
          <w:p w14:paraId="74589CA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163</w:t>
            </w:r>
          </w:p>
        </w:tc>
        <w:tc>
          <w:tcPr>
            <w:tcW w:w="685" w:type="dxa"/>
            <w:tcBorders>
              <w:top w:val="single" w:sz="4" w:space="0" w:color="auto"/>
            </w:tcBorders>
            <w:shd w:val="clear" w:color="auto" w:fill="auto"/>
            <w:noWrap/>
            <w:vAlign w:val="bottom"/>
            <w:hideMark/>
          </w:tcPr>
          <w:p w14:paraId="067F8FB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529" w:type="dxa"/>
            <w:tcBorders>
              <w:top w:val="single" w:sz="4" w:space="0" w:color="auto"/>
            </w:tcBorders>
            <w:shd w:val="clear" w:color="auto" w:fill="auto"/>
            <w:noWrap/>
            <w:vAlign w:val="bottom"/>
            <w:hideMark/>
          </w:tcPr>
          <w:p w14:paraId="66B8098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tcBorders>
              <w:top w:val="single" w:sz="4" w:space="0" w:color="auto"/>
            </w:tcBorders>
            <w:shd w:val="clear" w:color="auto" w:fill="auto"/>
            <w:noWrap/>
            <w:vAlign w:val="bottom"/>
            <w:hideMark/>
          </w:tcPr>
          <w:p w14:paraId="3D539CC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0.969</w:t>
            </w:r>
          </w:p>
        </w:tc>
        <w:tc>
          <w:tcPr>
            <w:tcW w:w="919" w:type="dxa"/>
            <w:tcBorders>
              <w:top w:val="single" w:sz="4" w:space="0" w:color="auto"/>
            </w:tcBorders>
            <w:shd w:val="clear" w:color="auto" w:fill="auto"/>
            <w:noWrap/>
            <w:vAlign w:val="bottom"/>
            <w:hideMark/>
          </w:tcPr>
          <w:p w14:paraId="4BB1378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0.0136</w:t>
            </w:r>
          </w:p>
        </w:tc>
        <w:tc>
          <w:tcPr>
            <w:tcW w:w="1153" w:type="dxa"/>
            <w:tcBorders>
              <w:top w:val="single" w:sz="4" w:space="0" w:color="auto"/>
            </w:tcBorders>
            <w:shd w:val="clear" w:color="auto" w:fill="auto"/>
            <w:noWrap/>
            <w:vAlign w:val="bottom"/>
            <w:hideMark/>
          </w:tcPr>
          <w:p w14:paraId="68AB542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0.9272</w:t>
            </w:r>
          </w:p>
        </w:tc>
        <w:tc>
          <w:tcPr>
            <w:tcW w:w="1153" w:type="dxa"/>
            <w:tcBorders>
              <w:top w:val="single" w:sz="4" w:space="0" w:color="auto"/>
            </w:tcBorders>
            <w:shd w:val="clear" w:color="auto" w:fill="auto"/>
            <w:noWrap/>
            <w:vAlign w:val="bottom"/>
            <w:hideMark/>
          </w:tcPr>
          <w:p w14:paraId="0FC986B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0.987</w:t>
            </w:r>
          </w:p>
        </w:tc>
      </w:tr>
      <w:tr w:rsidR="00A63CE5" w:rsidRPr="00E76C10" w14:paraId="079CB135" w14:textId="77777777" w:rsidTr="00A63CE5">
        <w:trPr>
          <w:trHeight w:val="144"/>
        </w:trPr>
        <w:tc>
          <w:tcPr>
            <w:tcW w:w="1231" w:type="dxa"/>
            <w:shd w:val="clear" w:color="auto" w:fill="auto"/>
            <w:noWrap/>
            <w:vAlign w:val="bottom"/>
            <w:hideMark/>
          </w:tcPr>
          <w:p w14:paraId="377B4F16"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1–2</w:t>
            </w:r>
          </w:p>
        </w:tc>
        <w:tc>
          <w:tcPr>
            <w:tcW w:w="607" w:type="dxa"/>
            <w:shd w:val="clear" w:color="auto" w:fill="auto"/>
            <w:noWrap/>
            <w:vAlign w:val="bottom"/>
            <w:hideMark/>
          </w:tcPr>
          <w:p w14:paraId="1095C8E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155</w:t>
            </w:r>
          </w:p>
        </w:tc>
        <w:tc>
          <w:tcPr>
            <w:tcW w:w="685" w:type="dxa"/>
            <w:shd w:val="clear" w:color="auto" w:fill="auto"/>
            <w:noWrap/>
            <w:vAlign w:val="bottom"/>
            <w:hideMark/>
          </w:tcPr>
          <w:p w14:paraId="5D47F09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8</w:t>
            </w:r>
          </w:p>
        </w:tc>
        <w:tc>
          <w:tcPr>
            <w:tcW w:w="529" w:type="dxa"/>
            <w:shd w:val="clear" w:color="auto" w:fill="auto"/>
            <w:noWrap/>
            <w:vAlign w:val="bottom"/>
            <w:hideMark/>
          </w:tcPr>
          <w:p w14:paraId="2BE5F26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2F91249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0.9189</w:t>
            </w:r>
          </w:p>
        </w:tc>
        <w:tc>
          <w:tcPr>
            <w:tcW w:w="919" w:type="dxa"/>
            <w:shd w:val="clear" w:color="auto" w:fill="auto"/>
            <w:noWrap/>
            <w:vAlign w:val="bottom"/>
            <w:hideMark/>
          </w:tcPr>
          <w:p w14:paraId="6E34D5F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0.0216</w:t>
            </w:r>
          </w:p>
        </w:tc>
        <w:tc>
          <w:tcPr>
            <w:tcW w:w="1153" w:type="dxa"/>
            <w:shd w:val="clear" w:color="auto" w:fill="auto"/>
            <w:noWrap/>
            <w:vAlign w:val="bottom"/>
            <w:hideMark/>
          </w:tcPr>
          <w:p w14:paraId="7C02731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0.8644</w:t>
            </w:r>
          </w:p>
        </w:tc>
        <w:tc>
          <w:tcPr>
            <w:tcW w:w="1153" w:type="dxa"/>
            <w:shd w:val="clear" w:color="auto" w:fill="auto"/>
            <w:noWrap/>
            <w:vAlign w:val="bottom"/>
            <w:hideMark/>
          </w:tcPr>
          <w:p w14:paraId="0507643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0.9521</w:t>
            </w:r>
          </w:p>
        </w:tc>
      </w:tr>
      <w:tr w:rsidR="00A63CE5" w:rsidRPr="00E76C10" w14:paraId="3C174A72" w14:textId="77777777" w:rsidTr="00A63CE5">
        <w:trPr>
          <w:trHeight w:val="144"/>
        </w:trPr>
        <w:tc>
          <w:tcPr>
            <w:tcW w:w="1231" w:type="dxa"/>
            <w:shd w:val="clear" w:color="auto" w:fill="auto"/>
            <w:noWrap/>
            <w:vAlign w:val="bottom"/>
            <w:hideMark/>
          </w:tcPr>
          <w:p w14:paraId="2146F135"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2–3</w:t>
            </w:r>
          </w:p>
        </w:tc>
        <w:tc>
          <w:tcPr>
            <w:tcW w:w="607" w:type="dxa"/>
            <w:shd w:val="clear" w:color="auto" w:fill="auto"/>
            <w:noWrap/>
            <w:vAlign w:val="bottom"/>
            <w:hideMark/>
          </w:tcPr>
          <w:p w14:paraId="39A0458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146</w:t>
            </w:r>
          </w:p>
        </w:tc>
        <w:tc>
          <w:tcPr>
            <w:tcW w:w="685" w:type="dxa"/>
            <w:shd w:val="clear" w:color="auto" w:fill="auto"/>
            <w:noWrap/>
            <w:vAlign w:val="bottom"/>
            <w:hideMark/>
          </w:tcPr>
          <w:p w14:paraId="5497827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529" w:type="dxa"/>
            <w:shd w:val="clear" w:color="auto" w:fill="auto"/>
            <w:noWrap/>
            <w:vAlign w:val="bottom"/>
            <w:hideMark/>
          </w:tcPr>
          <w:p w14:paraId="5374DAD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44FC01C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0.8873</w:t>
            </w:r>
          </w:p>
        </w:tc>
        <w:tc>
          <w:tcPr>
            <w:tcW w:w="919" w:type="dxa"/>
            <w:shd w:val="clear" w:color="auto" w:fill="auto"/>
            <w:noWrap/>
            <w:vAlign w:val="bottom"/>
            <w:hideMark/>
          </w:tcPr>
          <w:p w14:paraId="12DD3EC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0.025</w:t>
            </w:r>
          </w:p>
        </w:tc>
        <w:tc>
          <w:tcPr>
            <w:tcW w:w="1153" w:type="dxa"/>
            <w:shd w:val="clear" w:color="auto" w:fill="auto"/>
            <w:noWrap/>
            <w:vAlign w:val="bottom"/>
            <w:hideMark/>
          </w:tcPr>
          <w:p w14:paraId="4CBE526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0.8271</w:t>
            </w:r>
          </w:p>
        </w:tc>
        <w:tc>
          <w:tcPr>
            <w:tcW w:w="1153" w:type="dxa"/>
            <w:shd w:val="clear" w:color="auto" w:fill="auto"/>
            <w:noWrap/>
            <w:vAlign w:val="bottom"/>
            <w:hideMark/>
          </w:tcPr>
          <w:p w14:paraId="3C6CFC4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0.9275</w:t>
            </w:r>
          </w:p>
        </w:tc>
      </w:tr>
      <w:tr w:rsidR="00A63CE5" w:rsidRPr="00E76C10" w14:paraId="5AA062EA" w14:textId="77777777" w:rsidTr="00A63CE5">
        <w:trPr>
          <w:trHeight w:val="144"/>
        </w:trPr>
        <w:tc>
          <w:tcPr>
            <w:tcW w:w="1231" w:type="dxa"/>
            <w:shd w:val="clear" w:color="auto" w:fill="auto"/>
            <w:noWrap/>
            <w:vAlign w:val="bottom"/>
            <w:hideMark/>
          </w:tcPr>
          <w:p w14:paraId="648FCDA8"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3–4</w:t>
            </w:r>
          </w:p>
        </w:tc>
        <w:tc>
          <w:tcPr>
            <w:tcW w:w="607" w:type="dxa"/>
            <w:shd w:val="clear" w:color="auto" w:fill="auto"/>
            <w:noWrap/>
            <w:vAlign w:val="bottom"/>
            <w:hideMark/>
          </w:tcPr>
          <w:p w14:paraId="7BD1827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140</w:t>
            </w:r>
          </w:p>
        </w:tc>
        <w:tc>
          <w:tcPr>
            <w:tcW w:w="685" w:type="dxa"/>
            <w:shd w:val="clear" w:color="auto" w:fill="auto"/>
            <w:noWrap/>
            <w:vAlign w:val="bottom"/>
            <w:hideMark/>
          </w:tcPr>
          <w:p w14:paraId="2F87FB2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0EBB103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3969C9E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0.8681</w:t>
            </w:r>
          </w:p>
        </w:tc>
        <w:tc>
          <w:tcPr>
            <w:tcW w:w="919" w:type="dxa"/>
            <w:shd w:val="clear" w:color="auto" w:fill="auto"/>
            <w:noWrap/>
            <w:vAlign w:val="bottom"/>
            <w:hideMark/>
          </w:tcPr>
          <w:p w14:paraId="2A74489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0.0268</w:t>
            </w:r>
          </w:p>
        </w:tc>
        <w:tc>
          <w:tcPr>
            <w:tcW w:w="1153" w:type="dxa"/>
            <w:shd w:val="clear" w:color="auto" w:fill="auto"/>
            <w:noWrap/>
            <w:vAlign w:val="bottom"/>
            <w:hideMark/>
          </w:tcPr>
          <w:p w14:paraId="4A10906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0.8048</w:t>
            </w:r>
          </w:p>
        </w:tc>
        <w:tc>
          <w:tcPr>
            <w:tcW w:w="1153" w:type="dxa"/>
            <w:shd w:val="clear" w:color="auto" w:fill="auto"/>
            <w:noWrap/>
            <w:vAlign w:val="bottom"/>
            <w:hideMark/>
          </w:tcPr>
          <w:p w14:paraId="787FD1C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0.9119</w:t>
            </w:r>
          </w:p>
        </w:tc>
      </w:tr>
      <w:tr w:rsidR="00A63CE5" w:rsidRPr="00E76C10" w14:paraId="6B6896C2" w14:textId="77777777" w:rsidTr="00A63CE5">
        <w:trPr>
          <w:trHeight w:val="144"/>
        </w:trPr>
        <w:tc>
          <w:tcPr>
            <w:tcW w:w="1231" w:type="dxa"/>
            <w:shd w:val="clear" w:color="auto" w:fill="auto"/>
            <w:noWrap/>
            <w:vAlign w:val="bottom"/>
            <w:hideMark/>
          </w:tcPr>
          <w:p w14:paraId="55FF82BF"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4–5</w:t>
            </w:r>
          </w:p>
        </w:tc>
        <w:tc>
          <w:tcPr>
            <w:tcW w:w="607" w:type="dxa"/>
            <w:shd w:val="clear" w:color="auto" w:fill="auto"/>
            <w:noWrap/>
            <w:vAlign w:val="bottom"/>
            <w:hideMark/>
          </w:tcPr>
          <w:p w14:paraId="4647CE2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134</w:t>
            </w:r>
          </w:p>
        </w:tc>
        <w:tc>
          <w:tcPr>
            <w:tcW w:w="685" w:type="dxa"/>
            <w:shd w:val="clear" w:color="auto" w:fill="auto"/>
            <w:noWrap/>
            <w:vAlign w:val="bottom"/>
            <w:hideMark/>
          </w:tcPr>
          <w:p w14:paraId="4BBB7B5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w:t>
            </w:r>
          </w:p>
        </w:tc>
        <w:tc>
          <w:tcPr>
            <w:tcW w:w="529" w:type="dxa"/>
            <w:shd w:val="clear" w:color="auto" w:fill="auto"/>
            <w:noWrap/>
            <w:vAlign w:val="bottom"/>
            <w:hideMark/>
          </w:tcPr>
          <w:p w14:paraId="7276962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4A6B848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0.8222</w:t>
            </w:r>
          </w:p>
        </w:tc>
        <w:tc>
          <w:tcPr>
            <w:tcW w:w="919" w:type="dxa"/>
            <w:shd w:val="clear" w:color="auto" w:fill="auto"/>
            <w:noWrap/>
            <w:vAlign w:val="bottom"/>
            <w:hideMark/>
          </w:tcPr>
          <w:p w14:paraId="19C7FC9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0.0305</w:t>
            </w:r>
          </w:p>
        </w:tc>
        <w:tc>
          <w:tcPr>
            <w:tcW w:w="1153" w:type="dxa"/>
            <w:shd w:val="clear" w:color="auto" w:fill="auto"/>
            <w:noWrap/>
            <w:vAlign w:val="bottom"/>
            <w:hideMark/>
          </w:tcPr>
          <w:p w14:paraId="28322CF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0.7529</w:t>
            </w:r>
          </w:p>
        </w:tc>
        <w:tc>
          <w:tcPr>
            <w:tcW w:w="1153" w:type="dxa"/>
            <w:shd w:val="clear" w:color="auto" w:fill="auto"/>
            <w:noWrap/>
            <w:vAlign w:val="bottom"/>
            <w:hideMark/>
          </w:tcPr>
          <w:p w14:paraId="27F48A4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0.8737</w:t>
            </w:r>
          </w:p>
        </w:tc>
      </w:tr>
      <w:tr w:rsidR="00A63CE5" w:rsidRPr="00E76C10" w14:paraId="21E29F20" w14:textId="77777777" w:rsidTr="00A63CE5">
        <w:trPr>
          <w:trHeight w:val="144"/>
        </w:trPr>
        <w:tc>
          <w:tcPr>
            <w:tcW w:w="1231" w:type="dxa"/>
            <w:shd w:val="clear" w:color="auto" w:fill="auto"/>
            <w:noWrap/>
            <w:vAlign w:val="bottom"/>
            <w:hideMark/>
          </w:tcPr>
          <w:p w14:paraId="266C84B1"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5–6</w:t>
            </w:r>
          </w:p>
        </w:tc>
        <w:tc>
          <w:tcPr>
            <w:tcW w:w="607" w:type="dxa"/>
            <w:shd w:val="clear" w:color="auto" w:fill="auto"/>
            <w:noWrap/>
            <w:vAlign w:val="bottom"/>
            <w:hideMark/>
          </w:tcPr>
          <w:p w14:paraId="2C2B49A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124</w:t>
            </w:r>
          </w:p>
        </w:tc>
        <w:tc>
          <w:tcPr>
            <w:tcW w:w="685" w:type="dxa"/>
            <w:shd w:val="clear" w:color="auto" w:fill="auto"/>
            <w:noWrap/>
            <w:vAlign w:val="bottom"/>
            <w:hideMark/>
          </w:tcPr>
          <w:p w14:paraId="13B54CD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9</w:t>
            </w:r>
          </w:p>
        </w:tc>
        <w:tc>
          <w:tcPr>
            <w:tcW w:w="529" w:type="dxa"/>
            <w:shd w:val="clear" w:color="auto" w:fill="auto"/>
            <w:noWrap/>
            <w:vAlign w:val="bottom"/>
            <w:hideMark/>
          </w:tcPr>
          <w:p w14:paraId="2D52487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48B223E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0.762</w:t>
            </w:r>
          </w:p>
        </w:tc>
        <w:tc>
          <w:tcPr>
            <w:tcW w:w="919" w:type="dxa"/>
            <w:shd w:val="clear" w:color="auto" w:fill="auto"/>
            <w:noWrap/>
            <w:vAlign w:val="bottom"/>
            <w:hideMark/>
          </w:tcPr>
          <w:p w14:paraId="7518B46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0.0342</w:t>
            </w:r>
          </w:p>
        </w:tc>
        <w:tc>
          <w:tcPr>
            <w:tcW w:w="1153" w:type="dxa"/>
            <w:shd w:val="clear" w:color="auto" w:fill="auto"/>
            <w:noWrap/>
            <w:vAlign w:val="bottom"/>
            <w:hideMark/>
          </w:tcPr>
          <w:p w14:paraId="4FCEB36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0.6868</w:t>
            </w:r>
          </w:p>
        </w:tc>
        <w:tc>
          <w:tcPr>
            <w:tcW w:w="1153" w:type="dxa"/>
            <w:shd w:val="clear" w:color="auto" w:fill="auto"/>
            <w:noWrap/>
            <w:vAlign w:val="bottom"/>
            <w:hideMark/>
          </w:tcPr>
          <w:p w14:paraId="47C66A2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0.8216</w:t>
            </w:r>
          </w:p>
        </w:tc>
      </w:tr>
      <w:tr w:rsidR="00A63CE5" w:rsidRPr="00E76C10" w14:paraId="0285F16F" w14:textId="77777777" w:rsidTr="00A63CE5">
        <w:trPr>
          <w:trHeight w:val="144"/>
        </w:trPr>
        <w:tc>
          <w:tcPr>
            <w:tcW w:w="1231" w:type="dxa"/>
            <w:shd w:val="clear" w:color="auto" w:fill="auto"/>
            <w:noWrap/>
            <w:vAlign w:val="bottom"/>
            <w:hideMark/>
          </w:tcPr>
          <w:p w14:paraId="0DFF635F"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6–7</w:t>
            </w:r>
          </w:p>
        </w:tc>
        <w:tc>
          <w:tcPr>
            <w:tcW w:w="607" w:type="dxa"/>
            <w:shd w:val="clear" w:color="auto" w:fill="auto"/>
            <w:noWrap/>
            <w:vAlign w:val="bottom"/>
            <w:hideMark/>
          </w:tcPr>
          <w:p w14:paraId="1993F7B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113</w:t>
            </w:r>
          </w:p>
        </w:tc>
        <w:tc>
          <w:tcPr>
            <w:tcW w:w="685" w:type="dxa"/>
            <w:shd w:val="clear" w:color="auto" w:fill="auto"/>
            <w:noWrap/>
            <w:vAlign w:val="bottom"/>
            <w:hideMark/>
          </w:tcPr>
          <w:p w14:paraId="5C924CB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9</w:t>
            </w:r>
          </w:p>
        </w:tc>
        <w:tc>
          <w:tcPr>
            <w:tcW w:w="529" w:type="dxa"/>
            <w:shd w:val="clear" w:color="auto" w:fill="auto"/>
            <w:noWrap/>
            <w:vAlign w:val="bottom"/>
            <w:hideMark/>
          </w:tcPr>
          <w:p w14:paraId="7396F02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008743C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0.7008</w:t>
            </w:r>
          </w:p>
        </w:tc>
        <w:tc>
          <w:tcPr>
            <w:tcW w:w="919" w:type="dxa"/>
            <w:shd w:val="clear" w:color="auto" w:fill="auto"/>
            <w:noWrap/>
            <w:vAlign w:val="bottom"/>
            <w:hideMark/>
          </w:tcPr>
          <w:p w14:paraId="603F499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0.0371</w:t>
            </w:r>
          </w:p>
        </w:tc>
        <w:tc>
          <w:tcPr>
            <w:tcW w:w="1153" w:type="dxa"/>
            <w:shd w:val="clear" w:color="auto" w:fill="auto"/>
            <w:noWrap/>
            <w:vAlign w:val="bottom"/>
            <w:hideMark/>
          </w:tcPr>
          <w:p w14:paraId="76F7C13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0.6213</w:t>
            </w:r>
          </w:p>
        </w:tc>
        <w:tc>
          <w:tcPr>
            <w:tcW w:w="1153" w:type="dxa"/>
            <w:shd w:val="clear" w:color="auto" w:fill="auto"/>
            <w:noWrap/>
            <w:vAlign w:val="bottom"/>
            <w:hideMark/>
          </w:tcPr>
          <w:p w14:paraId="19BCFEC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0.7668</w:t>
            </w:r>
          </w:p>
        </w:tc>
      </w:tr>
      <w:tr w:rsidR="00A63CE5" w:rsidRPr="00E76C10" w14:paraId="1B7EFCD9" w14:textId="77777777" w:rsidTr="00A63CE5">
        <w:trPr>
          <w:trHeight w:val="144"/>
        </w:trPr>
        <w:tc>
          <w:tcPr>
            <w:tcW w:w="1231" w:type="dxa"/>
            <w:shd w:val="clear" w:color="auto" w:fill="auto"/>
            <w:noWrap/>
            <w:vAlign w:val="bottom"/>
            <w:hideMark/>
          </w:tcPr>
          <w:p w14:paraId="678BCF17"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7–8</w:t>
            </w:r>
          </w:p>
        </w:tc>
        <w:tc>
          <w:tcPr>
            <w:tcW w:w="607" w:type="dxa"/>
            <w:shd w:val="clear" w:color="auto" w:fill="auto"/>
            <w:noWrap/>
            <w:vAlign w:val="bottom"/>
            <w:hideMark/>
          </w:tcPr>
          <w:p w14:paraId="7994A62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102</w:t>
            </w:r>
          </w:p>
        </w:tc>
        <w:tc>
          <w:tcPr>
            <w:tcW w:w="685" w:type="dxa"/>
            <w:shd w:val="clear" w:color="auto" w:fill="auto"/>
            <w:noWrap/>
            <w:vAlign w:val="bottom"/>
            <w:hideMark/>
          </w:tcPr>
          <w:p w14:paraId="56B7469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501BE4A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591F8D5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0.6802</w:t>
            </w:r>
          </w:p>
        </w:tc>
        <w:tc>
          <w:tcPr>
            <w:tcW w:w="919" w:type="dxa"/>
            <w:shd w:val="clear" w:color="auto" w:fill="auto"/>
            <w:noWrap/>
            <w:vAlign w:val="bottom"/>
            <w:hideMark/>
          </w:tcPr>
          <w:p w14:paraId="2A7D548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0.0378</w:t>
            </w:r>
          </w:p>
        </w:tc>
        <w:tc>
          <w:tcPr>
            <w:tcW w:w="1153" w:type="dxa"/>
            <w:shd w:val="clear" w:color="auto" w:fill="auto"/>
            <w:noWrap/>
            <w:vAlign w:val="bottom"/>
            <w:hideMark/>
          </w:tcPr>
          <w:p w14:paraId="2520EC2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0.5996</w:t>
            </w:r>
          </w:p>
        </w:tc>
        <w:tc>
          <w:tcPr>
            <w:tcW w:w="1153" w:type="dxa"/>
            <w:shd w:val="clear" w:color="auto" w:fill="auto"/>
            <w:noWrap/>
            <w:vAlign w:val="bottom"/>
            <w:hideMark/>
          </w:tcPr>
          <w:p w14:paraId="7B0F781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0.748</w:t>
            </w:r>
          </w:p>
        </w:tc>
      </w:tr>
      <w:tr w:rsidR="00A63CE5" w:rsidRPr="00E76C10" w14:paraId="20FD89B4" w14:textId="77777777" w:rsidTr="00A63CE5">
        <w:trPr>
          <w:trHeight w:val="144"/>
        </w:trPr>
        <w:tc>
          <w:tcPr>
            <w:tcW w:w="1231" w:type="dxa"/>
            <w:shd w:val="clear" w:color="auto" w:fill="auto"/>
            <w:noWrap/>
            <w:vAlign w:val="bottom"/>
            <w:hideMark/>
          </w:tcPr>
          <w:p w14:paraId="71B6D949"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8–9</w:t>
            </w:r>
          </w:p>
        </w:tc>
        <w:tc>
          <w:tcPr>
            <w:tcW w:w="607" w:type="dxa"/>
            <w:shd w:val="clear" w:color="auto" w:fill="auto"/>
            <w:noWrap/>
            <w:vAlign w:val="bottom"/>
            <w:hideMark/>
          </w:tcPr>
          <w:p w14:paraId="0EBAB82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99</w:t>
            </w:r>
          </w:p>
        </w:tc>
        <w:tc>
          <w:tcPr>
            <w:tcW w:w="685" w:type="dxa"/>
            <w:shd w:val="clear" w:color="auto" w:fill="auto"/>
            <w:noWrap/>
            <w:vAlign w:val="bottom"/>
            <w:hideMark/>
          </w:tcPr>
          <w:p w14:paraId="2C37D34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w:t>
            </w:r>
          </w:p>
        </w:tc>
        <w:tc>
          <w:tcPr>
            <w:tcW w:w="529" w:type="dxa"/>
            <w:shd w:val="clear" w:color="auto" w:fill="auto"/>
            <w:noWrap/>
            <w:vAlign w:val="bottom"/>
            <w:hideMark/>
          </w:tcPr>
          <w:p w14:paraId="74B181E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58D1EB8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0.6321</w:t>
            </w:r>
          </w:p>
        </w:tc>
        <w:tc>
          <w:tcPr>
            <w:tcW w:w="919" w:type="dxa"/>
            <w:shd w:val="clear" w:color="auto" w:fill="auto"/>
            <w:noWrap/>
            <w:vAlign w:val="bottom"/>
            <w:hideMark/>
          </w:tcPr>
          <w:p w14:paraId="0844E40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0.0393</w:t>
            </w:r>
          </w:p>
        </w:tc>
        <w:tc>
          <w:tcPr>
            <w:tcW w:w="1153" w:type="dxa"/>
            <w:shd w:val="clear" w:color="auto" w:fill="auto"/>
            <w:noWrap/>
            <w:vAlign w:val="bottom"/>
            <w:hideMark/>
          </w:tcPr>
          <w:p w14:paraId="55EC6F1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0.5498</w:t>
            </w:r>
          </w:p>
        </w:tc>
        <w:tc>
          <w:tcPr>
            <w:tcW w:w="1153" w:type="dxa"/>
            <w:shd w:val="clear" w:color="auto" w:fill="auto"/>
            <w:noWrap/>
            <w:vAlign w:val="bottom"/>
            <w:hideMark/>
          </w:tcPr>
          <w:p w14:paraId="6A6E353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0.7035</w:t>
            </w:r>
          </w:p>
        </w:tc>
      </w:tr>
      <w:tr w:rsidR="00A63CE5" w:rsidRPr="00E76C10" w14:paraId="43316DA9" w14:textId="77777777" w:rsidTr="00A63CE5">
        <w:trPr>
          <w:trHeight w:val="144"/>
        </w:trPr>
        <w:tc>
          <w:tcPr>
            <w:tcW w:w="1231" w:type="dxa"/>
            <w:shd w:val="clear" w:color="auto" w:fill="auto"/>
            <w:noWrap/>
            <w:vAlign w:val="bottom"/>
            <w:hideMark/>
          </w:tcPr>
          <w:p w14:paraId="399893BC"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9–10</w:t>
            </w:r>
          </w:p>
        </w:tc>
        <w:tc>
          <w:tcPr>
            <w:tcW w:w="607" w:type="dxa"/>
            <w:shd w:val="clear" w:color="auto" w:fill="auto"/>
            <w:noWrap/>
            <w:vAlign w:val="bottom"/>
            <w:hideMark/>
          </w:tcPr>
          <w:p w14:paraId="2D6868D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92</w:t>
            </w:r>
          </w:p>
        </w:tc>
        <w:tc>
          <w:tcPr>
            <w:tcW w:w="685" w:type="dxa"/>
            <w:shd w:val="clear" w:color="auto" w:fill="auto"/>
            <w:noWrap/>
            <w:vAlign w:val="bottom"/>
            <w:hideMark/>
          </w:tcPr>
          <w:p w14:paraId="198BD0C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529" w:type="dxa"/>
            <w:shd w:val="clear" w:color="auto" w:fill="auto"/>
            <w:noWrap/>
            <w:vAlign w:val="bottom"/>
            <w:hideMark/>
          </w:tcPr>
          <w:p w14:paraId="23D4809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2A55D9B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0.5976</w:t>
            </w:r>
          </w:p>
        </w:tc>
        <w:tc>
          <w:tcPr>
            <w:tcW w:w="919" w:type="dxa"/>
            <w:shd w:val="clear" w:color="auto" w:fill="auto"/>
            <w:noWrap/>
            <w:vAlign w:val="bottom"/>
            <w:hideMark/>
          </w:tcPr>
          <w:p w14:paraId="3A8E893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0.0401</w:t>
            </w:r>
          </w:p>
        </w:tc>
        <w:tc>
          <w:tcPr>
            <w:tcW w:w="1153" w:type="dxa"/>
            <w:shd w:val="clear" w:color="auto" w:fill="auto"/>
            <w:noWrap/>
            <w:vAlign w:val="bottom"/>
            <w:hideMark/>
          </w:tcPr>
          <w:p w14:paraId="0933CCB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0.5145</w:t>
            </w:r>
          </w:p>
        </w:tc>
        <w:tc>
          <w:tcPr>
            <w:tcW w:w="1153" w:type="dxa"/>
            <w:shd w:val="clear" w:color="auto" w:fill="auto"/>
            <w:noWrap/>
            <w:vAlign w:val="bottom"/>
            <w:hideMark/>
          </w:tcPr>
          <w:p w14:paraId="234257D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0.6711</w:t>
            </w:r>
          </w:p>
        </w:tc>
      </w:tr>
      <w:tr w:rsidR="00A63CE5" w:rsidRPr="00E76C10" w14:paraId="2DC2CD99" w14:textId="77777777" w:rsidTr="00A63CE5">
        <w:trPr>
          <w:trHeight w:val="144"/>
        </w:trPr>
        <w:tc>
          <w:tcPr>
            <w:tcW w:w="1231" w:type="dxa"/>
            <w:shd w:val="clear" w:color="auto" w:fill="auto"/>
            <w:noWrap/>
            <w:vAlign w:val="bottom"/>
            <w:hideMark/>
          </w:tcPr>
          <w:p w14:paraId="5A48C4F5"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10–11</w:t>
            </w:r>
          </w:p>
        </w:tc>
        <w:tc>
          <w:tcPr>
            <w:tcW w:w="607" w:type="dxa"/>
            <w:shd w:val="clear" w:color="auto" w:fill="auto"/>
            <w:noWrap/>
            <w:vAlign w:val="bottom"/>
            <w:hideMark/>
          </w:tcPr>
          <w:p w14:paraId="34B8DFA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86</w:t>
            </w:r>
          </w:p>
        </w:tc>
        <w:tc>
          <w:tcPr>
            <w:tcW w:w="685" w:type="dxa"/>
            <w:shd w:val="clear" w:color="auto" w:fill="auto"/>
            <w:noWrap/>
            <w:vAlign w:val="bottom"/>
            <w:hideMark/>
          </w:tcPr>
          <w:p w14:paraId="336975D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6FDAA75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3251FC6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0.5905</w:t>
            </w:r>
          </w:p>
        </w:tc>
        <w:tc>
          <w:tcPr>
            <w:tcW w:w="919" w:type="dxa"/>
            <w:shd w:val="clear" w:color="auto" w:fill="auto"/>
            <w:noWrap/>
            <w:vAlign w:val="bottom"/>
            <w:hideMark/>
          </w:tcPr>
          <w:p w14:paraId="0E4D192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0.0402</w:t>
            </w:r>
          </w:p>
        </w:tc>
        <w:tc>
          <w:tcPr>
            <w:tcW w:w="1153" w:type="dxa"/>
            <w:shd w:val="clear" w:color="auto" w:fill="auto"/>
            <w:noWrap/>
            <w:vAlign w:val="bottom"/>
            <w:hideMark/>
          </w:tcPr>
          <w:p w14:paraId="3ECA617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0.5073</w:t>
            </w:r>
          </w:p>
        </w:tc>
        <w:tc>
          <w:tcPr>
            <w:tcW w:w="1153" w:type="dxa"/>
            <w:shd w:val="clear" w:color="auto" w:fill="auto"/>
            <w:noWrap/>
            <w:vAlign w:val="bottom"/>
            <w:hideMark/>
          </w:tcPr>
          <w:p w14:paraId="750A78A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0.6644</w:t>
            </w:r>
          </w:p>
        </w:tc>
      </w:tr>
      <w:tr w:rsidR="00A63CE5" w:rsidRPr="00E76C10" w14:paraId="64CC6DE3" w14:textId="77777777" w:rsidTr="00A63CE5">
        <w:trPr>
          <w:trHeight w:val="144"/>
        </w:trPr>
        <w:tc>
          <w:tcPr>
            <w:tcW w:w="1231" w:type="dxa"/>
            <w:shd w:val="clear" w:color="auto" w:fill="auto"/>
            <w:noWrap/>
            <w:vAlign w:val="bottom"/>
            <w:hideMark/>
          </w:tcPr>
          <w:p w14:paraId="25562BE5"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11–12</w:t>
            </w:r>
          </w:p>
        </w:tc>
        <w:tc>
          <w:tcPr>
            <w:tcW w:w="607" w:type="dxa"/>
            <w:shd w:val="clear" w:color="auto" w:fill="auto"/>
            <w:noWrap/>
            <w:vAlign w:val="bottom"/>
            <w:hideMark/>
          </w:tcPr>
          <w:p w14:paraId="75DEA45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83</w:t>
            </w:r>
          </w:p>
        </w:tc>
        <w:tc>
          <w:tcPr>
            <w:tcW w:w="685" w:type="dxa"/>
            <w:shd w:val="clear" w:color="auto" w:fill="auto"/>
            <w:noWrap/>
            <w:vAlign w:val="bottom"/>
            <w:hideMark/>
          </w:tcPr>
          <w:p w14:paraId="795387A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529" w:type="dxa"/>
            <w:shd w:val="clear" w:color="auto" w:fill="auto"/>
            <w:noWrap/>
            <w:vAlign w:val="bottom"/>
            <w:hideMark/>
          </w:tcPr>
          <w:p w14:paraId="1487063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1B06B7B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0.5543</w:t>
            </w:r>
          </w:p>
        </w:tc>
        <w:tc>
          <w:tcPr>
            <w:tcW w:w="919" w:type="dxa"/>
            <w:shd w:val="clear" w:color="auto" w:fill="auto"/>
            <w:noWrap/>
            <w:vAlign w:val="bottom"/>
            <w:hideMark/>
          </w:tcPr>
          <w:p w14:paraId="6BC2966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0.0409</w:t>
            </w:r>
          </w:p>
        </w:tc>
        <w:tc>
          <w:tcPr>
            <w:tcW w:w="1153" w:type="dxa"/>
            <w:shd w:val="clear" w:color="auto" w:fill="auto"/>
            <w:noWrap/>
            <w:vAlign w:val="bottom"/>
            <w:hideMark/>
          </w:tcPr>
          <w:p w14:paraId="2310229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0.4706</w:t>
            </w:r>
          </w:p>
        </w:tc>
        <w:tc>
          <w:tcPr>
            <w:tcW w:w="1153" w:type="dxa"/>
            <w:shd w:val="clear" w:color="auto" w:fill="auto"/>
            <w:noWrap/>
            <w:vAlign w:val="bottom"/>
            <w:hideMark/>
          </w:tcPr>
          <w:p w14:paraId="3D0ADCF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0.6301</w:t>
            </w:r>
          </w:p>
        </w:tc>
      </w:tr>
      <w:tr w:rsidR="00A63CE5" w:rsidRPr="00E76C10" w14:paraId="6BF70F8A" w14:textId="77777777" w:rsidTr="00A63CE5">
        <w:trPr>
          <w:trHeight w:val="144"/>
        </w:trPr>
        <w:tc>
          <w:tcPr>
            <w:tcW w:w="1231" w:type="dxa"/>
            <w:shd w:val="clear" w:color="auto" w:fill="auto"/>
            <w:noWrap/>
            <w:vAlign w:val="bottom"/>
            <w:hideMark/>
          </w:tcPr>
          <w:p w14:paraId="11A07C1A"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12–13</w:t>
            </w:r>
          </w:p>
        </w:tc>
        <w:tc>
          <w:tcPr>
            <w:tcW w:w="607" w:type="dxa"/>
            <w:shd w:val="clear" w:color="auto" w:fill="auto"/>
            <w:noWrap/>
            <w:vAlign w:val="bottom"/>
            <w:hideMark/>
          </w:tcPr>
          <w:p w14:paraId="54C5B4B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75</w:t>
            </w:r>
          </w:p>
        </w:tc>
        <w:tc>
          <w:tcPr>
            <w:tcW w:w="685" w:type="dxa"/>
            <w:shd w:val="clear" w:color="auto" w:fill="auto"/>
            <w:noWrap/>
            <w:vAlign w:val="bottom"/>
            <w:hideMark/>
          </w:tcPr>
          <w:p w14:paraId="3FB3481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w:t>
            </w:r>
          </w:p>
        </w:tc>
        <w:tc>
          <w:tcPr>
            <w:tcW w:w="529" w:type="dxa"/>
            <w:shd w:val="clear" w:color="auto" w:fill="auto"/>
            <w:noWrap/>
            <w:vAlign w:val="bottom"/>
            <w:hideMark/>
          </w:tcPr>
          <w:p w14:paraId="5BE28D1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1D4BEEF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w:t>
            </w:r>
          </w:p>
        </w:tc>
        <w:tc>
          <w:tcPr>
            <w:tcW w:w="919" w:type="dxa"/>
            <w:shd w:val="clear" w:color="auto" w:fill="auto"/>
            <w:noWrap/>
            <w:vAlign w:val="bottom"/>
            <w:hideMark/>
          </w:tcPr>
          <w:p w14:paraId="051C6A3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0.0414</w:t>
            </w:r>
          </w:p>
        </w:tc>
        <w:tc>
          <w:tcPr>
            <w:tcW w:w="1153" w:type="dxa"/>
            <w:shd w:val="clear" w:color="auto" w:fill="auto"/>
            <w:noWrap/>
            <w:vAlign w:val="bottom"/>
            <w:hideMark/>
          </w:tcPr>
          <w:p w14:paraId="2E2418C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0.4261</w:t>
            </w:r>
          </w:p>
        </w:tc>
        <w:tc>
          <w:tcPr>
            <w:tcW w:w="1153" w:type="dxa"/>
            <w:shd w:val="clear" w:color="auto" w:fill="auto"/>
            <w:noWrap/>
            <w:vAlign w:val="bottom"/>
            <w:hideMark/>
          </w:tcPr>
          <w:p w14:paraId="39D643E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0.5876</w:t>
            </w:r>
          </w:p>
        </w:tc>
      </w:tr>
      <w:tr w:rsidR="00A63CE5" w:rsidRPr="00E76C10" w14:paraId="044B4A32" w14:textId="77777777" w:rsidTr="00A63CE5">
        <w:trPr>
          <w:trHeight w:val="144"/>
        </w:trPr>
        <w:tc>
          <w:tcPr>
            <w:tcW w:w="1231" w:type="dxa"/>
            <w:shd w:val="clear" w:color="auto" w:fill="auto"/>
            <w:noWrap/>
            <w:vAlign w:val="bottom"/>
            <w:hideMark/>
          </w:tcPr>
          <w:p w14:paraId="001C0431"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13–14</w:t>
            </w:r>
          </w:p>
        </w:tc>
        <w:tc>
          <w:tcPr>
            <w:tcW w:w="607" w:type="dxa"/>
            <w:shd w:val="clear" w:color="auto" w:fill="auto"/>
            <w:noWrap/>
            <w:vAlign w:val="bottom"/>
            <w:hideMark/>
          </w:tcPr>
          <w:p w14:paraId="4DD9843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69</w:t>
            </w:r>
          </w:p>
        </w:tc>
        <w:tc>
          <w:tcPr>
            <w:tcW w:w="685" w:type="dxa"/>
            <w:shd w:val="clear" w:color="auto" w:fill="auto"/>
            <w:noWrap/>
            <w:vAlign w:val="bottom"/>
            <w:hideMark/>
          </w:tcPr>
          <w:p w14:paraId="2CB24FE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4FB141C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5E35C48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0.5025</w:t>
            </w:r>
          </w:p>
        </w:tc>
        <w:tc>
          <w:tcPr>
            <w:tcW w:w="919" w:type="dxa"/>
            <w:shd w:val="clear" w:color="auto" w:fill="auto"/>
            <w:noWrap/>
            <w:vAlign w:val="bottom"/>
            <w:hideMark/>
          </w:tcPr>
          <w:p w14:paraId="4FC1BA0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0.0415</w:t>
            </w:r>
          </w:p>
        </w:tc>
        <w:tc>
          <w:tcPr>
            <w:tcW w:w="1153" w:type="dxa"/>
            <w:shd w:val="clear" w:color="auto" w:fill="auto"/>
            <w:noWrap/>
            <w:vAlign w:val="bottom"/>
            <w:hideMark/>
          </w:tcPr>
          <w:p w14:paraId="560A547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0.4187</w:t>
            </w:r>
          </w:p>
        </w:tc>
        <w:tc>
          <w:tcPr>
            <w:tcW w:w="1153" w:type="dxa"/>
            <w:shd w:val="clear" w:color="auto" w:fill="auto"/>
            <w:noWrap/>
            <w:vAlign w:val="bottom"/>
            <w:hideMark/>
          </w:tcPr>
          <w:p w14:paraId="6558373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0.5804</w:t>
            </w:r>
          </w:p>
        </w:tc>
      </w:tr>
      <w:tr w:rsidR="00A63CE5" w:rsidRPr="00E76C10" w14:paraId="0F44DFC1" w14:textId="77777777" w:rsidTr="00A63CE5">
        <w:trPr>
          <w:trHeight w:val="144"/>
        </w:trPr>
        <w:tc>
          <w:tcPr>
            <w:tcW w:w="1231" w:type="dxa"/>
            <w:shd w:val="clear" w:color="auto" w:fill="auto"/>
            <w:noWrap/>
            <w:vAlign w:val="bottom"/>
            <w:hideMark/>
          </w:tcPr>
          <w:p w14:paraId="576A1463"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14–15</w:t>
            </w:r>
          </w:p>
        </w:tc>
        <w:tc>
          <w:tcPr>
            <w:tcW w:w="607" w:type="dxa"/>
            <w:shd w:val="clear" w:color="auto" w:fill="auto"/>
            <w:noWrap/>
            <w:vAlign w:val="bottom"/>
            <w:hideMark/>
          </w:tcPr>
          <w:p w14:paraId="1B9D0AF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66</w:t>
            </w:r>
          </w:p>
        </w:tc>
        <w:tc>
          <w:tcPr>
            <w:tcW w:w="685" w:type="dxa"/>
            <w:shd w:val="clear" w:color="auto" w:fill="auto"/>
            <w:noWrap/>
            <w:vAlign w:val="bottom"/>
            <w:hideMark/>
          </w:tcPr>
          <w:p w14:paraId="72BA2F8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w:t>
            </w:r>
          </w:p>
        </w:tc>
        <w:tc>
          <w:tcPr>
            <w:tcW w:w="529" w:type="dxa"/>
            <w:shd w:val="clear" w:color="auto" w:fill="auto"/>
            <w:noWrap/>
            <w:vAlign w:val="bottom"/>
            <w:hideMark/>
          </w:tcPr>
          <w:p w14:paraId="6BBEDFD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149DBD4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0.4718</w:t>
            </w:r>
          </w:p>
        </w:tc>
        <w:tc>
          <w:tcPr>
            <w:tcW w:w="919" w:type="dxa"/>
            <w:shd w:val="clear" w:color="auto" w:fill="auto"/>
            <w:noWrap/>
            <w:vAlign w:val="bottom"/>
            <w:hideMark/>
          </w:tcPr>
          <w:p w14:paraId="027330F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0.0417</w:t>
            </w:r>
          </w:p>
        </w:tc>
        <w:tc>
          <w:tcPr>
            <w:tcW w:w="1153" w:type="dxa"/>
            <w:shd w:val="clear" w:color="auto" w:fill="auto"/>
            <w:noWrap/>
            <w:vAlign w:val="bottom"/>
            <w:hideMark/>
          </w:tcPr>
          <w:p w14:paraId="182A94A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0.3883</w:t>
            </w:r>
          </w:p>
        </w:tc>
        <w:tc>
          <w:tcPr>
            <w:tcW w:w="1153" w:type="dxa"/>
            <w:shd w:val="clear" w:color="auto" w:fill="auto"/>
            <w:noWrap/>
            <w:vAlign w:val="bottom"/>
            <w:hideMark/>
          </w:tcPr>
          <w:p w14:paraId="349690F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0.5507</w:t>
            </w:r>
          </w:p>
        </w:tc>
      </w:tr>
      <w:tr w:rsidR="00A63CE5" w:rsidRPr="00E76C10" w14:paraId="60977EDC" w14:textId="77777777" w:rsidTr="00A63CE5">
        <w:trPr>
          <w:trHeight w:val="144"/>
        </w:trPr>
        <w:tc>
          <w:tcPr>
            <w:tcW w:w="1231" w:type="dxa"/>
            <w:shd w:val="clear" w:color="auto" w:fill="auto"/>
            <w:noWrap/>
            <w:vAlign w:val="bottom"/>
            <w:hideMark/>
          </w:tcPr>
          <w:p w14:paraId="6048982C"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15–16</w:t>
            </w:r>
          </w:p>
        </w:tc>
        <w:tc>
          <w:tcPr>
            <w:tcW w:w="607" w:type="dxa"/>
            <w:shd w:val="clear" w:color="auto" w:fill="auto"/>
            <w:noWrap/>
            <w:vAlign w:val="bottom"/>
            <w:hideMark/>
          </w:tcPr>
          <w:p w14:paraId="5C02BE8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61</w:t>
            </w:r>
          </w:p>
        </w:tc>
        <w:tc>
          <w:tcPr>
            <w:tcW w:w="685" w:type="dxa"/>
            <w:shd w:val="clear" w:color="auto" w:fill="auto"/>
            <w:noWrap/>
            <w:vAlign w:val="bottom"/>
            <w:hideMark/>
          </w:tcPr>
          <w:p w14:paraId="705331A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42A3D45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2216DCC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0.448</w:t>
            </w:r>
          </w:p>
        </w:tc>
        <w:tc>
          <w:tcPr>
            <w:tcW w:w="919" w:type="dxa"/>
            <w:shd w:val="clear" w:color="auto" w:fill="auto"/>
            <w:noWrap/>
            <w:vAlign w:val="bottom"/>
            <w:hideMark/>
          </w:tcPr>
          <w:p w14:paraId="621FEAA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0.0418</w:t>
            </w:r>
          </w:p>
        </w:tc>
        <w:tc>
          <w:tcPr>
            <w:tcW w:w="1153" w:type="dxa"/>
            <w:shd w:val="clear" w:color="auto" w:fill="auto"/>
            <w:noWrap/>
            <w:vAlign w:val="bottom"/>
            <w:hideMark/>
          </w:tcPr>
          <w:p w14:paraId="7D7AAD6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0.3648</w:t>
            </w:r>
          </w:p>
        </w:tc>
        <w:tc>
          <w:tcPr>
            <w:tcW w:w="1153" w:type="dxa"/>
            <w:shd w:val="clear" w:color="auto" w:fill="auto"/>
            <w:noWrap/>
            <w:vAlign w:val="bottom"/>
            <w:hideMark/>
          </w:tcPr>
          <w:p w14:paraId="665B88A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0.5276</w:t>
            </w:r>
          </w:p>
        </w:tc>
      </w:tr>
      <w:tr w:rsidR="00A63CE5" w:rsidRPr="00E76C10" w14:paraId="31E9454E" w14:textId="77777777" w:rsidTr="00A63CE5">
        <w:trPr>
          <w:trHeight w:val="144"/>
        </w:trPr>
        <w:tc>
          <w:tcPr>
            <w:tcW w:w="1231" w:type="dxa"/>
            <w:shd w:val="clear" w:color="auto" w:fill="auto"/>
            <w:noWrap/>
            <w:vAlign w:val="bottom"/>
            <w:hideMark/>
          </w:tcPr>
          <w:p w14:paraId="2EEA9D3B"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16–17</w:t>
            </w:r>
          </w:p>
        </w:tc>
        <w:tc>
          <w:tcPr>
            <w:tcW w:w="607" w:type="dxa"/>
            <w:shd w:val="clear" w:color="auto" w:fill="auto"/>
            <w:noWrap/>
            <w:vAlign w:val="bottom"/>
            <w:hideMark/>
          </w:tcPr>
          <w:p w14:paraId="799EBC1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55</w:t>
            </w:r>
          </w:p>
        </w:tc>
        <w:tc>
          <w:tcPr>
            <w:tcW w:w="685" w:type="dxa"/>
            <w:shd w:val="clear" w:color="auto" w:fill="auto"/>
            <w:noWrap/>
            <w:vAlign w:val="bottom"/>
            <w:hideMark/>
          </w:tcPr>
          <w:p w14:paraId="59A1DDF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w:t>
            </w:r>
          </w:p>
        </w:tc>
        <w:tc>
          <w:tcPr>
            <w:tcW w:w="529" w:type="dxa"/>
            <w:shd w:val="clear" w:color="auto" w:fill="auto"/>
            <w:noWrap/>
            <w:vAlign w:val="bottom"/>
            <w:hideMark/>
          </w:tcPr>
          <w:p w14:paraId="31CE693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56A713D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0.3987</w:t>
            </w:r>
          </w:p>
        </w:tc>
        <w:tc>
          <w:tcPr>
            <w:tcW w:w="919" w:type="dxa"/>
            <w:shd w:val="clear" w:color="auto" w:fill="auto"/>
            <w:noWrap/>
            <w:vAlign w:val="bottom"/>
            <w:hideMark/>
          </w:tcPr>
          <w:p w14:paraId="62B0BCB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0.0418</w:t>
            </w:r>
          </w:p>
        </w:tc>
        <w:tc>
          <w:tcPr>
            <w:tcW w:w="1153" w:type="dxa"/>
            <w:shd w:val="clear" w:color="auto" w:fill="auto"/>
            <w:noWrap/>
            <w:vAlign w:val="bottom"/>
            <w:hideMark/>
          </w:tcPr>
          <w:p w14:paraId="3144159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0.3167</w:t>
            </w:r>
          </w:p>
        </w:tc>
        <w:tc>
          <w:tcPr>
            <w:tcW w:w="1153" w:type="dxa"/>
            <w:shd w:val="clear" w:color="auto" w:fill="auto"/>
            <w:noWrap/>
            <w:vAlign w:val="bottom"/>
            <w:hideMark/>
          </w:tcPr>
          <w:p w14:paraId="1BFC1CC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0.4792</w:t>
            </w:r>
          </w:p>
        </w:tc>
      </w:tr>
      <w:tr w:rsidR="00A63CE5" w:rsidRPr="00E76C10" w14:paraId="207710DC" w14:textId="77777777" w:rsidTr="00A63CE5">
        <w:trPr>
          <w:trHeight w:val="144"/>
        </w:trPr>
        <w:tc>
          <w:tcPr>
            <w:tcW w:w="1231" w:type="dxa"/>
            <w:shd w:val="clear" w:color="auto" w:fill="auto"/>
            <w:noWrap/>
            <w:vAlign w:val="bottom"/>
            <w:hideMark/>
          </w:tcPr>
          <w:p w14:paraId="5D148598"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17–18</w:t>
            </w:r>
          </w:p>
        </w:tc>
        <w:tc>
          <w:tcPr>
            <w:tcW w:w="607" w:type="dxa"/>
            <w:shd w:val="clear" w:color="auto" w:fill="auto"/>
            <w:noWrap/>
            <w:vAlign w:val="bottom"/>
            <w:hideMark/>
          </w:tcPr>
          <w:p w14:paraId="7756044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48</w:t>
            </w:r>
          </w:p>
        </w:tc>
        <w:tc>
          <w:tcPr>
            <w:tcW w:w="685" w:type="dxa"/>
            <w:shd w:val="clear" w:color="auto" w:fill="auto"/>
            <w:noWrap/>
            <w:vAlign w:val="bottom"/>
            <w:hideMark/>
          </w:tcPr>
          <w:p w14:paraId="39EE7BB2"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w:t>
            </w:r>
          </w:p>
        </w:tc>
        <w:tc>
          <w:tcPr>
            <w:tcW w:w="529" w:type="dxa"/>
            <w:shd w:val="clear" w:color="auto" w:fill="auto"/>
            <w:noWrap/>
            <w:vAlign w:val="bottom"/>
            <w:hideMark/>
          </w:tcPr>
          <w:p w14:paraId="0D0C312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27C6AF0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0.3393</w:t>
            </w:r>
          </w:p>
        </w:tc>
        <w:tc>
          <w:tcPr>
            <w:tcW w:w="919" w:type="dxa"/>
            <w:shd w:val="clear" w:color="auto" w:fill="auto"/>
            <w:noWrap/>
            <w:vAlign w:val="bottom"/>
            <w:hideMark/>
          </w:tcPr>
          <w:p w14:paraId="0C35CE8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0.0411</w:t>
            </w:r>
          </w:p>
        </w:tc>
        <w:tc>
          <w:tcPr>
            <w:tcW w:w="1153" w:type="dxa"/>
            <w:shd w:val="clear" w:color="auto" w:fill="auto"/>
            <w:noWrap/>
            <w:vAlign w:val="bottom"/>
            <w:hideMark/>
          </w:tcPr>
          <w:p w14:paraId="073FE35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0.2601</w:t>
            </w:r>
          </w:p>
        </w:tc>
        <w:tc>
          <w:tcPr>
            <w:tcW w:w="1153" w:type="dxa"/>
            <w:shd w:val="clear" w:color="auto" w:fill="auto"/>
            <w:noWrap/>
            <w:vAlign w:val="bottom"/>
            <w:hideMark/>
          </w:tcPr>
          <w:p w14:paraId="3902189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0.42</w:t>
            </w:r>
          </w:p>
        </w:tc>
      </w:tr>
      <w:tr w:rsidR="00A63CE5" w:rsidRPr="00E76C10" w14:paraId="5BCC032E" w14:textId="77777777" w:rsidTr="00A63CE5">
        <w:trPr>
          <w:trHeight w:val="144"/>
        </w:trPr>
        <w:tc>
          <w:tcPr>
            <w:tcW w:w="1231" w:type="dxa"/>
            <w:shd w:val="clear" w:color="auto" w:fill="auto"/>
            <w:noWrap/>
            <w:vAlign w:val="bottom"/>
            <w:hideMark/>
          </w:tcPr>
          <w:p w14:paraId="12CE88E3"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18–19</w:t>
            </w:r>
          </w:p>
        </w:tc>
        <w:tc>
          <w:tcPr>
            <w:tcW w:w="607" w:type="dxa"/>
            <w:shd w:val="clear" w:color="auto" w:fill="auto"/>
            <w:noWrap/>
            <w:vAlign w:val="bottom"/>
            <w:hideMark/>
          </w:tcPr>
          <w:p w14:paraId="1866327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39</w:t>
            </w:r>
          </w:p>
        </w:tc>
        <w:tc>
          <w:tcPr>
            <w:tcW w:w="685" w:type="dxa"/>
            <w:shd w:val="clear" w:color="auto" w:fill="auto"/>
            <w:noWrap/>
            <w:vAlign w:val="bottom"/>
            <w:hideMark/>
          </w:tcPr>
          <w:p w14:paraId="23AA324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5357B91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6764856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0.3121</w:t>
            </w:r>
          </w:p>
        </w:tc>
        <w:tc>
          <w:tcPr>
            <w:tcW w:w="919" w:type="dxa"/>
            <w:shd w:val="clear" w:color="auto" w:fill="auto"/>
            <w:noWrap/>
            <w:vAlign w:val="bottom"/>
            <w:hideMark/>
          </w:tcPr>
          <w:p w14:paraId="165E259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0.0407</w:t>
            </w:r>
          </w:p>
        </w:tc>
        <w:tc>
          <w:tcPr>
            <w:tcW w:w="1153" w:type="dxa"/>
            <w:shd w:val="clear" w:color="auto" w:fill="auto"/>
            <w:noWrap/>
            <w:vAlign w:val="bottom"/>
            <w:hideMark/>
          </w:tcPr>
          <w:p w14:paraId="34D5110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0.2345</w:t>
            </w:r>
          </w:p>
        </w:tc>
        <w:tc>
          <w:tcPr>
            <w:tcW w:w="1153" w:type="dxa"/>
            <w:shd w:val="clear" w:color="auto" w:fill="auto"/>
            <w:noWrap/>
            <w:vAlign w:val="bottom"/>
            <w:hideMark/>
          </w:tcPr>
          <w:p w14:paraId="6CFA5CE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0.3927</w:t>
            </w:r>
          </w:p>
        </w:tc>
      </w:tr>
      <w:tr w:rsidR="00A63CE5" w:rsidRPr="00E76C10" w14:paraId="2E2C6FBF" w14:textId="77777777" w:rsidTr="00A63CE5">
        <w:trPr>
          <w:trHeight w:val="144"/>
        </w:trPr>
        <w:tc>
          <w:tcPr>
            <w:tcW w:w="1231" w:type="dxa"/>
            <w:shd w:val="clear" w:color="auto" w:fill="auto"/>
            <w:noWrap/>
            <w:vAlign w:val="bottom"/>
            <w:hideMark/>
          </w:tcPr>
          <w:p w14:paraId="3CA2EB21"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19–20</w:t>
            </w:r>
          </w:p>
        </w:tc>
        <w:tc>
          <w:tcPr>
            <w:tcW w:w="607" w:type="dxa"/>
            <w:shd w:val="clear" w:color="auto" w:fill="auto"/>
            <w:noWrap/>
            <w:vAlign w:val="bottom"/>
            <w:hideMark/>
          </w:tcPr>
          <w:p w14:paraId="51232EA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33</w:t>
            </w:r>
          </w:p>
        </w:tc>
        <w:tc>
          <w:tcPr>
            <w:tcW w:w="685" w:type="dxa"/>
            <w:shd w:val="clear" w:color="auto" w:fill="auto"/>
            <w:noWrap/>
            <w:vAlign w:val="bottom"/>
            <w:hideMark/>
          </w:tcPr>
          <w:p w14:paraId="4DC1721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1142C9C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4A42AC1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0.2926</w:t>
            </w:r>
          </w:p>
        </w:tc>
        <w:tc>
          <w:tcPr>
            <w:tcW w:w="919" w:type="dxa"/>
            <w:shd w:val="clear" w:color="auto" w:fill="auto"/>
            <w:noWrap/>
            <w:vAlign w:val="bottom"/>
            <w:hideMark/>
          </w:tcPr>
          <w:p w14:paraId="7AD0799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0.0404</w:t>
            </w:r>
          </w:p>
        </w:tc>
        <w:tc>
          <w:tcPr>
            <w:tcW w:w="1153" w:type="dxa"/>
            <w:shd w:val="clear" w:color="auto" w:fill="auto"/>
            <w:noWrap/>
            <w:vAlign w:val="bottom"/>
            <w:hideMark/>
          </w:tcPr>
          <w:p w14:paraId="2AD59F8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0.2161</w:t>
            </w:r>
          </w:p>
        </w:tc>
        <w:tc>
          <w:tcPr>
            <w:tcW w:w="1153" w:type="dxa"/>
            <w:shd w:val="clear" w:color="auto" w:fill="auto"/>
            <w:noWrap/>
            <w:vAlign w:val="bottom"/>
            <w:hideMark/>
          </w:tcPr>
          <w:p w14:paraId="6054BEE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0.3732</w:t>
            </w:r>
          </w:p>
        </w:tc>
      </w:tr>
      <w:tr w:rsidR="00A63CE5" w:rsidRPr="00E76C10" w14:paraId="2630D269" w14:textId="77777777" w:rsidTr="00A63CE5">
        <w:trPr>
          <w:trHeight w:val="144"/>
        </w:trPr>
        <w:tc>
          <w:tcPr>
            <w:tcW w:w="1231" w:type="dxa"/>
            <w:shd w:val="clear" w:color="auto" w:fill="auto"/>
            <w:noWrap/>
            <w:vAlign w:val="bottom"/>
            <w:hideMark/>
          </w:tcPr>
          <w:p w14:paraId="79C7C554"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20–21</w:t>
            </w:r>
          </w:p>
        </w:tc>
        <w:tc>
          <w:tcPr>
            <w:tcW w:w="607" w:type="dxa"/>
            <w:shd w:val="clear" w:color="auto" w:fill="auto"/>
            <w:noWrap/>
            <w:vAlign w:val="bottom"/>
            <w:hideMark/>
          </w:tcPr>
          <w:p w14:paraId="7FEA2AA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29</w:t>
            </w:r>
          </w:p>
        </w:tc>
        <w:tc>
          <w:tcPr>
            <w:tcW w:w="685" w:type="dxa"/>
            <w:shd w:val="clear" w:color="auto" w:fill="auto"/>
            <w:noWrap/>
            <w:vAlign w:val="bottom"/>
            <w:hideMark/>
          </w:tcPr>
          <w:p w14:paraId="5572AA7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2B02B62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2212D9F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0.2618</w:t>
            </w:r>
          </w:p>
        </w:tc>
        <w:tc>
          <w:tcPr>
            <w:tcW w:w="919" w:type="dxa"/>
            <w:shd w:val="clear" w:color="auto" w:fill="auto"/>
            <w:noWrap/>
            <w:vAlign w:val="bottom"/>
            <w:hideMark/>
          </w:tcPr>
          <w:p w14:paraId="4840FD3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0.0399</w:t>
            </w:r>
          </w:p>
        </w:tc>
        <w:tc>
          <w:tcPr>
            <w:tcW w:w="1153" w:type="dxa"/>
            <w:shd w:val="clear" w:color="auto" w:fill="auto"/>
            <w:noWrap/>
            <w:vAlign w:val="bottom"/>
            <w:hideMark/>
          </w:tcPr>
          <w:p w14:paraId="003E5BE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0.1874</w:t>
            </w:r>
          </w:p>
        </w:tc>
        <w:tc>
          <w:tcPr>
            <w:tcW w:w="1153" w:type="dxa"/>
            <w:shd w:val="clear" w:color="auto" w:fill="auto"/>
            <w:noWrap/>
            <w:vAlign w:val="bottom"/>
            <w:hideMark/>
          </w:tcPr>
          <w:p w14:paraId="7358869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0.3422</w:t>
            </w:r>
          </w:p>
        </w:tc>
      </w:tr>
      <w:tr w:rsidR="00A63CE5" w:rsidRPr="00E76C10" w14:paraId="4DE517AC" w14:textId="77777777" w:rsidTr="00A63CE5">
        <w:trPr>
          <w:trHeight w:val="144"/>
        </w:trPr>
        <w:tc>
          <w:tcPr>
            <w:tcW w:w="1231" w:type="dxa"/>
            <w:shd w:val="clear" w:color="auto" w:fill="auto"/>
            <w:noWrap/>
            <w:vAlign w:val="bottom"/>
            <w:hideMark/>
          </w:tcPr>
          <w:p w14:paraId="3A04CFCD"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21–22</w:t>
            </w:r>
          </w:p>
        </w:tc>
        <w:tc>
          <w:tcPr>
            <w:tcW w:w="607" w:type="dxa"/>
            <w:shd w:val="clear" w:color="auto" w:fill="auto"/>
            <w:noWrap/>
            <w:vAlign w:val="bottom"/>
            <w:hideMark/>
          </w:tcPr>
          <w:p w14:paraId="65A4B42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25</w:t>
            </w:r>
          </w:p>
        </w:tc>
        <w:tc>
          <w:tcPr>
            <w:tcW w:w="685" w:type="dxa"/>
            <w:shd w:val="clear" w:color="auto" w:fill="auto"/>
            <w:noWrap/>
            <w:vAlign w:val="bottom"/>
            <w:hideMark/>
          </w:tcPr>
          <w:p w14:paraId="7AA01D5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6B92CFB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7A37D7B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0.2304</w:t>
            </w:r>
          </w:p>
        </w:tc>
        <w:tc>
          <w:tcPr>
            <w:tcW w:w="919" w:type="dxa"/>
            <w:shd w:val="clear" w:color="auto" w:fill="auto"/>
            <w:noWrap/>
            <w:vAlign w:val="bottom"/>
            <w:hideMark/>
          </w:tcPr>
          <w:p w14:paraId="4B5BED9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0.039</w:t>
            </w:r>
          </w:p>
        </w:tc>
        <w:tc>
          <w:tcPr>
            <w:tcW w:w="1153" w:type="dxa"/>
            <w:shd w:val="clear" w:color="auto" w:fill="auto"/>
            <w:noWrap/>
            <w:vAlign w:val="bottom"/>
            <w:hideMark/>
          </w:tcPr>
          <w:p w14:paraId="20B6667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0.1588</w:t>
            </w:r>
          </w:p>
        </w:tc>
        <w:tc>
          <w:tcPr>
            <w:tcW w:w="1153" w:type="dxa"/>
            <w:shd w:val="clear" w:color="auto" w:fill="auto"/>
            <w:noWrap/>
            <w:vAlign w:val="bottom"/>
            <w:hideMark/>
          </w:tcPr>
          <w:p w14:paraId="1084B37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0.3101</w:t>
            </w:r>
          </w:p>
        </w:tc>
      </w:tr>
      <w:tr w:rsidR="00A63CE5" w:rsidRPr="00E76C10" w14:paraId="673E1DAF" w14:textId="77777777" w:rsidTr="00A63CE5">
        <w:trPr>
          <w:trHeight w:val="144"/>
        </w:trPr>
        <w:tc>
          <w:tcPr>
            <w:tcW w:w="1231" w:type="dxa"/>
            <w:shd w:val="clear" w:color="auto" w:fill="auto"/>
            <w:noWrap/>
            <w:vAlign w:val="bottom"/>
            <w:hideMark/>
          </w:tcPr>
          <w:p w14:paraId="68C9F39B"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22–23</w:t>
            </w:r>
          </w:p>
        </w:tc>
        <w:tc>
          <w:tcPr>
            <w:tcW w:w="607" w:type="dxa"/>
            <w:shd w:val="clear" w:color="auto" w:fill="auto"/>
            <w:noWrap/>
            <w:vAlign w:val="bottom"/>
            <w:hideMark/>
          </w:tcPr>
          <w:p w14:paraId="26935E2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22</w:t>
            </w:r>
          </w:p>
        </w:tc>
        <w:tc>
          <w:tcPr>
            <w:tcW w:w="685" w:type="dxa"/>
            <w:shd w:val="clear" w:color="auto" w:fill="auto"/>
            <w:noWrap/>
            <w:vAlign w:val="bottom"/>
            <w:hideMark/>
          </w:tcPr>
          <w:p w14:paraId="7E8F8D4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642CB75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22823B8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0.2095</w:t>
            </w:r>
          </w:p>
        </w:tc>
        <w:tc>
          <w:tcPr>
            <w:tcW w:w="919" w:type="dxa"/>
            <w:shd w:val="clear" w:color="auto" w:fill="auto"/>
            <w:noWrap/>
            <w:vAlign w:val="bottom"/>
            <w:hideMark/>
          </w:tcPr>
          <w:p w14:paraId="7932895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0.0382</w:t>
            </w:r>
          </w:p>
        </w:tc>
        <w:tc>
          <w:tcPr>
            <w:tcW w:w="1153" w:type="dxa"/>
            <w:shd w:val="clear" w:color="auto" w:fill="auto"/>
            <w:noWrap/>
            <w:vAlign w:val="bottom"/>
            <w:hideMark/>
          </w:tcPr>
          <w:p w14:paraId="22CC1D5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0.1402</w:t>
            </w:r>
          </w:p>
        </w:tc>
        <w:tc>
          <w:tcPr>
            <w:tcW w:w="1153" w:type="dxa"/>
            <w:shd w:val="clear" w:color="auto" w:fill="auto"/>
            <w:noWrap/>
            <w:vAlign w:val="bottom"/>
            <w:hideMark/>
          </w:tcPr>
          <w:p w14:paraId="0B8E256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0.2883</w:t>
            </w:r>
          </w:p>
        </w:tc>
      </w:tr>
      <w:tr w:rsidR="00A63CE5" w:rsidRPr="00E76C10" w14:paraId="028861C7" w14:textId="77777777" w:rsidTr="00A63CE5">
        <w:trPr>
          <w:trHeight w:val="144"/>
        </w:trPr>
        <w:tc>
          <w:tcPr>
            <w:tcW w:w="1231" w:type="dxa"/>
            <w:shd w:val="clear" w:color="auto" w:fill="auto"/>
            <w:noWrap/>
            <w:vAlign w:val="bottom"/>
            <w:hideMark/>
          </w:tcPr>
          <w:p w14:paraId="5505BC08"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23–24</w:t>
            </w:r>
          </w:p>
        </w:tc>
        <w:tc>
          <w:tcPr>
            <w:tcW w:w="607" w:type="dxa"/>
            <w:shd w:val="clear" w:color="auto" w:fill="auto"/>
            <w:noWrap/>
            <w:vAlign w:val="bottom"/>
            <w:hideMark/>
          </w:tcPr>
          <w:p w14:paraId="580B699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20</w:t>
            </w:r>
          </w:p>
        </w:tc>
        <w:tc>
          <w:tcPr>
            <w:tcW w:w="685" w:type="dxa"/>
            <w:shd w:val="clear" w:color="auto" w:fill="auto"/>
            <w:noWrap/>
            <w:vAlign w:val="bottom"/>
            <w:hideMark/>
          </w:tcPr>
          <w:p w14:paraId="48DF2BF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34A64F3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6B3AACF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0.199</w:t>
            </w:r>
          </w:p>
        </w:tc>
        <w:tc>
          <w:tcPr>
            <w:tcW w:w="919" w:type="dxa"/>
            <w:shd w:val="clear" w:color="auto" w:fill="auto"/>
            <w:noWrap/>
            <w:vAlign w:val="bottom"/>
            <w:hideMark/>
          </w:tcPr>
          <w:p w14:paraId="4509E5A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0.0377</w:t>
            </w:r>
          </w:p>
        </w:tc>
        <w:tc>
          <w:tcPr>
            <w:tcW w:w="1153" w:type="dxa"/>
            <w:shd w:val="clear" w:color="auto" w:fill="auto"/>
            <w:noWrap/>
            <w:vAlign w:val="bottom"/>
            <w:hideMark/>
          </w:tcPr>
          <w:p w14:paraId="27BC2FC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0.1311</w:t>
            </w:r>
          </w:p>
        </w:tc>
        <w:tc>
          <w:tcPr>
            <w:tcW w:w="1153" w:type="dxa"/>
            <w:shd w:val="clear" w:color="auto" w:fill="auto"/>
            <w:noWrap/>
            <w:vAlign w:val="bottom"/>
            <w:hideMark/>
          </w:tcPr>
          <w:p w14:paraId="7981C5A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0.2772</w:t>
            </w:r>
          </w:p>
        </w:tc>
      </w:tr>
      <w:tr w:rsidR="00A63CE5" w:rsidRPr="00E76C10" w14:paraId="1870F46D" w14:textId="77777777" w:rsidTr="00A63CE5">
        <w:trPr>
          <w:trHeight w:val="144"/>
        </w:trPr>
        <w:tc>
          <w:tcPr>
            <w:tcW w:w="1231" w:type="dxa"/>
            <w:shd w:val="clear" w:color="auto" w:fill="auto"/>
            <w:noWrap/>
            <w:vAlign w:val="bottom"/>
            <w:hideMark/>
          </w:tcPr>
          <w:p w14:paraId="451BB522"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24–25</w:t>
            </w:r>
          </w:p>
        </w:tc>
        <w:tc>
          <w:tcPr>
            <w:tcW w:w="607" w:type="dxa"/>
            <w:shd w:val="clear" w:color="auto" w:fill="auto"/>
            <w:noWrap/>
            <w:vAlign w:val="bottom"/>
            <w:hideMark/>
          </w:tcPr>
          <w:p w14:paraId="5300A8C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19</w:t>
            </w:r>
          </w:p>
        </w:tc>
        <w:tc>
          <w:tcPr>
            <w:tcW w:w="685" w:type="dxa"/>
            <w:shd w:val="clear" w:color="auto" w:fill="auto"/>
            <w:noWrap/>
            <w:vAlign w:val="bottom"/>
            <w:hideMark/>
          </w:tcPr>
          <w:p w14:paraId="5B57B97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w:t>
            </w:r>
          </w:p>
        </w:tc>
        <w:tc>
          <w:tcPr>
            <w:tcW w:w="529" w:type="dxa"/>
            <w:shd w:val="clear" w:color="auto" w:fill="auto"/>
            <w:noWrap/>
            <w:vAlign w:val="bottom"/>
            <w:hideMark/>
          </w:tcPr>
          <w:p w14:paraId="4F7264D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729373C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0.1571</w:t>
            </w:r>
          </w:p>
        </w:tc>
        <w:tc>
          <w:tcPr>
            <w:tcW w:w="919" w:type="dxa"/>
            <w:shd w:val="clear" w:color="auto" w:fill="auto"/>
            <w:noWrap/>
            <w:vAlign w:val="bottom"/>
            <w:hideMark/>
          </w:tcPr>
          <w:p w14:paraId="1DCE8EA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0.0351</w:t>
            </w:r>
          </w:p>
        </w:tc>
        <w:tc>
          <w:tcPr>
            <w:tcW w:w="1153" w:type="dxa"/>
            <w:shd w:val="clear" w:color="auto" w:fill="auto"/>
            <w:noWrap/>
            <w:vAlign w:val="bottom"/>
            <w:hideMark/>
          </w:tcPr>
          <w:p w14:paraId="1843C7B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0.0959</w:t>
            </w:r>
          </w:p>
        </w:tc>
        <w:tc>
          <w:tcPr>
            <w:tcW w:w="1153" w:type="dxa"/>
            <w:shd w:val="clear" w:color="auto" w:fill="auto"/>
            <w:noWrap/>
            <w:vAlign w:val="bottom"/>
            <w:hideMark/>
          </w:tcPr>
          <w:p w14:paraId="7B521EB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0.232</w:t>
            </w:r>
          </w:p>
        </w:tc>
      </w:tr>
      <w:tr w:rsidR="00A63CE5" w:rsidRPr="00E76C10" w14:paraId="509593BA" w14:textId="77777777" w:rsidTr="00A63CE5">
        <w:trPr>
          <w:trHeight w:val="144"/>
        </w:trPr>
        <w:tc>
          <w:tcPr>
            <w:tcW w:w="1231" w:type="dxa"/>
            <w:shd w:val="clear" w:color="auto" w:fill="auto"/>
            <w:noWrap/>
            <w:vAlign w:val="bottom"/>
            <w:hideMark/>
          </w:tcPr>
          <w:p w14:paraId="405DB803"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25–26</w:t>
            </w:r>
          </w:p>
        </w:tc>
        <w:tc>
          <w:tcPr>
            <w:tcW w:w="607" w:type="dxa"/>
            <w:shd w:val="clear" w:color="auto" w:fill="auto"/>
            <w:noWrap/>
            <w:vAlign w:val="bottom"/>
            <w:hideMark/>
          </w:tcPr>
          <w:p w14:paraId="666930B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15</w:t>
            </w:r>
          </w:p>
        </w:tc>
        <w:tc>
          <w:tcPr>
            <w:tcW w:w="685" w:type="dxa"/>
            <w:shd w:val="clear" w:color="auto" w:fill="auto"/>
            <w:noWrap/>
            <w:vAlign w:val="bottom"/>
            <w:hideMark/>
          </w:tcPr>
          <w:p w14:paraId="6C7DDBD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3367329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190C141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0.1246</w:t>
            </w:r>
          </w:p>
        </w:tc>
        <w:tc>
          <w:tcPr>
            <w:tcW w:w="919" w:type="dxa"/>
            <w:shd w:val="clear" w:color="auto" w:fill="auto"/>
            <w:noWrap/>
            <w:vAlign w:val="bottom"/>
            <w:hideMark/>
          </w:tcPr>
          <w:p w14:paraId="7F6B4BE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0.0325</w:t>
            </w:r>
          </w:p>
        </w:tc>
        <w:tc>
          <w:tcPr>
            <w:tcW w:w="1153" w:type="dxa"/>
            <w:shd w:val="clear" w:color="auto" w:fill="auto"/>
            <w:noWrap/>
            <w:vAlign w:val="bottom"/>
            <w:hideMark/>
          </w:tcPr>
          <w:p w14:paraId="524CF5A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0.0699</w:t>
            </w:r>
          </w:p>
        </w:tc>
        <w:tc>
          <w:tcPr>
            <w:tcW w:w="1153" w:type="dxa"/>
            <w:shd w:val="clear" w:color="auto" w:fill="auto"/>
            <w:noWrap/>
            <w:vAlign w:val="bottom"/>
            <w:hideMark/>
          </w:tcPr>
          <w:p w14:paraId="6D78DBCF"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0.196</w:t>
            </w:r>
          </w:p>
        </w:tc>
      </w:tr>
      <w:tr w:rsidR="00A63CE5" w:rsidRPr="00E76C10" w14:paraId="313AA290" w14:textId="77777777" w:rsidTr="00A63CE5">
        <w:trPr>
          <w:trHeight w:val="144"/>
        </w:trPr>
        <w:tc>
          <w:tcPr>
            <w:tcW w:w="1231" w:type="dxa"/>
            <w:shd w:val="clear" w:color="auto" w:fill="auto"/>
            <w:noWrap/>
            <w:vAlign w:val="bottom"/>
            <w:hideMark/>
          </w:tcPr>
          <w:p w14:paraId="15512642"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26–27</w:t>
            </w:r>
          </w:p>
        </w:tc>
        <w:tc>
          <w:tcPr>
            <w:tcW w:w="607" w:type="dxa"/>
            <w:shd w:val="clear" w:color="auto" w:fill="auto"/>
            <w:noWrap/>
            <w:vAlign w:val="bottom"/>
            <w:hideMark/>
          </w:tcPr>
          <w:p w14:paraId="653563B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11</w:t>
            </w:r>
          </w:p>
        </w:tc>
        <w:tc>
          <w:tcPr>
            <w:tcW w:w="685" w:type="dxa"/>
            <w:shd w:val="clear" w:color="auto" w:fill="auto"/>
            <w:noWrap/>
            <w:vAlign w:val="bottom"/>
            <w:hideMark/>
          </w:tcPr>
          <w:p w14:paraId="4C3FC7C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45E0557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4A3BA23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0.1009</w:t>
            </w:r>
          </w:p>
        </w:tc>
        <w:tc>
          <w:tcPr>
            <w:tcW w:w="919" w:type="dxa"/>
            <w:shd w:val="clear" w:color="auto" w:fill="auto"/>
            <w:noWrap/>
            <w:vAlign w:val="bottom"/>
            <w:hideMark/>
          </w:tcPr>
          <w:p w14:paraId="6CCA74E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0.0303</w:t>
            </w:r>
          </w:p>
        </w:tc>
        <w:tc>
          <w:tcPr>
            <w:tcW w:w="1153" w:type="dxa"/>
            <w:shd w:val="clear" w:color="auto" w:fill="auto"/>
            <w:noWrap/>
            <w:vAlign w:val="bottom"/>
            <w:hideMark/>
          </w:tcPr>
          <w:p w14:paraId="2DF40E8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0.0515</w:t>
            </w:r>
          </w:p>
        </w:tc>
        <w:tc>
          <w:tcPr>
            <w:tcW w:w="1153" w:type="dxa"/>
            <w:shd w:val="clear" w:color="auto" w:fill="auto"/>
            <w:noWrap/>
            <w:vAlign w:val="bottom"/>
            <w:hideMark/>
          </w:tcPr>
          <w:p w14:paraId="06DEED1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0.1696</w:t>
            </w:r>
          </w:p>
        </w:tc>
      </w:tr>
      <w:tr w:rsidR="00A63CE5" w:rsidRPr="00E76C10" w14:paraId="6E1F518B" w14:textId="77777777" w:rsidTr="00A63CE5">
        <w:trPr>
          <w:trHeight w:val="144"/>
        </w:trPr>
        <w:tc>
          <w:tcPr>
            <w:tcW w:w="1231" w:type="dxa"/>
            <w:shd w:val="clear" w:color="auto" w:fill="auto"/>
            <w:noWrap/>
            <w:vAlign w:val="bottom"/>
            <w:hideMark/>
          </w:tcPr>
          <w:p w14:paraId="317B36EB"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27–28</w:t>
            </w:r>
          </w:p>
        </w:tc>
        <w:tc>
          <w:tcPr>
            <w:tcW w:w="607" w:type="dxa"/>
            <w:shd w:val="clear" w:color="auto" w:fill="auto"/>
            <w:noWrap/>
            <w:vAlign w:val="bottom"/>
            <w:hideMark/>
          </w:tcPr>
          <w:p w14:paraId="5EF6AF9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8</w:t>
            </w:r>
          </w:p>
        </w:tc>
        <w:tc>
          <w:tcPr>
            <w:tcW w:w="685" w:type="dxa"/>
            <w:shd w:val="clear" w:color="auto" w:fill="auto"/>
            <w:noWrap/>
            <w:vAlign w:val="bottom"/>
            <w:hideMark/>
          </w:tcPr>
          <w:p w14:paraId="38BADBA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73890DB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6BE068AB"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0.072</w:t>
            </w:r>
          </w:p>
        </w:tc>
        <w:tc>
          <w:tcPr>
            <w:tcW w:w="919" w:type="dxa"/>
            <w:shd w:val="clear" w:color="auto" w:fill="auto"/>
            <w:noWrap/>
            <w:vAlign w:val="bottom"/>
            <w:hideMark/>
          </w:tcPr>
          <w:p w14:paraId="1B1C48B5"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0.0277</w:t>
            </w:r>
          </w:p>
        </w:tc>
        <w:tc>
          <w:tcPr>
            <w:tcW w:w="1153" w:type="dxa"/>
            <w:shd w:val="clear" w:color="auto" w:fill="auto"/>
            <w:noWrap/>
            <w:vAlign w:val="bottom"/>
            <w:hideMark/>
          </w:tcPr>
          <w:p w14:paraId="271E007A"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0.0301</w:t>
            </w:r>
          </w:p>
        </w:tc>
        <w:tc>
          <w:tcPr>
            <w:tcW w:w="1153" w:type="dxa"/>
            <w:shd w:val="clear" w:color="auto" w:fill="auto"/>
            <w:noWrap/>
            <w:vAlign w:val="bottom"/>
            <w:hideMark/>
          </w:tcPr>
          <w:p w14:paraId="45050F0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0.1386</w:t>
            </w:r>
          </w:p>
        </w:tc>
      </w:tr>
      <w:tr w:rsidR="00A63CE5" w:rsidRPr="00E76C10" w14:paraId="165D9017" w14:textId="77777777" w:rsidTr="00A63CE5">
        <w:trPr>
          <w:trHeight w:val="144"/>
        </w:trPr>
        <w:tc>
          <w:tcPr>
            <w:tcW w:w="1231" w:type="dxa"/>
            <w:shd w:val="clear" w:color="auto" w:fill="auto"/>
            <w:noWrap/>
            <w:vAlign w:val="bottom"/>
            <w:hideMark/>
          </w:tcPr>
          <w:p w14:paraId="428829F2"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28–29</w:t>
            </w:r>
          </w:p>
        </w:tc>
        <w:tc>
          <w:tcPr>
            <w:tcW w:w="607" w:type="dxa"/>
            <w:shd w:val="clear" w:color="auto" w:fill="auto"/>
            <w:noWrap/>
            <w:vAlign w:val="bottom"/>
            <w:hideMark/>
          </w:tcPr>
          <w:p w14:paraId="7CBE0AB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w:t>
            </w:r>
          </w:p>
        </w:tc>
        <w:tc>
          <w:tcPr>
            <w:tcW w:w="685" w:type="dxa"/>
            <w:shd w:val="clear" w:color="auto" w:fill="auto"/>
            <w:noWrap/>
            <w:vAlign w:val="bottom"/>
            <w:hideMark/>
          </w:tcPr>
          <w:p w14:paraId="21AD2A14"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0B340BD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66B646DC"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0.054</w:t>
            </w:r>
          </w:p>
        </w:tc>
        <w:tc>
          <w:tcPr>
            <w:tcW w:w="919" w:type="dxa"/>
            <w:shd w:val="clear" w:color="auto" w:fill="auto"/>
            <w:noWrap/>
            <w:vAlign w:val="bottom"/>
            <w:hideMark/>
          </w:tcPr>
          <w:p w14:paraId="79C96260"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0.026</w:t>
            </w:r>
          </w:p>
        </w:tc>
        <w:tc>
          <w:tcPr>
            <w:tcW w:w="1153" w:type="dxa"/>
            <w:shd w:val="clear" w:color="auto" w:fill="auto"/>
            <w:noWrap/>
            <w:vAlign w:val="bottom"/>
            <w:hideMark/>
          </w:tcPr>
          <w:p w14:paraId="3DCFF1C3"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0.0178</w:t>
            </w:r>
          </w:p>
        </w:tc>
        <w:tc>
          <w:tcPr>
            <w:tcW w:w="1153" w:type="dxa"/>
            <w:shd w:val="clear" w:color="auto" w:fill="auto"/>
            <w:noWrap/>
            <w:vAlign w:val="bottom"/>
            <w:hideMark/>
          </w:tcPr>
          <w:p w14:paraId="6D7AAD7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0.1208</w:t>
            </w:r>
          </w:p>
        </w:tc>
      </w:tr>
      <w:tr w:rsidR="00A63CE5" w:rsidRPr="00E76C10" w14:paraId="07B8EC56" w14:textId="77777777" w:rsidTr="00A63CE5">
        <w:trPr>
          <w:trHeight w:val="144"/>
        </w:trPr>
        <w:tc>
          <w:tcPr>
            <w:tcW w:w="1231" w:type="dxa"/>
            <w:tcBorders>
              <w:bottom w:val="single" w:sz="4" w:space="0" w:color="auto"/>
            </w:tcBorders>
            <w:shd w:val="clear" w:color="auto" w:fill="auto"/>
            <w:noWrap/>
            <w:vAlign w:val="bottom"/>
            <w:hideMark/>
          </w:tcPr>
          <w:p w14:paraId="1E6D7E60" w14:textId="77777777" w:rsidR="004A225E" w:rsidRPr="00E76C10" w:rsidRDefault="004A225E" w:rsidP="00E76C10">
            <w:pPr>
              <w:rPr>
                <w:rFonts w:ascii="Courier New" w:hAnsi="Courier New" w:cs="Courier New"/>
                <w:color w:val="000000"/>
                <w:sz w:val="13"/>
                <w:szCs w:val="13"/>
              </w:rPr>
            </w:pPr>
            <w:r w:rsidRPr="00E76C10">
              <w:rPr>
                <w:rFonts w:ascii="Courier New" w:hAnsi="Courier New" w:cs="Courier New"/>
                <w:color w:val="000000"/>
                <w:sz w:val="13"/>
                <w:szCs w:val="13"/>
              </w:rPr>
              <w:t>29–30</w:t>
            </w:r>
          </w:p>
        </w:tc>
        <w:tc>
          <w:tcPr>
            <w:tcW w:w="607" w:type="dxa"/>
            <w:tcBorders>
              <w:bottom w:val="single" w:sz="4" w:space="0" w:color="auto"/>
            </w:tcBorders>
            <w:shd w:val="clear" w:color="auto" w:fill="auto"/>
            <w:noWrap/>
            <w:vAlign w:val="bottom"/>
            <w:hideMark/>
          </w:tcPr>
          <w:p w14:paraId="6995EF4E"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685" w:type="dxa"/>
            <w:tcBorders>
              <w:bottom w:val="single" w:sz="4" w:space="0" w:color="auto"/>
            </w:tcBorders>
            <w:shd w:val="clear" w:color="auto" w:fill="auto"/>
            <w:noWrap/>
            <w:vAlign w:val="bottom"/>
            <w:hideMark/>
          </w:tcPr>
          <w:p w14:paraId="380A79A6"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tcBorders>
              <w:bottom w:val="single" w:sz="4" w:space="0" w:color="auto"/>
            </w:tcBorders>
            <w:shd w:val="clear" w:color="auto" w:fill="auto"/>
            <w:noWrap/>
            <w:vAlign w:val="bottom"/>
            <w:hideMark/>
          </w:tcPr>
          <w:p w14:paraId="04E9A7E1"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tcBorders>
              <w:bottom w:val="single" w:sz="4" w:space="0" w:color="auto"/>
            </w:tcBorders>
            <w:shd w:val="clear" w:color="auto" w:fill="auto"/>
            <w:noWrap/>
            <w:vAlign w:val="bottom"/>
            <w:hideMark/>
          </w:tcPr>
          <w:p w14:paraId="12DA1CA9"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0.0108</w:t>
            </w:r>
          </w:p>
        </w:tc>
        <w:tc>
          <w:tcPr>
            <w:tcW w:w="919" w:type="dxa"/>
            <w:tcBorders>
              <w:bottom w:val="single" w:sz="4" w:space="0" w:color="auto"/>
            </w:tcBorders>
            <w:shd w:val="clear" w:color="auto" w:fill="auto"/>
            <w:noWrap/>
            <w:vAlign w:val="bottom"/>
            <w:hideMark/>
          </w:tcPr>
          <w:p w14:paraId="548A4288"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0.0146</w:t>
            </w:r>
          </w:p>
        </w:tc>
        <w:tc>
          <w:tcPr>
            <w:tcW w:w="1153" w:type="dxa"/>
            <w:tcBorders>
              <w:bottom w:val="single" w:sz="4" w:space="0" w:color="auto"/>
            </w:tcBorders>
            <w:shd w:val="clear" w:color="auto" w:fill="auto"/>
            <w:noWrap/>
            <w:vAlign w:val="bottom"/>
            <w:hideMark/>
          </w:tcPr>
          <w:p w14:paraId="57272BA7"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0.0003</w:t>
            </w:r>
          </w:p>
        </w:tc>
        <w:tc>
          <w:tcPr>
            <w:tcW w:w="1153" w:type="dxa"/>
            <w:tcBorders>
              <w:bottom w:val="single" w:sz="4" w:space="0" w:color="auto"/>
            </w:tcBorders>
            <w:shd w:val="clear" w:color="auto" w:fill="auto"/>
            <w:noWrap/>
            <w:vAlign w:val="bottom"/>
            <w:hideMark/>
          </w:tcPr>
          <w:p w14:paraId="14C2941D" w14:textId="77777777" w:rsidR="004A225E" w:rsidRPr="00E76C10" w:rsidRDefault="004A225E"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0.0804</w:t>
            </w:r>
          </w:p>
        </w:tc>
      </w:tr>
      <w:tr w:rsidR="00E76C10" w:rsidRPr="00E76C10" w14:paraId="279DBE2E" w14:textId="77777777" w:rsidTr="00A63CE5">
        <w:trPr>
          <w:trHeight w:val="144"/>
        </w:trPr>
        <w:tc>
          <w:tcPr>
            <w:tcW w:w="1231" w:type="dxa"/>
            <w:tcBorders>
              <w:top w:val="single" w:sz="4" w:space="0" w:color="auto"/>
              <w:bottom w:val="nil"/>
            </w:tcBorders>
            <w:shd w:val="clear" w:color="auto" w:fill="auto"/>
            <w:noWrap/>
            <w:vAlign w:val="bottom"/>
          </w:tcPr>
          <w:p w14:paraId="5A382C37" w14:textId="3B75C8A5" w:rsidR="00E76C10" w:rsidRPr="00E76C10" w:rsidRDefault="00E76C10" w:rsidP="00E76C10">
            <w:pPr>
              <w:rPr>
                <w:rFonts w:ascii="Courier New" w:hAnsi="Courier New" w:cs="Courier New"/>
                <w:b/>
                <w:bCs/>
                <w:color w:val="000000"/>
                <w:sz w:val="13"/>
                <w:szCs w:val="13"/>
              </w:rPr>
            </w:pPr>
            <w:r w:rsidRPr="00E76C10">
              <w:rPr>
                <w:rFonts w:ascii="Courier New" w:hAnsi="Courier New" w:cs="Courier New"/>
                <w:b/>
                <w:bCs/>
                <w:color w:val="000000"/>
                <w:sz w:val="13"/>
                <w:szCs w:val="13"/>
              </w:rPr>
              <w:t>Clinic 2</w:t>
            </w:r>
            <w:r w:rsidR="00716379">
              <w:rPr>
                <w:rFonts w:ascii="Courier New" w:hAnsi="Courier New" w:cs="Courier New"/>
                <w:b/>
                <w:bCs/>
                <w:color w:val="000000"/>
                <w:sz w:val="13"/>
                <w:szCs w:val="13"/>
              </w:rPr>
              <w:t>/</w:t>
            </w:r>
          </w:p>
        </w:tc>
        <w:tc>
          <w:tcPr>
            <w:tcW w:w="607" w:type="dxa"/>
            <w:tcBorders>
              <w:top w:val="single" w:sz="4" w:space="0" w:color="auto"/>
              <w:bottom w:val="nil"/>
            </w:tcBorders>
            <w:shd w:val="clear" w:color="auto" w:fill="auto"/>
            <w:noWrap/>
            <w:vAlign w:val="bottom"/>
          </w:tcPr>
          <w:p w14:paraId="380528CD" w14:textId="77777777" w:rsidR="00E76C10" w:rsidRPr="00E76C10" w:rsidRDefault="00E76C10" w:rsidP="00E76C10">
            <w:pPr>
              <w:jc w:val="right"/>
              <w:rPr>
                <w:rFonts w:ascii="Courier New" w:hAnsi="Courier New" w:cs="Courier New"/>
                <w:b/>
                <w:bCs/>
                <w:color w:val="000000"/>
                <w:sz w:val="13"/>
                <w:szCs w:val="13"/>
              </w:rPr>
            </w:pPr>
          </w:p>
        </w:tc>
        <w:tc>
          <w:tcPr>
            <w:tcW w:w="685" w:type="dxa"/>
            <w:tcBorders>
              <w:top w:val="single" w:sz="4" w:space="0" w:color="auto"/>
              <w:bottom w:val="nil"/>
            </w:tcBorders>
            <w:shd w:val="clear" w:color="auto" w:fill="auto"/>
            <w:noWrap/>
            <w:vAlign w:val="bottom"/>
          </w:tcPr>
          <w:p w14:paraId="38FB0CC0" w14:textId="77777777" w:rsidR="00E76C10" w:rsidRPr="00E76C10" w:rsidRDefault="00E76C10" w:rsidP="00E76C10">
            <w:pPr>
              <w:jc w:val="right"/>
              <w:rPr>
                <w:rFonts w:ascii="Courier New" w:hAnsi="Courier New" w:cs="Courier New"/>
                <w:b/>
                <w:bCs/>
                <w:color w:val="000000"/>
                <w:sz w:val="13"/>
                <w:szCs w:val="13"/>
              </w:rPr>
            </w:pPr>
          </w:p>
        </w:tc>
        <w:tc>
          <w:tcPr>
            <w:tcW w:w="529" w:type="dxa"/>
            <w:tcBorders>
              <w:top w:val="single" w:sz="4" w:space="0" w:color="auto"/>
              <w:bottom w:val="nil"/>
            </w:tcBorders>
            <w:shd w:val="clear" w:color="auto" w:fill="auto"/>
            <w:noWrap/>
            <w:vAlign w:val="bottom"/>
          </w:tcPr>
          <w:p w14:paraId="1224F825" w14:textId="77777777" w:rsidR="00E76C10" w:rsidRPr="00E76C10" w:rsidRDefault="00E76C10" w:rsidP="00E76C10">
            <w:pPr>
              <w:jc w:val="right"/>
              <w:rPr>
                <w:rFonts w:ascii="Courier New" w:hAnsi="Courier New" w:cs="Courier New"/>
                <w:b/>
                <w:bCs/>
                <w:color w:val="000000"/>
                <w:sz w:val="13"/>
                <w:szCs w:val="13"/>
              </w:rPr>
            </w:pPr>
          </w:p>
        </w:tc>
        <w:tc>
          <w:tcPr>
            <w:tcW w:w="841" w:type="dxa"/>
            <w:tcBorders>
              <w:top w:val="single" w:sz="4" w:space="0" w:color="auto"/>
              <w:bottom w:val="nil"/>
            </w:tcBorders>
            <w:shd w:val="clear" w:color="auto" w:fill="auto"/>
            <w:noWrap/>
            <w:vAlign w:val="bottom"/>
          </w:tcPr>
          <w:p w14:paraId="2F50677A" w14:textId="77777777" w:rsidR="00E76C10" w:rsidRPr="00E76C10" w:rsidRDefault="00E76C10" w:rsidP="00E76C10">
            <w:pPr>
              <w:jc w:val="right"/>
              <w:rPr>
                <w:rFonts w:ascii="Courier New" w:hAnsi="Courier New" w:cs="Courier New"/>
                <w:b/>
                <w:bCs/>
                <w:color w:val="000000"/>
                <w:sz w:val="13"/>
                <w:szCs w:val="13"/>
              </w:rPr>
            </w:pPr>
          </w:p>
        </w:tc>
        <w:tc>
          <w:tcPr>
            <w:tcW w:w="919" w:type="dxa"/>
            <w:tcBorders>
              <w:top w:val="single" w:sz="4" w:space="0" w:color="auto"/>
              <w:bottom w:val="nil"/>
            </w:tcBorders>
            <w:shd w:val="clear" w:color="auto" w:fill="auto"/>
            <w:noWrap/>
            <w:vAlign w:val="bottom"/>
          </w:tcPr>
          <w:p w14:paraId="3A9E8A76" w14:textId="77777777" w:rsidR="00E76C10" w:rsidRPr="00E76C10" w:rsidRDefault="00E76C10" w:rsidP="00E76C10">
            <w:pPr>
              <w:jc w:val="right"/>
              <w:rPr>
                <w:rFonts w:ascii="Courier New" w:hAnsi="Courier New" w:cs="Courier New"/>
                <w:b/>
                <w:bCs/>
                <w:color w:val="000000"/>
                <w:sz w:val="13"/>
                <w:szCs w:val="13"/>
              </w:rPr>
            </w:pPr>
          </w:p>
        </w:tc>
        <w:tc>
          <w:tcPr>
            <w:tcW w:w="1153" w:type="dxa"/>
            <w:tcBorders>
              <w:top w:val="single" w:sz="4" w:space="0" w:color="auto"/>
              <w:bottom w:val="nil"/>
            </w:tcBorders>
            <w:shd w:val="clear" w:color="auto" w:fill="auto"/>
            <w:noWrap/>
            <w:vAlign w:val="bottom"/>
          </w:tcPr>
          <w:p w14:paraId="6F32B438" w14:textId="77777777" w:rsidR="00E76C10" w:rsidRPr="00E76C10" w:rsidRDefault="00E76C10" w:rsidP="00E76C10">
            <w:pPr>
              <w:jc w:val="right"/>
              <w:rPr>
                <w:rFonts w:ascii="Courier New" w:hAnsi="Courier New" w:cs="Courier New"/>
                <w:b/>
                <w:bCs/>
                <w:color w:val="000000"/>
                <w:sz w:val="13"/>
                <w:szCs w:val="13"/>
              </w:rPr>
            </w:pPr>
          </w:p>
        </w:tc>
        <w:tc>
          <w:tcPr>
            <w:tcW w:w="1153" w:type="dxa"/>
            <w:tcBorders>
              <w:top w:val="single" w:sz="4" w:space="0" w:color="auto"/>
              <w:bottom w:val="nil"/>
            </w:tcBorders>
            <w:shd w:val="clear" w:color="auto" w:fill="auto"/>
            <w:noWrap/>
            <w:vAlign w:val="bottom"/>
          </w:tcPr>
          <w:p w14:paraId="0738C301" w14:textId="77777777" w:rsidR="00E76C10" w:rsidRPr="00E76C10" w:rsidRDefault="00E76C10" w:rsidP="00E76C10">
            <w:pPr>
              <w:jc w:val="right"/>
              <w:rPr>
                <w:rFonts w:ascii="Courier New" w:hAnsi="Courier New" w:cs="Courier New"/>
                <w:b/>
                <w:bCs/>
                <w:color w:val="000000"/>
                <w:sz w:val="13"/>
                <w:szCs w:val="13"/>
              </w:rPr>
            </w:pPr>
          </w:p>
        </w:tc>
      </w:tr>
      <w:tr w:rsidR="00A63CE5" w:rsidRPr="00A63CE5" w14:paraId="37560850" w14:textId="77777777" w:rsidTr="00A63CE5">
        <w:trPr>
          <w:trHeight w:val="144"/>
        </w:trPr>
        <w:tc>
          <w:tcPr>
            <w:tcW w:w="1231" w:type="dxa"/>
            <w:tcBorders>
              <w:top w:val="nil"/>
              <w:bottom w:val="single" w:sz="4" w:space="0" w:color="auto"/>
            </w:tcBorders>
            <w:shd w:val="clear" w:color="auto" w:fill="auto"/>
            <w:noWrap/>
            <w:vAlign w:val="bottom"/>
            <w:hideMark/>
          </w:tcPr>
          <w:p w14:paraId="3E8BDAED" w14:textId="77777777" w:rsidR="00E76C10" w:rsidRPr="00A63CE5" w:rsidRDefault="00E76C10" w:rsidP="00E76C10">
            <w:pPr>
              <w:rPr>
                <w:rFonts w:ascii="Courier New" w:hAnsi="Courier New" w:cs="Courier New"/>
                <w:b/>
                <w:bCs/>
                <w:color w:val="000000"/>
                <w:sz w:val="13"/>
                <w:szCs w:val="13"/>
              </w:rPr>
            </w:pPr>
            <w:r w:rsidRPr="00A63CE5">
              <w:rPr>
                <w:rFonts w:ascii="Courier New" w:hAnsi="Courier New" w:cs="Courier New"/>
                <w:b/>
                <w:bCs/>
                <w:color w:val="000000"/>
                <w:sz w:val="13"/>
                <w:szCs w:val="13"/>
              </w:rPr>
              <w:t>Interval (</w:t>
            </w:r>
            <w:proofErr w:type="spellStart"/>
            <w:r w:rsidRPr="00A63CE5">
              <w:rPr>
                <w:rFonts w:ascii="Courier New" w:hAnsi="Courier New" w:cs="Courier New"/>
                <w:b/>
                <w:bCs/>
                <w:color w:val="000000"/>
                <w:sz w:val="13"/>
                <w:szCs w:val="13"/>
              </w:rPr>
              <w:t>mo</w:t>
            </w:r>
            <w:proofErr w:type="spellEnd"/>
            <w:r w:rsidRPr="00A63CE5">
              <w:rPr>
                <w:rFonts w:ascii="Courier New" w:hAnsi="Courier New" w:cs="Courier New"/>
                <w:b/>
                <w:bCs/>
                <w:color w:val="000000"/>
                <w:sz w:val="13"/>
                <w:szCs w:val="13"/>
              </w:rPr>
              <w:t>)</w:t>
            </w:r>
          </w:p>
        </w:tc>
        <w:tc>
          <w:tcPr>
            <w:tcW w:w="607" w:type="dxa"/>
            <w:tcBorders>
              <w:top w:val="nil"/>
              <w:bottom w:val="single" w:sz="4" w:space="0" w:color="auto"/>
            </w:tcBorders>
            <w:shd w:val="clear" w:color="auto" w:fill="auto"/>
            <w:noWrap/>
            <w:vAlign w:val="bottom"/>
            <w:hideMark/>
          </w:tcPr>
          <w:p w14:paraId="165A87B3"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Total</w:t>
            </w:r>
          </w:p>
        </w:tc>
        <w:tc>
          <w:tcPr>
            <w:tcW w:w="685" w:type="dxa"/>
            <w:tcBorders>
              <w:top w:val="nil"/>
              <w:bottom w:val="single" w:sz="4" w:space="0" w:color="auto"/>
            </w:tcBorders>
            <w:shd w:val="clear" w:color="auto" w:fill="auto"/>
            <w:noWrap/>
            <w:vAlign w:val="bottom"/>
            <w:hideMark/>
          </w:tcPr>
          <w:p w14:paraId="2A148A16"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Deaths</w:t>
            </w:r>
          </w:p>
        </w:tc>
        <w:tc>
          <w:tcPr>
            <w:tcW w:w="529" w:type="dxa"/>
            <w:tcBorders>
              <w:top w:val="nil"/>
              <w:bottom w:val="single" w:sz="4" w:space="0" w:color="auto"/>
            </w:tcBorders>
            <w:shd w:val="clear" w:color="auto" w:fill="auto"/>
            <w:noWrap/>
            <w:vAlign w:val="bottom"/>
            <w:hideMark/>
          </w:tcPr>
          <w:p w14:paraId="71024056"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Lost</w:t>
            </w:r>
          </w:p>
        </w:tc>
        <w:tc>
          <w:tcPr>
            <w:tcW w:w="841" w:type="dxa"/>
            <w:tcBorders>
              <w:top w:val="nil"/>
              <w:bottom w:val="single" w:sz="4" w:space="0" w:color="auto"/>
            </w:tcBorders>
            <w:shd w:val="clear" w:color="auto" w:fill="auto"/>
            <w:noWrap/>
            <w:vAlign w:val="bottom"/>
            <w:hideMark/>
          </w:tcPr>
          <w:p w14:paraId="7E6B14FB"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Survival</w:t>
            </w:r>
          </w:p>
        </w:tc>
        <w:tc>
          <w:tcPr>
            <w:tcW w:w="919" w:type="dxa"/>
            <w:tcBorders>
              <w:top w:val="nil"/>
              <w:bottom w:val="single" w:sz="4" w:space="0" w:color="auto"/>
            </w:tcBorders>
            <w:shd w:val="clear" w:color="auto" w:fill="auto"/>
            <w:noWrap/>
            <w:vAlign w:val="bottom"/>
            <w:hideMark/>
          </w:tcPr>
          <w:p w14:paraId="6D10D70B"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Std. Err.</w:t>
            </w:r>
          </w:p>
        </w:tc>
        <w:tc>
          <w:tcPr>
            <w:tcW w:w="1153" w:type="dxa"/>
            <w:tcBorders>
              <w:top w:val="nil"/>
              <w:bottom w:val="single" w:sz="4" w:space="0" w:color="auto"/>
            </w:tcBorders>
            <w:shd w:val="clear" w:color="auto" w:fill="auto"/>
            <w:noWrap/>
            <w:vAlign w:val="bottom"/>
            <w:hideMark/>
          </w:tcPr>
          <w:p w14:paraId="3A16B68F"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95% CI Lower</w:t>
            </w:r>
          </w:p>
        </w:tc>
        <w:tc>
          <w:tcPr>
            <w:tcW w:w="1153" w:type="dxa"/>
            <w:tcBorders>
              <w:top w:val="nil"/>
              <w:bottom w:val="single" w:sz="4" w:space="0" w:color="auto"/>
            </w:tcBorders>
            <w:shd w:val="clear" w:color="auto" w:fill="auto"/>
            <w:noWrap/>
            <w:vAlign w:val="bottom"/>
            <w:hideMark/>
          </w:tcPr>
          <w:p w14:paraId="146665A4" w14:textId="77777777" w:rsidR="00E76C10" w:rsidRPr="00A63CE5" w:rsidRDefault="00E76C10" w:rsidP="00E76C10">
            <w:pPr>
              <w:jc w:val="right"/>
              <w:rPr>
                <w:rFonts w:ascii="Courier New" w:hAnsi="Courier New" w:cs="Courier New"/>
                <w:b/>
                <w:bCs/>
                <w:color w:val="000000"/>
                <w:sz w:val="13"/>
                <w:szCs w:val="13"/>
              </w:rPr>
            </w:pPr>
            <w:r w:rsidRPr="00A63CE5">
              <w:rPr>
                <w:rFonts w:ascii="Courier New" w:hAnsi="Courier New" w:cs="Courier New"/>
                <w:b/>
                <w:bCs/>
                <w:color w:val="000000"/>
                <w:sz w:val="13"/>
                <w:szCs w:val="13"/>
              </w:rPr>
              <w:t>95% CI Upper</w:t>
            </w:r>
          </w:p>
        </w:tc>
      </w:tr>
      <w:tr w:rsidR="00A63CE5" w:rsidRPr="00E76C10" w14:paraId="74CB16AC" w14:textId="77777777" w:rsidTr="00A63CE5">
        <w:trPr>
          <w:trHeight w:val="144"/>
        </w:trPr>
        <w:tc>
          <w:tcPr>
            <w:tcW w:w="1231" w:type="dxa"/>
            <w:tcBorders>
              <w:top w:val="single" w:sz="4" w:space="0" w:color="auto"/>
            </w:tcBorders>
            <w:shd w:val="clear" w:color="auto" w:fill="auto"/>
            <w:noWrap/>
            <w:vAlign w:val="bottom"/>
            <w:hideMark/>
          </w:tcPr>
          <w:p w14:paraId="7A89C6B1"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0–1</w:t>
            </w:r>
          </w:p>
        </w:tc>
        <w:tc>
          <w:tcPr>
            <w:tcW w:w="607" w:type="dxa"/>
            <w:tcBorders>
              <w:top w:val="single" w:sz="4" w:space="0" w:color="auto"/>
            </w:tcBorders>
            <w:shd w:val="clear" w:color="auto" w:fill="auto"/>
            <w:noWrap/>
            <w:vAlign w:val="bottom"/>
            <w:hideMark/>
          </w:tcPr>
          <w:p w14:paraId="1298682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75</w:t>
            </w:r>
          </w:p>
        </w:tc>
        <w:tc>
          <w:tcPr>
            <w:tcW w:w="685" w:type="dxa"/>
            <w:tcBorders>
              <w:top w:val="single" w:sz="4" w:space="0" w:color="auto"/>
            </w:tcBorders>
            <w:shd w:val="clear" w:color="auto" w:fill="auto"/>
            <w:noWrap/>
            <w:vAlign w:val="bottom"/>
            <w:hideMark/>
          </w:tcPr>
          <w:p w14:paraId="7BDFFFD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tcBorders>
              <w:top w:val="single" w:sz="4" w:space="0" w:color="auto"/>
            </w:tcBorders>
            <w:shd w:val="clear" w:color="auto" w:fill="auto"/>
            <w:noWrap/>
            <w:vAlign w:val="bottom"/>
            <w:hideMark/>
          </w:tcPr>
          <w:p w14:paraId="5B68033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tcBorders>
              <w:top w:val="single" w:sz="4" w:space="0" w:color="auto"/>
            </w:tcBorders>
            <w:shd w:val="clear" w:color="auto" w:fill="auto"/>
            <w:noWrap/>
            <w:vAlign w:val="bottom"/>
            <w:hideMark/>
          </w:tcPr>
          <w:p w14:paraId="404F98A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0.9732</w:t>
            </w:r>
          </w:p>
        </w:tc>
        <w:tc>
          <w:tcPr>
            <w:tcW w:w="919" w:type="dxa"/>
            <w:tcBorders>
              <w:top w:val="single" w:sz="4" w:space="0" w:color="auto"/>
            </w:tcBorders>
            <w:shd w:val="clear" w:color="auto" w:fill="auto"/>
            <w:noWrap/>
            <w:vAlign w:val="bottom"/>
            <w:hideMark/>
          </w:tcPr>
          <w:p w14:paraId="48A0832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0.0187</w:t>
            </w:r>
          </w:p>
        </w:tc>
        <w:tc>
          <w:tcPr>
            <w:tcW w:w="1153" w:type="dxa"/>
            <w:tcBorders>
              <w:top w:val="single" w:sz="4" w:space="0" w:color="auto"/>
            </w:tcBorders>
            <w:shd w:val="clear" w:color="auto" w:fill="auto"/>
            <w:noWrap/>
            <w:vAlign w:val="bottom"/>
            <w:hideMark/>
          </w:tcPr>
          <w:p w14:paraId="50D36CD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0.8969</w:t>
            </w:r>
          </w:p>
        </w:tc>
        <w:tc>
          <w:tcPr>
            <w:tcW w:w="1153" w:type="dxa"/>
            <w:tcBorders>
              <w:top w:val="single" w:sz="4" w:space="0" w:color="auto"/>
            </w:tcBorders>
            <w:shd w:val="clear" w:color="auto" w:fill="auto"/>
            <w:noWrap/>
            <w:vAlign w:val="bottom"/>
            <w:hideMark/>
          </w:tcPr>
          <w:p w14:paraId="5A045F5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0.9932</w:t>
            </w:r>
          </w:p>
        </w:tc>
      </w:tr>
      <w:tr w:rsidR="00A63CE5" w:rsidRPr="00E76C10" w14:paraId="7392A894" w14:textId="77777777" w:rsidTr="00A63CE5">
        <w:trPr>
          <w:trHeight w:val="144"/>
        </w:trPr>
        <w:tc>
          <w:tcPr>
            <w:tcW w:w="1231" w:type="dxa"/>
            <w:shd w:val="clear" w:color="auto" w:fill="auto"/>
            <w:noWrap/>
            <w:vAlign w:val="bottom"/>
            <w:hideMark/>
          </w:tcPr>
          <w:p w14:paraId="2E31C4EA"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1–2</w:t>
            </w:r>
          </w:p>
        </w:tc>
        <w:tc>
          <w:tcPr>
            <w:tcW w:w="607" w:type="dxa"/>
            <w:shd w:val="clear" w:color="auto" w:fill="auto"/>
            <w:noWrap/>
            <w:vAlign w:val="bottom"/>
            <w:hideMark/>
          </w:tcPr>
          <w:p w14:paraId="465C053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72</w:t>
            </w:r>
          </w:p>
        </w:tc>
        <w:tc>
          <w:tcPr>
            <w:tcW w:w="685" w:type="dxa"/>
            <w:shd w:val="clear" w:color="auto" w:fill="auto"/>
            <w:noWrap/>
            <w:vAlign w:val="bottom"/>
            <w:hideMark/>
          </w:tcPr>
          <w:p w14:paraId="534128B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05C483A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5EFB387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0.9459</w:t>
            </w:r>
          </w:p>
        </w:tc>
        <w:tc>
          <w:tcPr>
            <w:tcW w:w="919" w:type="dxa"/>
            <w:shd w:val="clear" w:color="auto" w:fill="auto"/>
            <w:noWrap/>
            <w:vAlign w:val="bottom"/>
            <w:hideMark/>
          </w:tcPr>
          <w:p w14:paraId="66B314A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0.0263</w:t>
            </w:r>
          </w:p>
        </w:tc>
        <w:tc>
          <w:tcPr>
            <w:tcW w:w="1153" w:type="dxa"/>
            <w:shd w:val="clear" w:color="auto" w:fill="auto"/>
            <w:noWrap/>
            <w:vAlign w:val="bottom"/>
            <w:hideMark/>
          </w:tcPr>
          <w:p w14:paraId="7F2C7DE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0.8623</w:t>
            </w:r>
          </w:p>
        </w:tc>
        <w:tc>
          <w:tcPr>
            <w:tcW w:w="1153" w:type="dxa"/>
            <w:shd w:val="clear" w:color="auto" w:fill="auto"/>
            <w:noWrap/>
            <w:vAlign w:val="bottom"/>
            <w:hideMark/>
          </w:tcPr>
          <w:p w14:paraId="68E6A69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0.9794</w:t>
            </w:r>
          </w:p>
        </w:tc>
      </w:tr>
      <w:tr w:rsidR="00A63CE5" w:rsidRPr="00E76C10" w14:paraId="7C13A01D" w14:textId="77777777" w:rsidTr="00A63CE5">
        <w:trPr>
          <w:trHeight w:val="144"/>
        </w:trPr>
        <w:tc>
          <w:tcPr>
            <w:tcW w:w="1231" w:type="dxa"/>
            <w:shd w:val="clear" w:color="auto" w:fill="auto"/>
            <w:noWrap/>
            <w:vAlign w:val="bottom"/>
            <w:hideMark/>
          </w:tcPr>
          <w:p w14:paraId="5C5A23E9"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2–3</w:t>
            </w:r>
          </w:p>
        </w:tc>
        <w:tc>
          <w:tcPr>
            <w:tcW w:w="607" w:type="dxa"/>
            <w:shd w:val="clear" w:color="auto" w:fill="auto"/>
            <w:noWrap/>
            <w:vAlign w:val="bottom"/>
            <w:hideMark/>
          </w:tcPr>
          <w:p w14:paraId="09207BF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69</w:t>
            </w:r>
          </w:p>
        </w:tc>
        <w:tc>
          <w:tcPr>
            <w:tcW w:w="685" w:type="dxa"/>
            <w:shd w:val="clear" w:color="auto" w:fill="auto"/>
            <w:noWrap/>
            <w:vAlign w:val="bottom"/>
            <w:hideMark/>
          </w:tcPr>
          <w:p w14:paraId="3E3F54F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1EAA889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0F46663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0.932</w:t>
            </w:r>
          </w:p>
        </w:tc>
        <w:tc>
          <w:tcPr>
            <w:tcW w:w="919" w:type="dxa"/>
            <w:shd w:val="clear" w:color="auto" w:fill="auto"/>
            <w:noWrap/>
            <w:vAlign w:val="bottom"/>
            <w:hideMark/>
          </w:tcPr>
          <w:p w14:paraId="1ACD0F2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0.0294</w:t>
            </w:r>
          </w:p>
        </w:tc>
        <w:tc>
          <w:tcPr>
            <w:tcW w:w="1153" w:type="dxa"/>
            <w:shd w:val="clear" w:color="auto" w:fill="auto"/>
            <w:noWrap/>
            <w:vAlign w:val="bottom"/>
            <w:hideMark/>
          </w:tcPr>
          <w:p w14:paraId="47CAE83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0.8443</w:t>
            </w:r>
          </w:p>
        </w:tc>
        <w:tc>
          <w:tcPr>
            <w:tcW w:w="1153" w:type="dxa"/>
            <w:shd w:val="clear" w:color="auto" w:fill="auto"/>
            <w:noWrap/>
            <w:vAlign w:val="bottom"/>
            <w:hideMark/>
          </w:tcPr>
          <w:p w14:paraId="4E3C584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0.9711</w:t>
            </w:r>
          </w:p>
        </w:tc>
      </w:tr>
      <w:tr w:rsidR="00A63CE5" w:rsidRPr="00E76C10" w14:paraId="5017CD05" w14:textId="77777777" w:rsidTr="00A63CE5">
        <w:trPr>
          <w:trHeight w:val="144"/>
        </w:trPr>
        <w:tc>
          <w:tcPr>
            <w:tcW w:w="1231" w:type="dxa"/>
            <w:shd w:val="clear" w:color="auto" w:fill="auto"/>
            <w:noWrap/>
            <w:vAlign w:val="bottom"/>
            <w:hideMark/>
          </w:tcPr>
          <w:p w14:paraId="17F27033"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3–4</w:t>
            </w:r>
          </w:p>
        </w:tc>
        <w:tc>
          <w:tcPr>
            <w:tcW w:w="607" w:type="dxa"/>
            <w:shd w:val="clear" w:color="auto" w:fill="auto"/>
            <w:noWrap/>
            <w:vAlign w:val="bottom"/>
            <w:hideMark/>
          </w:tcPr>
          <w:p w14:paraId="4AC70B2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66</w:t>
            </w:r>
          </w:p>
        </w:tc>
        <w:tc>
          <w:tcPr>
            <w:tcW w:w="685" w:type="dxa"/>
            <w:shd w:val="clear" w:color="auto" w:fill="auto"/>
            <w:noWrap/>
            <w:vAlign w:val="bottom"/>
            <w:hideMark/>
          </w:tcPr>
          <w:p w14:paraId="51039A9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124EF21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79A9542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0.9179</w:t>
            </w:r>
          </w:p>
        </w:tc>
        <w:tc>
          <w:tcPr>
            <w:tcW w:w="919" w:type="dxa"/>
            <w:shd w:val="clear" w:color="auto" w:fill="auto"/>
            <w:noWrap/>
            <w:vAlign w:val="bottom"/>
            <w:hideMark/>
          </w:tcPr>
          <w:p w14:paraId="700D940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0.0321</w:t>
            </w:r>
          </w:p>
        </w:tc>
        <w:tc>
          <w:tcPr>
            <w:tcW w:w="1153" w:type="dxa"/>
            <w:shd w:val="clear" w:color="auto" w:fill="auto"/>
            <w:noWrap/>
            <w:vAlign w:val="bottom"/>
            <w:hideMark/>
          </w:tcPr>
          <w:p w14:paraId="53F4141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0.8263</w:t>
            </w:r>
          </w:p>
        </w:tc>
        <w:tc>
          <w:tcPr>
            <w:tcW w:w="1153" w:type="dxa"/>
            <w:shd w:val="clear" w:color="auto" w:fill="auto"/>
            <w:noWrap/>
            <w:vAlign w:val="bottom"/>
            <w:hideMark/>
          </w:tcPr>
          <w:p w14:paraId="55B306C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0.9623</w:t>
            </w:r>
          </w:p>
        </w:tc>
      </w:tr>
      <w:tr w:rsidR="00A63CE5" w:rsidRPr="00E76C10" w14:paraId="7AFD4014" w14:textId="77777777" w:rsidTr="00A63CE5">
        <w:trPr>
          <w:trHeight w:val="144"/>
        </w:trPr>
        <w:tc>
          <w:tcPr>
            <w:tcW w:w="1231" w:type="dxa"/>
            <w:shd w:val="clear" w:color="auto" w:fill="auto"/>
            <w:noWrap/>
            <w:vAlign w:val="bottom"/>
            <w:hideMark/>
          </w:tcPr>
          <w:p w14:paraId="3C2112A8"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4–5</w:t>
            </w:r>
          </w:p>
        </w:tc>
        <w:tc>
          <w:tcPr>
            <w:tcW w:w="607" w:type="dxa"/>
            <w:shd w:val="clear" w:color="auto" w:fill="auto"/>
            <w:noWrap/>
            <w:vAlign w:val="bottom"/>
            <w:hideMark/>
          </w:tcPr>
          <w:p w14:paraId="5BD588B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65</w:t>
            </w:r>
          </w:p>
        </w:tc>
        <w:tc>
          <w:tcPr>
            <w:tcW w:w="685" w:type="dxa"/>
            <w:shd w:val="clear" w:color="auto" w:fill="auto"/>
            <w:noWrap/>
            <w:vAlign w:val="bottom"/>
            <w:hideMark/>
          </w:tcPr>
          <w:p w14:paraId="29EA3AC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19DDD8E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6ED621D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0.8752</w:t>
            </w:r>
          </w:p>
        </w:tc>
        <w:tc>
          <w:tcPr>
            <w:tcW w:w="919" w:type="dxa"/>
            <w:shd w:val="clear" w:color="auto" w:fill="auto"/>
            <w:noWrap/>
            <w:vAlign w:val="bottom"/>
            <w:hideMark/>
          </w:tcPr>
          <w:p w14:paraId="27DD9A8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0.039</w:t>
            </w:r>
          </w:p>
        </w:tc>
        <w:tc>
          <w:tcPr>
            <w:tcW w:w="1153" w:type="dxa"/>
            <w:shd w:val="clear" w:color="auto" w:fill="auto"/>
            <w:noWrap/>
            <w:vAlign w:val="bottom"/>
            <w:hideMark/>
          </w:tcPr>
          <w:p w14:paraId="7B7E5AA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0.7738</w:t>
            </w:r>
          </w:p>
        </w:tc>
        <w:tc>
          <w:tcPr>
            <w:tcW w:w="1153" w:type="dxa"/>
            <w:shd w:val="clear" w:color="auto" w:fill="auto"/>
            <w:noWrap/>
            <w:vAlign w:val="bottom"/>
            <w:hideMark/>
          </w:tcPr>
          <w:p w14:paraId="39688D3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0.9331</w:t>
            </w:r>
          </w:p>
        </w:tc>
      </w:tr>
      <w:tr w:rsidR="00A63CE5" w:rsidRPr="00E76C10" w14:paraId="3E2BF017" w14:textId="77777777" w:rsidTr="00A63CE5">
        <w:trPr>
          <w:trHeight w:val="144"/>
        </w:trPr>
        <w:tc>
          <w:tcPr>
            <w:tcW w:w="1231" w:type="dxa"/>
            <w:shd w:val="clear" w:color="auto" w:fill="auto"/>
            <w:noWrap/>
            <w:vAlign w:val="bottom"/>
            <w:hideMark/>
          </w:tcPr>
          <w:p w14:paraId="609030B5"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5–6</w:t>
            </w:r>
          </w:p>
        </w:tc>
        <w:tc>
          <w:tcPr>
            <w:tcW w:w="607" w:type="dxa"/>
            <w:shd w:val="clear" w:color="auto" w:fill="auto"/>
            <w:noWrap/>
            <w:vAlign w:val="bottom"/>
            <w:hideMark/>
          </w:tcPr>
          <w:p w14:paraId="16A969B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61</w:t>
            </w:r>
          </w:p>
        </w:tc>
        <w:tc>
          <w:tcPr>
            <w:tcW w:w="685" w:type="dxa"/>
            <w:shd w:val="clear" w:color="auto" w:fill="auto"/>
            <w:noWrap/>
            <w:vAlign w:val="bottom"/>
            <w:hideMark/>
          </w:tcPr>
          <w:p w14:paraId="7C4A7DA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50C2810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50DBAC0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0.8465</w:t>
            </w:r>
          </w:p>
        </w:tc>
        <w:tc>
          <w:tcPr>
            <w:tcW w:w="919" w:type="dxa"/>
            <w:shd w:val="clear" w:color="auto" w:fill="auto"/>
            <w:noWrap/>
            <w:vAlign w:val="bottom"/>
            <w:hideMark/>
          </w:tcPr>
          <w:p w14:paraId="16643A6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0.0426</w:t>
            </w:r>
          </w:p>
        </w:tc>
        <w:tc>
          <w:tcPr>
            <w:tcW w:w="1153" w:type="dxa"/>
            <w:shd w:val="clear" w:color="auto" w:fill="auto"/>
            <w:noWrap/>
            <w:vAlign w:val="bottom"/>
            <w:hideMark/>
          </w:tcPr>
          <w:p w14:paraId="1E21466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0.7398</w:t>
            </w:r>
          </w:p>
        </w:tc>
        <w:tc>
          <w:tcPr>
            <w:tcW w:w="1153" w:type="dxa"/>
            <w:shd w:val="clear" w:color="auto" w:fill="auto"/>
            <w:noWrap/>
            <w:vAlign w:val="bottom"/>
            <w:hideMark/>
          </w:tcPr>
          <w:p w14:paraId="7D97A89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0.912</w:t>
            </w:r>
          </w:p>
        </w:tc>
      </w:tr>
      <w:tr w:rsidR="00A63CE5" w:rsidRPr="00E76C10" w14:paraId="3E03E17D" w14:textId="77777777" w:rsidTr="00A63CE5">
        <w:trPr>
          <w:trHeight w:val="144"/>
        </w:trPr>
        <w:tc>
          <w:tcPr>
            <w:tcW w:w="1231" w:type="dxa"/>
            <w:shd w:val="clear" w:color="auto" w:fill="auto"/>
            <w:noWrap/>
            <w:vAlign w:val="bottom"/>
            <w:hideMark/>
          </w:tcPr>
          <w:p w14:paraId="36A67B99"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6–7</w:t>
            </w:r>
          </w:p>
        </w:tc>
        <w:tc>
          <w:tcPr>
            <w:tcW w:w="607" w:type="dxa"/>
            <w:shd w:val="clear" w:color="auto" w:fill="auto"/>
            <w:noWrap/>
            <w:vAlign w:val="bottom"/>
            <w:hideMark/>
          </w:tcPr>
          <w:p w14:paraId="2BE05CD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59</w:t>
            </w:r>
          </w:p>
        </w:tc>
        <w:tc>
          <w:tcPr>
            <w:tcW w:w="685" w:type="dxa"/>
            <w:shd w:val="clear" w:color="auto" w:fill="auto"/>
            <w:noWrap/>
            <w:vAlign w:val="bottom"/>
            <w:hideMark/>
          </w:tcPr>
          <w:p w14:paraId="5957AB0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134836F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5471169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0.8322</w:t>
            </w:r>
          </w:p>
        </w:tc>
        <w:tc>
          <w:tcPr>
            <w:tcW w:w="919" w:type="dxa"/>
            <w:shd w:val="clear" w:color="auto" w:fill="auto"/>
            <w:noWrap/>
            <w:vAlign w:val="bottom"/>
            <w:hideMark/>
          </w:tcPr>
          <w:p w14:paraId="117B900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0.0443</w:t>
            </w:r>
          </w:p>
        </w:tc>
        <w:tc>
          <w:tcPr>
            <w:tcW w:w="1153" w:type="dxa"/>
            <w:shd w:val="clear" w:color="auto" w:fill="auto"/>
            <w:noWrap/>
            <w:vAlign w:val="bottom"/>
            <w:hideMark/>
          </w:tcPr>
          <w:p w14:paraId="4C51C7E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0.7232</w:t>
            </w:r>
          </w:p>
        </w:tc>
        <w:tc>
          <w:tcPr>
            <w:tcW w:w="1153" w:type="dxa"/>
            <w:shd w:val="clear" w:color="auto" w:fill="auto"/>
            <w:noWrap/>
            <w:vAlign w:val="bottom"/>
            <w:hideMark/>
          </w:tcPr>
          <w:p w14:paraId="786E641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0.9011</w:t>
            </w:r>
          </w:p>
        </w:tc>
      </w:tr>
      <w:tr w:rsidR="00A63CE5" w:rsidRPr="00E76C10" w14:paraId="68281972" w14:textId="77777777" w:rsidTr="00A63CE5">
        <w:trPr>
          <w:trHeight w:val="144"/>
        </w:trPr>
        <w:tc>
          <w:tcPr>
            <w:tcW w:w="1231" w:type="dxa"/>
            <w:shd w:val="clear" w:color="auto" w:fill="auto"/>
            <w:noWrap/>
            <w:vAlign w:val="bottom"/>
            <w:hideMark/>
          </w:tcPr>
          <w:p w14:paraId="35EE455D"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7–8</w:t>
            </w:r>
          </w:p>
        </w:tc>
        <w:tc>
          <w:tcPr>
            <w:tcW w:w="607" w:type="dxa"/>
            <w:shd w:val="clear" w:color="auto" w:fill="auto"/>
            <w:noWrap/>
            <w:vAlign w:val="bottom"/>
            <w:hideMark/>
          </w:tcPr>
          <w:p w14:paraId="10E7C92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58</w:t>
            </w:r>
          </w:p>
        </w:tc>
        <w:tc>
          <w:tcPr>
            <w:tcW w:w="685" w:type="dxa"/>
            <w:shd w:val="clear" w:color="auto" w:fill="auto"/>
            <w:noWrap/>
            <w:vAlign w:val="bottom"/>
            <w:hideMark/>
          </w:tcPr>
          <w:p w14:paraId="271D3BE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529" w:type="dxa"/>
            <w:shd w:val="clear" w:color="auto" w:fill="auto"/>
            <w:noWrap/>
            <w:vAlign w:val="bottom"/>
            <w:hideMark/>
          </w:tcPr>
          <w:p w14:paraId="2790F3F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7EEC817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0.7887</w:t>
            </w:r>
          </w:p>
        </w:tc>
        <w:tc>
          <w:tcPr>
            <w:tcW w:w="919" w:type="dxa"/>
            <w:shd w:val="clear" w:color="auto" w:fill="auto"/>
            <w:noWrap/>
            <w:vAlign w:val="bottom"/>
            <w:hideMark/>
          </w:tcPr>
          <w:p w14:paraId="5230265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0.0485</w:t>
            </w:r>
          </w:p>
        </w:tc>
        <w:tc>
          <w:tcPr>
            <w:tcW w:w="1153" w:type="dxa"/>
            <w:shd w:val="clear" w:color="auto" w:fill="auto"/>
            <w:noWrap/>
            <w:vAlign w:val="bottom"/>
            <w:hideMark/>
          </w:tcPr>
          <w:p w14:paraId="1C3BF5E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0.674</w:t>
            </w:r>
          </w:p>
        </w:tc>
        <w:tc>
          <w:tcPr>
            <w:tcW w:w="1153" w:type="dxa"/>
            <w:shd w:val="clear" w:color="auto" w:fill="auto"/>
            <w:noWrap/>
            <w:vAlign w:val="bottom"/>
            <w:hideMark/>
          </w:tcPr>
          <w:p w14:paraId="43567DE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0.867</w:t>
            </w:r>
          </w:p>
        </w:tc>
      </w:tr>
      <w:tr w:rsidR="00A63CE5" w:rsidRPr="00E76C10" w14:paraId="2384A2D0" w14:textId="77777777" w:rsidTr="00A63CE5">
        <w:trPr>
          <w:trHeight w:val="144"/>
        </w:trPr>
        <w:tc>
          <w:tcPr>
            <w:tcW w:w="1231" w:type="dxa"/>
            <w:shd w:val="clear" w:color="auto" w:fill="auto"/>
            <w:noWrap/>
            <w:vAlign w:val="bottom"/>
            <w:hideMark/>
          </w:tcPr>
          <w:p w14:paraId="65651C27"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8–9</w:t>
            </w:r>
          </w:p>
        </w:tc>
        <w:tc>
          <w:tcPr>
            <w:tcW w:w="607" w:type="dxa"/>
            <w:shd w:val="clear" w:color="auto" w:fill="auto"/>
            <w:noWrap/>
            <w:vAlign w:val="bottom"/>
            <w:hideMark/>
          </w:tcPr>
          <w:p w14:paraId="72F5FA0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54</w:t>
            </w:r>
          </w:p>
        </w:tc>
        <w:tc>
          <w:tcPr>
            <w:tcW w:w="685" w:type="dxa"/>
            <w:shd w:val="clear" w:color="auto" w:fill="auto"/>
            <w:noWrap/>
            <w:vAlign w:val="bottom"/>
            <w:hideMark/>
          </w:tcPr>
          <w:p w14:paraId="6185D40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6624098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0F8F4D7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0.7595</w:t>
            </w:r>
          </w:p>
        </w:tc>
        <w:tc>
          <w:tcPr>
            <w:tcW w:w="919" w:type="dxa"/>
            <w:shd w:val="clear" w:color="auto" w:fill="auto"/>
            <w:noWrap/>
            <w:vAlign w:val="bottom"/>
            <w:hideMark/>
          </w:tcPr>
          <w:p w14:paraId="079C005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0.0509</w:t>
            </w:r>
          </w:p>
        </w:tc>
        <w:tc>
          <w:tcPr>
            <w:tcW w:w="1153" w:type="dxa"/>
            <w:shd w:val="clear" w:color="auto" w:fill="auto"/>
            <w:noWrap/>
            <w:vAlign w:val="bottom"/>
            <w:hideMark/>
          </w:tcPr>
          <w:p w14:paraId="06C5B3D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0.6417</w:t>
            </w:r>
          </w:p>
        </w:tc>
        <w:tc>
          <w:tcPr>
            <w:tcW w:w="1153" w:type="dxa"/>
            <w:shd w:val="clear" w:color="auto" w:fill="auto"/>
            <w:noWrap/>
            <w:vAlign w:val="bottom"/>
            <w:hideMark/>
          </w:tcPr>
          <w:p w14:paraId="6992103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0.8432</w:t>
            </w:r>
          </w:p>
        </w:tc>
      </w:tr>
      <w:tr w:rsidR="00A63CE5" w:rsidRPr="00E76C10" w14:paraId="036B945E" w14:textId="77777777" w:rsidTr="00A63CE5">
        <w:trPr>
          <w:trHeight w:val="144"/>
        </w:trPr>
        <w:tc>
          <w:tcPr>
            <w:tcW w:w="1231" w:type="dxa"/>
            <w:shd w:val="clear" w:color="auto" w:fill="auto"/>
            <w:noWrap/>
            <w:vAlign w:val="bottom"/>
            <w:hideMark/>
          </w:tcPr>
          <w:p w14:paraId="3266CC12"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9–10</w:t>
            </w:r>
          </w:p>
        </w:tc>
        <w:tc>
          <w:tcPr>
            <w:tcW w:w="607" w:type="dxa"/>
            <w:shd w:val="clear" w:color="auto" w:fill="auto"/>
            <w:noWrap/>
            <w:vAlign w:val="bottom"/>
            <w:hideMark/>
          </w:tcPr>
          <w:p w14:paraId="2CAFA57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52</w:t>
            </w:r>
          </w:p>
        </w:tc>
        <w:tc>
          <w:tcPr>
            <w:tcW w:w="685" w:type="dxa"/>
            <w:shd w:val="clear" w:color="auto" w:fill="auto"/>
            <w:noWrap/>
            <w:vAlign w:val="bottom"/>
            <w:hideMark/>
          </w:tcPr>
          <w:p w14:paraId="696B47F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53B43C4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447A159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0.7303</w:t>
            </w:r>
          </w:p>
        </w:tc>
        <w:tc>
          <w:tcPr>
            <w:tcW w:w="919" w:type="dxa"/>
            <w:shd w:val="clear" w:color="auto" w:fill="auto"/>
            <w:noWrap/>
            <w:vAlign w:val="bottom"/>
            <w:hideMark/>
          </w:tcPr>
          <w:p w14:paraId="1A9AFD8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0.053</w:t>
            </w:r>
          </w:p>
        </w:tc>
        <w:tc>
          <w:tcPr>
            <w:tcW w:w="1153" w:type="dxa"/>
            <w:shd w:val="clear" w:color="auto" w:fill="auto"/>
            <w:noWrap/>
            <w:vAlign w:val="bottom"/>
            <w:hideMark/>
          </w:tcPr>
          <w:p w14:paraId="46FBE17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0.6101</w:t>
            </w:r>
          </w:p>
        </w:tc>
        <w:tc>
          <w:tcPr>
            <w:tcW w:w="1153" w:type="dxa"/>
            <w:shd w:val="clear" w:color="auto" w:fill="auto"/>
            <w:noWrap/>
            <w:vAlign w:val="bottom"/>
            <w:hideMark/>
          </w:tcPr>
          <w:p w14:paraId="480503B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0.8189</w:t>
            </w:r>
          </w:p>
        </w:tc>
      </w:tr>
      <w:tr w:rsidR="00A63CE5" w:rsidRPr="00E76C10" w14:paraId="46BA62BD" w14:textId="77777777" w:rsidTr="00A63CE5">
        <w:trPr>
          <w:trHeight w:val="144"/>
        </w:trPr>
        <w:tc>
          <w:tcPr>
            <w:tcW w:w="1231" w:type="dxa"/>
            <w:shd w:val="clear" w:color="auto" w:fill="auto"/>
            <w:noWrap/>
            <w:vAlign w:val="bottom"/>
            <w:hideMark/>
          </w:tcPr>
          <w:p w14:paraId="51277F50"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10–11</w:t>
            </w:r>
          </w:p>
        </w:tc>
        <w:tc>
          <w:tcPr>
            <w:tcW w:w="607" w:type="dxa"/>
            <w:shd w:val="clear" w:color="auto" w:fill="auto"/>
            <w:noWrap/>
            <w:vAlign w:val="bottom"/>
            <w:hideMark/>
          </w:tcPr>
          <w:p w14:paraId="734BFD7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50</w:t>
            </w:r>
          </w:p>
        </w:tc>
        <w:tc>
          <w:tcPr>
            <w:tcW w:w="685" w:type="dxa"/>
            <w:shd w:val="clear" w:color="auto" w:fill="auto"/>
            <w:noWrap/>
            <w:vAlign w:val="bottom"/>
            <w:hideMark/>
          </w:tcPr>
          <w:p w14:paraId="4548DE6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1788290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5D999ED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0.7156</w:t>
            </w:r>
          </w:p>
        </w:tc>
        <w:tc>
          <w:tcPr>
            <w:tcW w:w="919" w:type="dxa"/>
            <w:shd w:val="clear" w:color="auto" w:fill="auto"/>
            <w:noWrap/>
            <w:vAlign w:val="bottom"/>
            <w:hideMark/>
          </w:tcPr>
          <w:p w14:paraId="696FA6F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0.054</w:t>
            </w:r>
          </w:p>
        </w:tc>
        <w:tc>
          <w:tcPr>
            <w:tcW w:w="1153" w:type="dxa"/>
            <w:shd w:val="clear" w:color="auto" w:fill="auto"/>
            <w:noWrap/>
            <w:vAlign w:val="bottom"/>
            <w:hideMark/>
          </w:tcPr>
          <w:p w14:paraId="7B667F5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0.5942</w:t>
            </w:r>
          </w:p>
        </w:tc>
        <w:tc>
          <w:tcPr>
            <w:tcW w:w="1153" w:type="dxa"/>
            <w:shd w:val="clear" w:color="auto" w:fill="auto"/>
            <w:noWrap/>
            <w:vAlign w:val="bottom"/>
            <w:hideMark/>
          </w:tcPr>
          <w:p w14:paraId="2631273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0.8064</w:t>
            </w:r>
          </w:p>
        </w:tc>
      </w:tr>
      <w:tr w:rsidR="00A63CE5" w:rsidRPr="00E76C10" w14:paraId="341AA7E5" w14:textId="77777777" w:rsidTr="00A63CE5">
        <w:trPr>
          <w:trHeight w:val="144"/>
        </w:trPr>
        <w:tc>
          <w:tcPr>
            <w:tcW w:w="1231" w:type="dxa"/>
            <w:shd w:val="clear" w:color="auto" w:fill="auto"/>
            <w:noWrap/>
            <w:vAlign w:val="bottom"/>
            <w:hideMark/>
          </w:tcPr>
          <w:p w14:paraId="776ACCDD"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11–12</w:t>
            </w:r>
          </w:p>
        </w:tc>
        <w:tc>
          <w:tcPr>
            <w:tcW w:w="607" w:type="dxa"/>
            <w:shd w:val="clear" w:color="auto" w:fill="auto"/>
            <w:noWrap/>
            <w:vAlign w:val="bottom"/>
            <w:hideMark/>
          </w:tcPr>
          <w:p w14:paraId="5742432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48</w:t>
            </w:r>
          </w:p>
        </w:tc>
        <w:tc>
          <w:tcPr>
            <w:tcW w:w="685" w:type="dxa"/>
            <w:shd w:val="clear" w:color="auto" w:fill="auto"/>
            <w:noWrap/>
            <w:vAlign w:val="bottom"/>
            <w:hideMark/>
          </w:tcPr>
          <w:p w14:paraId="2418102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4A309D3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460BC97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0.7156</w:t>
            </w:r>
          </w:p>
        </w:tc>
        <w:tc>
          <w:tcPr>
            <w:tcW w:w="919" w:type="dxa"/>
            <w:shd w:val="clear" w:color="auto" w:fill="auto"/>
            <w:noWrap/>
            <w:vAlign w:val="bottom"/>
            <w:hideMark/>
          </w:tcPr>
          <w:p w14:paraId="4D3C40C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0.054</w:t>
            </w:r>
          </w:p>
        </w:tc>
        <w:tc>
          <w:tcPr>
            <w:tcW w:w="1153" w:type="dxa"/>
            <w:shd w:val="clear" w:color="auto" w:fill="auto"/>
            <w:noWrap/>
            <w:vAlign w:val="bottom"/>
            <w:hideMark/>
          </w:tcPr>
          <w:p w14:paraId="1B8D0F3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0.5942</w:t>
            </w:r>
          </w:p>
        </w:tc>
        <w:tc>
          <w:tcPr>
            <w:tcW w:w="1153" w:type="dxa"/>
            <w:shd w:val="clear" w:color="auto" w:fill="auto"/>
            <w:noWrap/>
            <w:vAlign w:val="bottom"/>
            <w:hideMark/>
          </w:tcPr>
          <w:p w14:paraId="0D8EA34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0.8064</w:t>
            </w:r>
          </w:p>
        </w:tc>
      </w:tr>
      <w:tr w:rsidR="00A63CE5" w:rsidRPr="00E76C10" w14:paraId="6562FB2E" w14:textId="77777777" w:rsidTr="00A63CE5">
        <w:trPr>
          <w:trHeight w:val="144"/>
        </w:trPr>
        <w:tc>
          <w:tcPr>
            <w:tcW w:w="1231" w:type="dxa"/>
            <w:shd w:val="clear" w:color="auto" w:fill="auto"/>
            <w:noWrap/>
            <w:vAlign w:val="bottom"/>
            <w:hideMark/>
          </w:tcPr>
          <w:p w14:paraId="7DA7D281"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12–13</w:t>
            </w:r>
          </w:p>
        </w:tc>
        <w:tc>
          <w:tcPr>
            <w:tcW w:w="607" w:type="dxa"/>
            <w:shd w:val="clear" w:color="auto" w:fill="auto"/>
            <w:noWrap/>
            <w:vAlign w:val="bottom"/>
            <w:hideMark/>
          </w:tcPr>
          <w:p w14:paraId="2A43A8A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47</w:t>
            </w:r>
          </w:p>
        </w:tc>
        <w:tc>
          <w:tcPr>
            <w:tcW w:w="685" w:type="dxa"/>
            <w:shd w:val="clear" w:color="auto" w:fill="auto"/>
            <w:noWrap/>
            <w:vAlign w:val="bottom"/>
            <w:hideMark/>
          </w:tcPr>
          <w:p w14:paraId="00AA105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529" w:type="dxa"/>
            <w:shd w:val="clear" w:color="auto" w:fill="auto"/>
            <w:noWrap/>
            <w:vAlign w:val="bottom"/>
            <w:hideMark/>
          </w:tcPr>
          <w:p w14:paraId="1742D01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793622C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0.6845</w:t>
            </w:r>
          </w:p>
        </w:tc>
        <w:tc>
          <w:tcPr>
            <w:tcW w:w="919" w:type="dxa"/>
            <w:shd w:val="clear" w:color="auto" w:fill="auto"/>
            <w:noWrap/>
            <w:vAlign w:val="bottom"/>
            <w:hideMark/>
          </w:tcPr>
          <w:p w14:paraId="2CE10D8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0.0559</w:t>
            </w:r>
          </w:p>
        </w:tc>
        <w:tc>
          <w:tcPr>
            <w:tcW w:w="1153" w:type="dxa"/>
            <w:shd w:val="clear" w:color="auto" w:fill="auto"/>
            <w:noWrap/>
            <w:vAlign w:val="bottom"/>
            <w:hideMark/>
          </w:tcPr>
          <w:p w14:paraId="50D03B5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0.5608</w:t>
            </w:r>
          </w:p>
        </w:tc>
        <w:tc>
          <w:tcPr>
            <w:tcW w:w="1153" w:type="dxa"/>
            <w:shd w:val="clear" w:color="auto" w:fill="auto"/>
            <w:noWrap/>
            <w:vAlign w:val="bottom"/>
            <w:hideMark/>
          </w:tcPr>
          <w:p w14:paraId="5F80A5B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0.7799</w:t>
            </w:r>
          </w:p>
        </w:tc>
      </w:tr>
      <w:tr w:rsidR="00A63CE5" w:rsidRPr="00E76C10" w14:paraId="464BEA70" w14:textId="77777777" w:rsidTr="00A63CE5">
        <w:trPr>
          <w:trHeight w:val="144"/>
        </w:trPr>
        <w:tc>
          <w:tcPr>
            <w:tcW w:w="1231" w:type="dxa"/>
            <w:shd w:val="clear" w:color="auto" w:fill="auto"/>
            <w:noWrap/>
            <w:vAlign w:val="bottom"/>
            <w:hideMark/>
          </w:tcPr>
          <w:p w14:paraId="214B0468"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14–15</w:t>
            </w:r>
          </w:p>
        </w:tc>
        <w:tc>
          <w:tcPr>
            <w:tcW w:w="607" w:type="dxa"/>
            <w:shd w:val="clear" w:color="auto" w:fill="auto"/>
            <w:noWrap/>
            <w:vAlign w:val="bottom"/>
            <w:hideMark/>
          </w:tcPr>
          <w:p w14:paraId="55F4C47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43</w:t>
            </w:r>
          </w:p>
        </w:tc>
        <w:tc>
          <w:tcPr>
            <w:tcW w:w="685" w:type="dxa"/>
            <w:shd w:val="clear" w:color="auto" w:fill="auto"/>
            <w:noWrap/>
            <w:vAlign w:val="bottom"/>
            <w:hideMark/>
          </w:tcPr>
          <w:p w14:paraId="2A21523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5B5C953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09D4915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0.6684</w:t>
            </w:r>
          </w:p>
        </w:tc>
        <w:tc>
          <w:tcPr>
            <w:tcW w:w="919" w:type="dxa"/>
            <w:shd w:val="clear" w:color="auto" w:fill="auto"/>
            <w:noWrap/>
            <w:vAlign w:val="bottom"/>
            <w:hideMark/>
          </w:tcPr>
          <w:p w14:paraId="3AD9230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0.0569</w:t>
            </w:r>
          </w:p>
        </w:tc>
        <w:tc>
          <w:tcPr>
            <w:tcW w:w="1153" w:type="dxa"/>
            <w:shd w:val="clear" w:color="auto" w:fill="auto"/>
            <w:noWrap/>
            <w:vAlign w:val="bottom"/>
            <w:hideMark/>
          </w:tcPr>
          <w:p w14:paraId="3720BA2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0.5436</w:t>
            </w:r>
          </w:p>
        </w:tc>
        <w:tc>
          <w:tcPr>
            <w:tcW w:w="1153" w:type="dxa"/>
            <w:shd w:val="clear" w:color="auto" w:fill="auto"/>
            <w:noWrap/>
            <w:vAlign w:val="bottom"/>
            <w:hideMark/>
          </w:tcPr>
          <w:p w14:paraId="7D91328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0.7662</w:t>
            </w:r>
          </w:p>
        </w:tc>
      </w:tr>
      <w:tr w:rsidR="00A63CE5" w:rsidRPr="00E76C10" w14:paraId="01595684" w14:textId="77777777" w:rsidTr="00A63CE5">
        <w:trPr>
          <w:trHeight w:val="144"/>
        </w:trPr>
        <w:tc>
          <w:tcPr>
            <w:tcW w:w="1231" w:type="dxa"/>
            <w:shd w:val="clear" w:color="auto" w:fill="auto"/>
            <w:noWrap/>
            <w:vAlign w:val="bottom"/>
            <w:hideMark/>
          </w:tcPr>
          <w:p w14:paraId="696DA785"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15–16</w:t>
            </w:r>
          </w:p>
        </w:tc>
        <w:tc>
          <w:tcPr>
            <w:tcW w:w="607" w:type="dxa"/>
            <w:shd w:val="clear" w:color="auto" w:fill="auto"/>
            <w:noWrap/>
            <w:vAlign w:val="bottom"/>
            <w:hideMark/>
          </w:tcPr>
          <w:p w14:paraId="2EC09B8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41</w:t>
            </w:r>
          </w:p>
        </w:tc>
        <w:tc>
          <w:tcPr>
            <w:tcW w:w="685" w:type="dxa"/>
            <w:shd w:val="clear" w:color="auto" w:fill="auto"/>
            <w:noWrap/>
            <w:vAlign w:val="bottom"/>
            <w:hideMark/>
          </w:tcPr>
          <w:p w14:paraId="2E1BF17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010C725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841" w:type="dxa"/>
            <w:shd w:val="clear" w:color="auto" w:fill="auto"/>
            <w:noWrap/>
            <w:vAlign w:val="bottom"/>
            <w:hideMark/>
          </w:tcPr>
          <w:p w14:paraId="558B98A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0.6521</w:t>
            </w:r>
          </w:p>
        </w:tc>
        <w:tc>
          <w:tcPr>
            <w:tcW w:w="919" w:type="dxa"/>
            <w:shd w:val="clear" w:color="auto" w:fill="auto"/>
            <w:noWrap/>
            <w:vAlign w:val="bottom"/>
            <w:hideMark/>
          </w:tcPr>
          <w:p w14:paraId="676CDE3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0.0578</w:t>
            </w:r>
          </w:p>
        </w:tc>
        <w:tc>
          <w:tcPr>
            <w:tcW w:w="1153" w:type="dxa"/>
            <w:shd w:val="clear" w:color="auto" w:fill="auto"/>
            <w:noWrap/>
            <w:vAlign w:val="bottom"/>
            <w:hideMark/>
          </w:tcPr>
          <w:p w14:paraId="5696DB1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0.5263</w:t>
            </w:r>
          </w:p>
        </w:tc>
        <w:tc>
          <w:tcPr>
            <w:tcW w:w="1153" w:type="dxa"/>
            <w:shd w:val="clear" w:color="auto" w:fill="auto"/>
            <w:noWrap/>
            <w:vAlign w:val="bottom"/>
            <w:hideMark/>
          </w:tcPr>
          <w:p w14:paraId="745F269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0.7521</w:t>
            </w:r>
          </w:p>
        </w:tc>
      </w:tr>
      <w:tr w:rsidR="00A63CE5" w:rsidRPr="00E76C10" w14:paraId="055B4E6B" w14:textId="77777777" w:rsidTr="00A63CE5">
        <w:trPr>
          <w:trHeight w:val="144"/>
        </w:trPr>
        <w:tc>
          <w:tcPr>
            <w:tcW w:w="1231" w:type="dxa"/>
            <w:shd w:val="clear" w:color="auto" w:fill="auto"/>
            <w:noWrap/>
            <w:vAlign w:val="bottom"/>
            <w:hideMark/>
          </w:tcPr>
          <w:p w14:paraId="5B58B4A2"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16–17</w:t>
            </w:r>
          </w:p>
        </w:tc>
        <w:tc>
          <w:tcPr>
            <w:tcW w:w="607" w:type="dxa"/>
            <w:shd w:val="clear" w:color="auto" w:fill="auto"/>
            <w:noWrap/>
            <w:vAlign w:val="bottom"/>
            <w:hideMark/>
          </w:tcPr>
          <w:p w14:paraId="75168AE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40</w:t>
            </w:r>
          </w:p>
        </w:tc>
        <w:tc>
          <w:tcPr>
            <w:tcW w:w="685" w:type="dxa"/>
            <w:shd w:val="clear" w:color="auto" w:fill="auto"/>
            <w:noWrap/>
            <w:vAlign w:val="bottom"/>
            <w:hideMark/>
          </w:tcPr>
          <w:p w14:paraId="7CDBECB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1C1489F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5AFE653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0.6521</w:t>
            </w:r>
          </w:p>
        </w:tc>
        <w:tc>
          <w:tcPr>
            <w:tcW w:w="919" w:type="dxa"/>
            <w:shd w:val="clear" w:color="auto" w:fill="auto"/>
            <w:noWrap/>
            <w:vAlign w:val="bottom"/>
            <w:hideMark/>
          </w:tcPr>
          <w:p w14:paraId="6C7E7CB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0.0578</w:t>
            </w:r>
          </w:p>
        </w:tc>
        <w:tc>
          <w:tcPr>
            <w:tcW w:w="1153" w:type="dxa"/>
            <w:shd w:val="clear" w:color="auto" w:fill="auto"/>
            <w:noWrap/>
            <w:vAlign w:val="bottom"/>
            <w:hideMark/>
          </w:tcPr>
          <w:p w14:paraId="4B839B7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0.5263</w:t>
            </w:r>
          </w:p>
        </w:tc>
        <w:tc>
          <w:tcPr>
            <w:tcW w:w="1153" w:type="dxa"/>
            <w:shd w:val="clear" w:color="auto" w:fill="auto"/>
            <w:noWrap/>
            <w:vAlign w:val="bottom"/>
            <w:hideMark/>
          </w:tcPr>
          <w:p w14:paraId="12EF675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0.7521</w:t>
            </w:r>
          </w:p>
        </w:tc>
      </w:tr>
      <w:tr w:rsidR="00A63CE5" w:rsidRPr="00E76C10" w14:paraId="1060EDBC" w14:textId="77777777" w:rsidTr="00A63CE5">
        <w:trPr>
          <w:trHeight w:val="144"/>
        </w:trPr>
        <w:tc>
          <w:tcPr>
            <w:tcW w:w="1231" w:type="dxa"/>
            <w:shd w:val="clear" w:color="auto" w:fill="auto"/>
            <w:noWrap/>
            <w:vAlign w:val="bottom"/>
            <w:hideMark/>
          </w:tcPr>
          <w:p w14:paraId="1ADC16FF"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17–18</w:t>
            </w:r>
          </w:p>
        </w:tc>
        <w:tc>
          <w:tcPr>
            <w:tcW w:w="607" w:type="dxa"/>
            <w:shd w:val="clear" w:color="auto" w:fill="auto"/>
            <w:noWrap/>
            <w:vAlign w:val="bottom"/>
            <w:hideMark/>
          </w:tcPr>
          <w:p w14:paraId="086AE9F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39</w:t>
            </w:r>
          </w:p>
        </w:tc>
        <w:tc>
          <w:tcPr>
            <w:tcW w:w="685" w:type="dxa"/>
            <w:shd w:val="clear" w:color="auto" w:fill="auto"/>
            <w:noWrap/>
            <w:vAlign w:val="bottom"/>
            <w:hideMark/>
          </w:tcPr>
          <w:p w14:paraId="089F4EF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62A58BE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4</w:t>
            </w:r>
          </w:p>
        </w:tc>
        <w:tc>
          <w:tcPr>
            <w:tcW w:w="841" w:type="dxa"/>
            <w:shd w:val="clear" w:color="auto" w:fill="auto"/>
            <w:noWrap/>
            <w:vAlign w:val="bottom"/>
            <w:hideMark/>
          </w:tcPr>
          <w:p w14:paraId="03F5413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0.6344</w:t>
            </w:r>
          </w:p>
        </w:tc>
        <w:tc>
          <w:tcPr>
            <w:tcW w:w="919" w:type="dxa"/>
            <w:shd w:val="clear" w:color="auto" w:fill="auto"/>
            <w:noWrap/>
            <w:vAlign w:val="bottom"/>
            <w:hideMark/>
          </w:tcPr>
          <w:p w14:paraId="72D4819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0.0588</w:t>
            </w:r>
          </w:p>
        </w:tc>
        <w:tc>
          <w:tcPr>
            <w:tcW w:w="1153" w:type="dxa"/>
            <w:shd w:val="clear" w:color="auto" w:fill="auto"/>
            <w:noWrap/>
            <w:vAlign w:val="bottom"/>
            <w:hideMark/>
          </w:tcPr>
          <w:p w14:paraId="5D7CAC8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0.5074</w:t>
            </w:r>
          </w:p>
        </w:tc>
        <w:tc>
          <w:tcPr>
            <w:tcW w:w="1153" w:type="dxa"/>
            <w:shd w:val="clear" w:color="auto" w:fill="auto"/>
            <w:noWrap/>
            <w:vAlign w:val="bottom"/>
            <w:hideMark/>
          </w:tcPr>
          <w:p w14:paraId="12F3070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0.737</w:t>
            </w:r>
          </w:p>
        </w:tc>
      </w:tr>
      <w:tr w:rsidR="00A63CE5" w:rsidRPr="00E76C10" w14:paraId="2830823C" w14:textId="77777777" w:rsidTr="00A63CE5">
        <w:trPr>
          <w:trHeight w:val="144"/>
        </w:trPr>
        <w:tc>
          <w:tcPr>
            <w:tcW w:w="1231" w:type="dxa"/>
            <w:shd w:val="clear" w:color="auto" w:fill="auto"/>
            <w:noWrap/>
            <w:vAlign w:val="bottom"/>
            <w:hideMark/>
          </w:tcPr>
          <w:p w14:paraId="718D117F"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18–19</w:t>
            </w:r>
          </w:p>
        </w:tc>
        <w:tc>
          <w:tcPr>
            <w:tcW w:w="607" w:type="dxa"/>
            <w:shd w:val="clear" w:color="auto" w:fill="auto"/>
            <w:noWrap/>
            <w:vAlign w:val="bottom"/>
            <w:hideMark/>
          </w:tcPr>
          <w:p w14:paraId="4BE52AE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34</w:t>
            </w:r>
          </w:p>
        </w:tc>
        <w:tc>
          <w:tcPr>
            <w:tcW w:w="685" w:type="dxa"/>
            <w:shd w:val="clear" w:color="auto" w:fill="auto"/>
            <w:noWrap/>
            <w:vAlign w:val="bottom"/>
            <w:hideMark/>
          </w:tcPr>
          <w:p w14:paraId="31AC8E4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43DA2A6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841" w:type="dxa"/>
            <w:shd w:val="clear" w:color="auto" w:fill="auto"/>
            <w:noWrap/>
            <w:vAlign w:val="bottom"/>
            <w:hideMark/>
          </w:tcPr>
          <w:p w14:paraId="2398B21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0.6344</w:t>
            </w:r>
          </w:p>
        </w:tc>
        <w:tc>
          <w:tcPr>
            <w:tcW w:w="919" w:type="dxa"/>
            <w:shd w:val="clear" w:color="auto" w:fill="auto"/>
            <w:noWrap/>
            <w:vAlign w:val="bottom"/>
            <w:hideMark/>
          </w:tcPr>
          <w:p w14:paraId="33F5EB7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0.0588</w:t>
            </w:r>
          </w:p>
        </w:tc>
        <w:tc>
          <w:tcPr>
            <w:tcW w:w="1153" w:type="dxa"/>
            <w:shd w:val="clear" w:color="auto" w:fill="auto"/>
            <w:noWrap/>
            <w:vAlign w:val="bottom"/>
            <w:hideMark/>
          </w:tcPr>
          <w:p w14:paraId="7C55E68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0.5074</w:t>
            </w:r>
          </w:p>
        </w:tc>
        <w:tc>
          <w:tcPr>
            <w:tcW w:w="1153" w:type="dxa"/>
            <w:shd w:val="clear" w:color="auto" w:fill="auto"/>
            <w:noWrap/>
            <w:vAlign w:val="bottom"/>
            <w:hideMark/>
          </w:tcPr>
          <w:p w14:paraId="067A984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0.737</w:t>
            </w:r>
          </w:p>
        </w:tc>
      </w:tr>
      <w:tr w:rsidR="00A63CE5" w:rsidRPr="00E76C10" w14:paraId="2A7DB08A" w14:textId="77777777" w:rsidTr="00A63CE5">
        <w:trPr>
          <w:trHeight w:val="144"/>
        </w:trPr>
        <w:tc>
          <w:tcPr>
            <w:tcW w:w="1231" w:type="dxa"/>
            <w:shd w:val="clear" w:color="auto" w:fill="auto"/>
            <w:noWrap/>
            <w:vAlign w:val="bottom"/>
            <w:hideMark/>
          </w:tcPr>
          <w:p w14:paraId="6800F23D"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19–20</w:t>
            </w:r>
          </w:p>
        </w:tc>
        <w:tc>
          <w:tcPr>
            <w:tcW w:w="607" w:type="dxa"/>
            <w:shd w:val="clear" w:color="auto" w:fill="auto"/>
            <w:noWrap/>
            <w:vAlign w:val="bottom"/>
            <w:hideMark/>
          </w:tcPr>
          <w:p w14:paraId="075A021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29</w:t>
            </w:r>
          </w:p>
        </w:tc>
        <w:tc>
          <w:tcPr>
            <w:tcW w:w="685" w:type="dxa"/>
            <w:shd w:val="clear" w:color="auto" w:fill="auto"/>
            <w:noWrap/>
            <w:vAlign w:val="bottom"/>
            <w:hideMark/>
          </w:tcPr>
          <w:p w14:paraId="230E6CA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7B6BA6D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6BEBCA2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0.6344</w:t>
            </w:r>
          </w:p>
        </w:tc>
        <w:tc>
          <w:tcPr>
            <w:tcW w:w="919" w:type="dxa"/>
            <w:shd w:val="clear" w:color="auto" w:fill="auto"/>
            <w:noWrap/>
            <w:vAlign w:val="bottom"/>
            <w:hideMark/>
          </w:tcPr>
          <w:p w14:paraId="4FB77B1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0.0588</w:t>
            </w:r>
          </w:p>
        </w:tc>
        <w:tc>
          <w:tcPr>
            <w:tcW w:w="1153" w:type="dxa"/>
            <w:shd w:val="clear" w:color="auto" w:fill="auto"/>
            <w:noWrap/>
            <w:vAlign w:val="bottom"/>
            <w:hideMark/>
          </w:tcPr>
          <w:p w14:paraId="4CFAB08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0.5074</w:t>
            </w:r>
          </w:p>
        </w:tc>
        <w:tc>
          <w:tcPr>
            <w:tcW w:w="1153" w:type="dxa"/>
            <w:shd w:val="clear" w:color="auto" w:fill="auto"/>
            <w:noWrap/>
            <w:vAlign w:val="bottom"/>
            <w:hideMark/>
          </w:tcPr>
          <w:p w14:paraId="4852C5D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0.737</w:t>
            </w:r>
          </w:p>
        </w:tc>
      </w:tr>
      <w:tr w:rsidR="00E76C10" w:rsidRPr="00E76C10" w14:paraId="6F1CB533" w14:textId="77777777" w:rsidTr="00A63CE5">
        <w:trPr>
          <w:trHeight w:val="144"/>
        </w:trPr>
        <w:tc>
          <w:tcPr>
            <w:tcW w:w="1231" w:type="dxa"/>
            <w:shd w:val="clear" w:color="auto" w:fill="auto"/>
            <w:noWrap/>
            <w:vAlign w:val="bottom"/>
            <w:hideMark/>
          </w:tcPr>
          <w:p w14:paraId="32EA5E46"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20–21</w:t>
            </w:r>
          </w:p>
        </w:tc>
        <w:tc>
          <w:tcPr>
            <w:tcW w:w="607" w:type="dxa"/>
            <w:shd w:val="clear" w:color="auto" w:fill="auto"/>
            <w:noWrap/>
            <w:vAlign w:val="bottom"/>
            <w:hideMark/>
          </w:tcPr>
          <w:p w14:paraId="642F697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27</w:t>
            </w:r>
          </w:p>
        </w:tc>
        <w:tc>
          <w:tcPr>
            <w:tcW w:w="685" w:type="dxa"/>
            <w:shd w:val="clear" w:color="auto" w:fill="auto"/>
            <w:noWrap/>
            <w:vAlign w:val="bottom"/>
            <w:hideMark/>
          </w:tcPr>
          <w:p w14:paraId="09EEB3E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2577A5E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7A24E06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0.6344</w:t>
            </w:r>
          </w:p>
        </w:tc>
        <w:tc>
          <w:tcPr>
            <w:tcW w:w="919" w:type="dxa"/>
            <w:shd w:val="clear" w:color="auto" w:fill="auto"/>
            <w:noWrap/>
            <w:vAlign w:val="bottom"/>
            <w:hideMark/>
          </w:tcPr>
          <w:p w14:paraId="73C23D9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0.0588</w:t>
            </w:r>
          </w:p>
        </w:tc>
        <w:tc>
          <w:tcPr>
            <w:tcW w:w="1153" w:type="dxa"/>
            <w:shd w:val="clear" w:color="auto" w:fill="auto"/>
            <w:noWrap/>
            <w:vAlign w:val="bottom"/>
            <w:hideMark/>
          </w:tcPr>
          <w:p w14:paraId="7DC29AA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0.5074</w:t>
            </w:r>
          </w:p>
        </w:tc>
        <w:tc>
          <w:tcPr>
            <w:tcW w:w="1153" w:type="dxa"/>
            <w:shd w:val="clear" w:color="auto" w:fill="auto"/>
            <w:noWrap/>
            <w:vAlign w:val="bottom"/>
            <w:hideMark/>
          </w:tcPr>
          <w:p w14:paraId="2DB40B2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0.737</w:t>
            </w:r>
          </w:p>
        </w:tc>
      </w:tr>
      <w:tr w:rsidR="00E76C10" w:rsidRPr="00E76C10" w14:paraId="0D2B172B" w14:textId="77777777" w:rsidTr="00A63CE5">
        <w:trPr>
          <w:trHeight w:val="144"/>
        </w:trPr>
        <w:tc>
          <w:tcPr>
            <w:tcW w:w="1231" w:type="dxa"/>
            <w:shd w:val="clear" w:color="auto" w:fill="auto"/>
            <w:noWrap/>
            <w:vAlign w:val="bottom"/>
            <w:hideMark/>
          </w:tcPr>
          <w:p w14:paraId="3B606428"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21–22</w:t>
            </w:r>
          </w:p>
        </w:tc>
        <w:tc>
          <w:tcPr>
            <w:tcW w:w="607" w:type="dxa"/>
            <w:shd w:val="clear" w:color="auto" w:fill="auto"/>
            <w:noWrap/>
            <w:vAlign w:val="bottom"/>
            <w:hideMark/>
          </w:tcPr>
          <w:p w14:paraId="7BEF2B5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24</w:t>
            </w:r>
          </w:p>
        </w:tc>
        <w:tc>
          <w:tcPr>
            <w:tcW w:w="685" w:type="dxa"/>
            <w:shd w:val="clear" w:color="auto" w:fill="auto"/>
            <w:noWrap/>
            <w:vAlign w:val="bottom"/>
            <w:hideMark/>
          </w:tcPr>
          <w:p w14:paraId="215DCBF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2667BBF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74A3EE9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0.6074</w:t>
            </w:r>
          </w:p>
        </w:tc>
        <w:tc>
          <w:tcPr>
            <w:tcW w:w="919" w:type="dxa"/>
            <w:shd w:val="clear" w:color="auto" w:fill="auto"/>
            <w:noWrap/>
            <w:vAlign w:val="bottom"/>
            <w:hideMark/>
          </w:tcPr>
          <w:p w14:paraId="5005FA1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0.0622</w:t>
            </w:r>
          </w:p>
        </w:tc>
        <w:tc>
          <w:tcPr>
            <w:tcW w:w="1153" w:type="dxa"/>
            <w:shd w:val="clear" w:color="auto" w:fill="auto"/>
            <w:noWrap/>
            <w:vAlign w:val="bottom"/>
            <w:hideMark/>
          </w:tcPr>
          <w:p w14:paraId="1058245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0.4744</w:t>
            </w:r>
          </w:p>
        </w:tc>
        <w:tc>
          <w:tcPr>
            <w:tcW w:w="1153" w:type="dxa"/>
            <w:shd w:val="clear" w:color="auto" w:fill="auto"/>
            <w:noWrap/>
            <w:vAlign w:val="bottom"/>
            <w:hideMark/>
          </w:tcPr>
          <w:p w14:paraId="2076EB3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0.7166</w:t>
            </w:r>
          </w:p>
        </w:tc>
      </w:tr>
      <w:tr w:rsidR="00E76C10" w:rsidRPr="00E76C10" w14:paraId="0E4E5299" w14:textId="77777777" w:rsidTr="00A63CE5">
        <w:trPr>
          <w:trHeight w:val="144"/>
        </w:trPr>
        <w:tc>
          <w:tcPr>
            <w:tcW w:w="1231" w:type="dxa"/>
            <w:shd w:val="clear" w:color="auto" w:fill="auto"/>
            <w:noWrap/>
            <w:vAlign w:val="bottom"/>
            <w:hideMark/>
          </w:tcPr>
          <w:p w14:paraId="49249334"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22–23</w:t>
            </w:r>
          </w:p>
        </w:tc>
        <w:tc>
          <w:tcPr>
            <w:tcW w:w="607" w:type="dxa"/>
            <w:shd w:val="clear" w:color="auto" w:fill="auto"/>
            <w:noWrap/>
            <w:vAlign w:val="bottom"/>
            <w:hideMark/>
          </w:tcPr>
          <w:p w14:paraId="1B300FC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22</w:t>
            </w:r>
          </w:p>
        </w:tc>
        <w:tc>
          <w:tcPr>
            <w:tcW w:w="685" w:type="dxa"/>
            <w:shd w:val="clear" w:color="auto" w:fill="auto"/>
            <w:noWrap/>
            <w:vAlign w:val="bottom"/>
            <w:hideMark/>
          </w:tcPr>
          <w:p w14:paraId="1DDA0FA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519627C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841" w:type="dxa"/>
            <w:shd w:val="clear" w:color="auto" w:fill="auto"/>
            <w:noWrap/>
            <w:vAlign w:val="bottom"/>
            <w:hideMark/>
          </w:tcPr>
          <w:p w14:paraId="0881793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0.6074</w:t>
            </w:r>
          </w:p>
        </w:tc>
        <w:tc>
          <w:tcPr>
            <w:tcW w:w="919" w:type="dxa"/>
            <w:shd w:val="clear" w:color="auto" w:fill="auto"/>
            <w:noWrap/>
            <w:vAlign w:val="bottom"/>
            <w:hideMark/>
          </w:tcPr>
          <w:p w14:paraId="6A138D4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0.0622</w:t>
            </w:r>
          </w:p>
        </w:tc>
        <w:tc>
          <w:tcPr>
            <w:tcW w:w="1153" w:type="dxa"/>
            <w:shd w:val="clear" w:color="auto" w:fill="auto"/>
            <w:noWrap/>
            <w:vAlign w:val="bottom"/>
            <w:hideMark/>
          </w:tcPr>
          <w:p w14:paraId="0B20421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0.4744</w:t>
            </w:r>
          </w:p>
        </w:tc>
        <w:tc>
          <w:tcPr>
            <w:tcW w:w="1153" w:type="dxa"/>
            <w:shd w:val="clear" w:color="auto" w:fill="auto"/>
            <w:noWrap/>
            <w:vAlign w:val="bottom"/>
            <w:hideMark/>
          </w:tcPr>
          <w:p w14:paraId="6F93A5D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0.7166</w:t>
            </w:r>
          </w:p>
        </w:tc>
      </w:tr>
      <w:tr w:rsidR="00E76C10" w:rsidRPr="00E76C10" w14:paraId="50362EFF" w14:textId="77777777" w:rsidTr="00A63CE5">
        <w:trPr>
          <w:trHeight w:val="144"/>
        </w:trPr>
        <w:tc>
          <w:tcPr>
            <w:tcW w:w="1231" w:type="dxa"/>
            <w:shd w:val="clear" w:color="auto" w:fill="auto"/>
            <w:noWrap/>
            <w:vAlign w:val="bottom"/>
            <w:hideMark/>
          </w:tcPr>
          <w:p w14:paraId="6DC3661C"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23–24</w:t>
            </w:r>
          </w:p>
        </w:tc>
        <w:tc>
          <w:tcPr>
            <w:tcW w:w="607" w:type="dxa"/>
            <w:shd w:val="clear" w:color="auto" w:fill="auto"/>
            <w:noWrap/>
            <w:vAlign w:val="bottom"/>
            <w:hideMark/>
          </w:tcPr>
          <w:p w14:paraId="7C3138A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19</w:t>
            </w:r>
          </w:p>
        </w:tc>
        <w:tc>
          <w:tcPr>
            <w:tcW w:w="685" w:type="dxa"/>
            <w:shd w:val="clear" w:color="auto" w:fill="auto"/>
            <w:noWrap/>
            <w:vAlign w:val="bottom"/>
            <w:hideMark/>
          </w:tcPr>
          <w:p w14:paraId="075761D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3E525D9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78DD187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0.5737</w:t>
            </w:r>
          </w:p>
        </w:tc>
        <w:tc>
          <w:tcPr>
            <w:tcW w:w="919" w:type="dxa"/>
            <w:shd w:val="clear" w:color="auto" w:fill="auto"/>
            <w:noWrap/>
            <w:vAlign w:val="bottom"/>
            <w:hideMark/>
          </w:tcPr>
          <w:p w14:paraId="55003FF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0.0673</w:t>
            </w:r>
          </w:p>
        </w:tc>
        <w:tc>
          <w:tcPr>
            <w:tcW w:w="1153" w:type="dxa"/>
            <w:shd w:val="clear" w:color="auto" w:fill="auto"/>
            <w:noWrap/>
            <w:vAlign w:val="bottom"/>
            <w:hideMark/>
          </w:tcPr>
          <w:p w14:paraId="05A272C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0.4315</w:t>
            </w:r>
          </w:p>
        </w:tc>
        <w:tc>
          <w:tcPr>
            <w:tcW w:w="1153" w:type="dxa"/>
            <w:shd w:val="clear" w:color="auto" w:fill="auto"/>
            <w:noWrap/>
            <w:vAlign w:val="bottom"/>
            <w:hideMark/>
          </w:tcPr>
          <w:p w14:paraId="441AB8F4"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0.6925</w:t>
            </w:r>
          </w:p>
        </w:tc>
      </w:tr>
      <w:tr w:rsidR="00E76C10" w:rsidRPr="00E76C10" w14:paraId="37FF1627" w14:textId="77777777" w:rsidTr="00A63CE5">
        <w:trPr>
          <w:trHeight w:val="144"/>
        </w:trPr>
        <w:tc>
          <w:tcPr>
            <w:tcW w:w="1231" w:type="dxa"/>
            <w:shd w:val="clear" w:color="auto" w:fill="auto"/>
            <w:noWrap/>
            <w:vAlign w:val="bottom"/>
            <w:hideMark/>
          </w:tcPr>
          <w:p w14:paraId="49B5DBFB"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25–26</w:t>
            </w:r>
          </w:p>
        </w:tc>
        <w:tc>
          <w:tcPr>
            <w:tcW w:w="607" w:type="dxa"/>
            <w:shd w:val="clear" w:color="auto" w:fill="auto"/>
            <w:noWrap/>
            <w:vAlign w:val="bottom"/>
            <w:hideMark/>
          </w:tcPr>
          <w:p w14:paraId="60C502E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16</w:t>
            </w:r>
          </w:p>
        </w:tc>
        <w:tc>
          <w:tcPr>
            <w:tcW w:w="685" w:type="dxa"/>
            <w:shd w:val="clear" w:color="auto" w:fill="auto"/>
            <w:noWrap/>
            <w:vAlign w:val="bottom"/>
            <w:hideMark/>
          </w:tcPr>
          <w:p w14:paraId="010C2B4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4AE5562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841" w:type="dxa"/>
            <w:shd w:val="clear" w:color="auto" w:fill="auto"/>
            <w:noWrap/>
            <w:vAlign w:val="bottom"/>
            <w:hideMark/>
          </w:tcPr>
          <w:p w14:paraId="5B27E13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0.5737</w:t>
            </w:r>
          </w:p>
        </w:tc>
        <w:tc>
          <w:tcPr>
            <w:tcW w:w="919" w:type="dxa"/>
            <w:shd w:val="clear" w:color="auto" w:fill="auto"/>
            <w:noWrap/>
            <w:vAlign w:val="bottom"/>
            <w:hideMark/>
          </w:tcPr>
          <w:p w14:paraId="23F7599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0.0673</w:t>
            </w:r>
          </w:p>
        </w:tc>
        <w:tc>
          <w:tcPr>
            <w:tcW w:w="1153" w:type="dxa"/>
            <w:shd w:val="clear" w:color="auto" w:fill="auto"/>
            <w:noWrap/>
            <w:vAlign w:val="bottom"/>
            <w:hideMark/>
          </w:tcPr>
          <w:p w14:paraId="6333C2B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0.4315</w:t>
            </w:r>
          </w:p>
        </w:tc>
        <w:tc>
          <w:tcPr>
            <w:tcW w:w="1153" w:type="dxa"/>
            <w:shd w:val="clear" w:color="auto" w:fill="auto"/>
            <w:noWrap/>
            <w:vAlign w:val="bottom"/>
            <w:hideMark/>
          </w:tcPr>
          <w:p w14:paraId="53C1419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0.6925</w:t>
            </w:r>
          </w:p>
        </w:tc>
      </w:tr>
      <w:tr w:rsidR="00E76C10" w:rsidRPr="00E76C10" w14:paraId="7F2C1528" w14:textId="77777777" w:rsidTr="00A63CE5">
        <w:trPr>
          <w:trHeight w:val="144"/>
        </w:trPr>
        <w:tc>
          <w:tcPr>
            <w:tcW w:w="1231" w:type="dxa"/>
            <w:shd w:val="clear" w:color="auto" w:fill="auto"/>
            <w:noWrap/>
            <w:vAlign w:val="bottom"/>
            <w:hideMark/>
          </w:tcPr>
          <w:p w14:paraId="5001A225"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26–27</w:t>
            </w:r>
          </w:p>
        </w:tc>
        <w:tc>
          <w:tcPr>
            <w:tcW w:w="607" w:type="dxa"/>
            <w:shd w:val="clear" w:color="auto" w:fill="auto"/>
            <w:noWrap/>
            <w:vAlign w:val="bottom"/>
            <w:hideMark/>
          </w:tcPr>
          <w:p w14:paraId="69B6465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11</w:t>
            </w:r>
          </w:p>
        </w:tc>
        <w:tc>
          <w:tcPr>
            <w:tcW w:w="685" w:type="dxa"/>
            <w:shd w:val="clear" w:color="auto" w:fill="auto"/>
            <w:noWrap/>
            <w:vAlign w:val="bottom"/>
            <w:hideMark/>
          </w:tcPr>
          <w:p w14:paraId="10B4B2A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7F37462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068A2B1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0.5737</w:t>
            </w:r>
          </w:p>
        </w:tc>
        <w:tc>
          <w:tcPr>
            <w:tcW w:w="919" w:type="dxa"/>
            <w:shd w:val="clear" w:color="auto" w:fill="auto"/>
            <w:noWrap/>
            <w:vAlign w:val="bottom"/>
            <w:hideMark/>
          </w:tcPr>
          <w:p w14:paraId="7DA3052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0.0673</w:t>
            </w:r>
          </w:p>
        </w:tc>
        <w:tc>
          <w:tcPr>
            <w:tcW w:w="1153" w:type="dxa"/>
            <w:shd w:val="clear" w:color="auto" w:fill="auto"/>
            <w:noWrap/>
            <w:vAlign w:val="bottom"/>
            <w:hideMark/>
          </w:tcPr>
          <w:p w14:paraId="7209FBD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0.4315</w:t>
            </w:r>
          </w:p>
        </w:tc>
        <w:tc>
          <w:tcPr>
            <w:tcW w:w="1153" w:type="dxa"/>
            <w:shd w:val="clear" w:color="auto" w:fill="auto"/>
            <w:noWrap/>
            <w:vAlign w:val="bottom"/>
            <w:hideMark/>
          </w:tcPr>
          <w:p w14:paraId="041044C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0.6925</w:t>
            </w:r>
          </w:p>
        </w:tc>
      </w:tr>
      <w:tr w:rsidR="00E76C10" w:rsidRPr="00E76C10" w14:paraId="3EB031DF" w14:textId="77777777" w:rsidTr="00A63CE5">
        <w:trPr>
          <w:trHeight w:val="144"/>
        </w:trPr>
        <w:tc>
          <w:tcPr>
            <w:tcW w:w="1231" w:type="dxa"/>
            <w:shd w:val="clear" w:color="auto" w:fill="auto"/>
            <w:noWrap/>
            <w:vAlign w:val="bottom"/>
            <w:hideMark/>
          </w:tcPr>
          <w:p w14:paraId="59349192"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28–29</w:t>
            </w:r>
          </w:p>
        </w:tc>
        <w:tc>
          <w:tcPr>
            <w:tcW w:w="607" w:type="dxa"/>
            <w:shd w:val="clear" w:color="auto" w:fill="auto"/>
            <w:noWrap/>
            <w:vAlign w:val="bottom"/>
            <w:hideMark/>
          </w:tcPr>
          <w:p w14:paraId="50C1796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10</w:t>
            </w:r>
          </w:p>
        </w:tc>
        <w:tc>
          <w:tcPr>
            <w:tcW w:w="685" w:type="dxa"/>
            <w:shd w:val="clear" w:color="auto" w:fill="auto"/>
            <w:noWrap/>
            <w:vAlign w:val="bottom"/>
            <w:hideMark/>
          </w:tcPr>
          <w:p w14:paraId="295B962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529" w:type="dxa"/>
            <w:shd w:val="clear" w:color="auto" w:fill="auto"/>
            <w:noWrap/>
            <w:vAlign w:val="bottom"/>
            <w:hideMark/>
          </w:tcPr>
          <w:p w14:paraId="399C03F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31505A7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72AA80B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1219846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77F9A15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E76C10" w:rsidRPr="00E76C10" w14:paraId="482B911D" w14:textId="77777777" w:rsidTr="00A63CE5">
        <w:trPr>
          <w:trHeight w:val="144"/>
        </w:trPr>
        <w:tc>
          <w:tcPr>
            <w:tcW w:w="1231" w:type="dxa"/>
            <w:shd w:val="clear" w:color="auto" w:fill="auto"/>
            <w:noWrap/>
            <w:vAlign w:val="bottom"/>
            <w:hideMark/>
          </w:tcPr>
          <w:p w14:paraId="0875FDA0"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29–30</w:t>
            </w:r>
          </w:p>
        </w:tc>
        <w:tc>
          <w:tcPr>
            <w:tcW w:w="607" w:type="dxa"/>
            <w:shd w:val="clear" w:color="auto" w:fill="auto"/>
            <w:noWrap/>
            <w:vAlign w:val="bottom"/>
            <w:hideMark/>
          </w:tcPr>
          <w:p w14:paraId="318F8CC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8</w:t>
            </w:r>
          </w:p>
        </w:tc>
        <w:tc>
          <w:tcPr>
            <w:tcW w:w="685" w:type="dxa"/>
            <w:shd w:val="clear" w:color="auto" w:fill="auto"/>
            <w:noWrap/>
            <w:vAlign w:val="bottom"/>
            <w:hideMark/>
          </w:tcPr>
          <w:p w14:paraId="6B18D48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329F4E1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2484720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0818031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1C3B3CD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2799890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E76C10" w:rsidRPr="00E76C10" w14:paraId="767BF480" w14:textId="77777777" w:rsidTr="00A63CE5">
        <w:trPr>
          <w:trHeight w:val="144"/>
        </w:trPr>
        <w:tc>
          <w:tcPr>
            <w:tcW w:w="1231" w:type="dxa"/>
            <w:shd w:val="clear" w:color="auto" w:fill="auto"/>
            <w:noWrap/>
            <w:vAlign w:val="bottom"/>
            <w:hideMark/>
          </w:tcPr>
          <w:p w14:paraId="4A6AD3C3"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30–31</w:t>
            </w:r>
          </w:p>
        </w:tc>
        <w:tc>
          <w:tcPr>
            <w:tcW w:w="607" w:type="dxa"/>
            <w:shd w:val="clear" w:color="auto" w:fill="auto"/>
            <w:noWrap/>
            <w:vAlign w:val="bottom"/>
            <w:hideMark/>
          </w:tcPr>
          <w:p w14:paraId="7F4AAB9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7</w:t>
            </w:r>
          </w:p>
        </w:tc>
        <w:tc>
          <w:tcPr>
            <w:tcW w:w="685" w:type="dxa"/>
            <w:shd w:val="clear" w:color="auto" w:fill="auto"/>
            <w:noWrap/>
            <w:vAlign w:val="bottom"/>
            <w:hideMark/>
          </w:tcPr>
          <w:p w14:paraId="6EA5B23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65B2090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7A11E5F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1BAF9E4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3B56EA9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1071BD68"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E76C10" w:rsidRPr="00E76C10" w14:paraId="0ED92F0F" w14:textId="77777777" w:rsidTr="00A63CE5">
        <w:trPr>
          <w:trHeight w:val="144"/>
        </w:trPr>
        <w:tc>
          <w:tcPr>
            <w:tcW w:w="1231" w:type="dxa"/>
            <w:shd w:val="clear" w:color="auto" w:fill="auto"/>
            <w:noWrap/>
            <w:vAlign w:val="bottom"/>
            <w:hideMark/>
          </w:tcPr>
          <w:p w14:paraId="0C5FDBC6"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31–32</w:t>
            </w:r>
          </w:p>
        </w:tc>
        <w:tc>
          <w:tcPr>
            <w:tcW w:w="607" w:type="dxa"/>
            <w:shd w:val="clear" w:color="auto" w:fill="auto"/>
            <w:noWrap/>
            <w:vAlign w:val="bottom"/>
            <w:hideMark/>
          </w:tcPr>
          <w:p w14:paraId="547EE56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5</w:t>
            </w:r>
          </w:p>
        </w:tc>
        <w:tc>
          <w:tcPr>
            <w:tcW w:w="685" w:type="dxa"/>
            <w:shd w:val="clear" w:color="auto" w:fill="auto"/>
            <w:noWrap/>
            <w:vAlign w:val="bottom"/>
            <w:hideMark/>
          </w:tcPr>
          <w:p w14:paraId="2333ECF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1A16E1A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841" w:type="dxa"/>
            <w:shd w:val="clear" w:color="auto" w:fill="auto"/>
            <w:noWrap/>
            <w:vAlign w:val="bottom"/>
            <w:hideMark/>
          </w:tcPr>
          <w:p w14:paraId="7ADB8B4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537BD55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50B3AE96"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183D9DBE"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E76C10" w:rsidRPr="00E76C10" w14:paraId="469AC34A" w14:textId="77777777" w:rsidTr="00A63CE5">
        <w:trPr>
          <w:trHeight w:val="144"/>
        </w:trPr>
        <w:tc>
          <w:tcPr>
            <w:tcW w:w="1231" w:type="dxa"/>
            <w:shd w:val="clear" w:color="auto" w:fill="auto"/>
            <w:noWrap/>
            <w:vAlign w:val="bottom"/>
            <w:hideMark/>
          </w:tcPr>
          <w:p w14:paraId="3CEF0C4B"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33–34</w:t>
            </w:r>
          </w:p>
        </w:tc>
        <w:tc>
          <w:tcPr>
            <w:tcW w:w="607" w:type="dxa"/>
            <w:shd w:val="clear" w:color="auto" w:fill="auto"/>
            <w:noWrap/>
            <w:vAlign w:val="bottom"/>
            <w:hideMark/>
          </w:tcPr>
          <w:p w14:paraId="39B77BC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3</w:t>
            </w:r>
          </w:p>
        </w:tc>
        <w:tc>
          <w:tcPr>
            <w:tcW w:w="685" w:type="dxa"/>
            <w:shd w:val="clear" w:color="auto" w:fill="auto"/>
            <w:noWrap/>
            <w:vAlign w:val="bottom"/>
            <w:hideMark/>
          </w:tcPr>
          <w:p w14:paraId="4F1455A9"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5A27227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2A62028D"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0D08B477"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21FFF98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7414374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E76C10" w:rsidRPr="00E76C10" w14:paraId="251839C4" w14:textId="77777777" w:rsidTr="00A63CE5">
        <w:trPr>
          <w:trHeight w:val="144"/>
        </w:trPr>
        <w:tc>
          <w:tcPr>
            <w:tcW w:w="1231" w:type="dxa"/>
            <w:shd w:val="clear" w:color="auto" w:fill="auto"/>
            <w:noWrap/>
            <w:vAlign w:val="bottom"/>
            <w:hideMark/>
          </w:tcPr>
          <w:p w14:paraId="3A42D5CF"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34–35</w:t>
            </w:r>
          </w:p>
        </w:tc>
        <w:tc>
          <w:tcPr>
            <w:tcW w:w="607" w:type="dxa"/>
            <w:shd w:val="clear" w:color="auto" w:fill="auto"/>
            <w:noWrap/>
            <w:vAlign w:val="bottom"/>
            <w:hideMark/>
          </w:tcPr>
          <w:p w14:paraId="31113D91"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2</w:t>
            </w:r>
          </w:p>
        </w:tc>
        <w:tc>
          <w:tcPr>
            <w:tcW w:w="685" w:type="dxa"/>
            <w:shd w:val="clear" w:color="auto" w:fill="auto"/>
            <w:noWrap/>
            <w:vAlign w:val="bottom"/>
            <w:hideMark/>
          </w:tcPr>
          <w:p w14:paraId="7D73B592"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5B099055"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18F2F51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3BB1D9B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30F8F65A"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5A0FA42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r w:rsidR="00A63CE5" w:rsidRPr="00E76C10" w14:paraId="537E150D" w14:textId="77777777" w:rsidTr="00A63CE5">
        <w:trPr>
          <w:trHeight w:val="144"/>
        </w:trPr>
        <w:tc>
          <w:tcPr>
            <w:tcW w:w="1231" w:type="dxa"/>
            <w:shd w:val="clear" w:color="auto" w:fill="auto"/>
            <w:noWrap/>
            <w:vAlign w:val="bottom"/>
            <w:hideMark/>
          </w:tcPr>
          <w:p w14:paraId="2D6CDB63" w14:textId="77777777" w:rsidR="00E76C10" w:rsidRPr="00E76C10" w:rsidRDefault="00E76C10" w:rsidP="00E76C10">
            <w:pPr>
              <w:rPr>
                <w:rFonts w:ascii="Courier New" w:hAnsi="Courier New" w:cs="Courier New"/>
                <w:color w:val="000000"/>
                <w:sz w:val="13"/>
                <w:szCs w:val="13"/>
              </w:rPr>
            </w:pPr>
            <w:r w:rsidRPr="00E76C10">
              <w:rPr>
                <w:rFonts w:ascii="Courier New" w:hAnsi="Courier New" w:cs="Courier New"/>
                <w:color w:val="000000"/>
                <w:sz w:val="13"/>
                <w:szCs w:val="13"/>
              </w:rPr>
              <w:t>35–36</w:t>
            </w:r>
          </w:p>
        </w:tc>
        <w:tc>
          <w:tcPr>
            <w:tcW w:w="607" w:type="dxa"/>
            <w:shd w:val="clear" w:color="auto" w:fill="auto"/>
            <w:noWrap/>
            <w:vAlign w:val="bottom"/>
            <w:hideMark/>
          </w:tcPr>
          <w:p w14:paraId="44292DD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685" w:type="dxa"/>
            <w:shd w:val="clear" w:color="auto" w:fill="auto"/>
            <w:noWrap/>
            <w:vAlign w:val="bottom"/>
            <w:hideMark/>
          </w:tcPr>
          <w:p w14:paraId="7AD193BB"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w:t>
            </w:r>
          </w:p>
        </w:tc>
        <w:tc>
          <w:tcPr>
            <w:tcW w:w="529" w:type="dxa"/>
            <w:shd w:val="clear" w:color="auto" w:fill="auto"/>
            <w:noWrap/>
            <w:vAlign w:val="bottom"/>
            <w:hideMark/>
          </w:tcPr>
          <w:p w14:paraId="551D7753"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1</w:t>
            </w:r>
          </w:p>
        </w:tc>
        <w:tc>
          <w:tcPr>
            <w:tcW w:w="841" w:type="dxa"/>
            <w:shd w:val="clear" w:color="auto" w:fill="auto"/>
            <w:noWrap/>
            <w:vAlign w:val="bottom"/>
            <w:hideMark/>
          </w:tcPr>
          <w:p w14:paraId="667797DF"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0.5133</w:t>
            </w:r>
          </w:p>
        </w:tc>
        <w:tc>
          <w:tcPr>
            <w:tcW w:w="919" w:type="dxa"/>
            <w:shd w:val="clear" w:color="auto" w:fill="auto"/>
            <w:noWrap/>
            <w:vAlign w:val="bottom"/>
            <w:hideMark/>
          </w:tcPr>
          <w:p w14:paraId="150A355C"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0.083</w:t>
            </w:r>
          </w:p>
        </w:tc>
        <w:tc>
          <w:tcPr>
            <w:tcW w:w="1153" w:type="dxa"/>
            <w:shd w:val="clear" w:color="auto" w:fill="auto"/>
            <w:noWrap/>
            <w:vAlign w:val="bottom"/>
            <w:hideMark/>
          </w:tcPr>
          <w:p w14:paraId="43ADBAC0" w14:textId="77777777" w:rsidR="00E76C10" w:rsidRPr="00E76C10" w:rsidRDefault="00E76C10" w:rsidP="00E76C10">
            <w:pPr>
              <w:jc w:val="right"/>
              <w:rPr>
                <w:rFonts w:ascii="Courier New" w:hAnsi="Courier New" w:cs="Courier New"/>
                <w:color w:val="000000"/>
                <w:sz w:val="13"/>
                <w:szCs w:val="13"/>
              </w:rPr>
            </w:pPr>
            <w:r w:rsidRPr="00E76C10">
              <w:rPr>
                <w:rFonts w:ascii="Courier New" w:hAnsi="Courier New" w:cs="Courier New"/>
                <w:color w:val="000000"/>
                <w:sz w:val="13"/>
                <w:szCs w:val="13"/>
              </w:rPr>
              <w:t>0.3421</w:t>
            </w:r>
          </w:p>
        </w:tc>
        <w:tc>
          <w:tcPr>
            <w:tcW w:w="1153" w:type="dxa"/>
            <w:shd w:val="clear" w:color="auto" w:fill="auto"/>
            <w:noWrap/>
            <w:vAlign w:val="bottom"/>
            <w:hideMark/>
          </w:tcPr>
          <w:p w14:paraId="7AE237A8" w14:textId="77777777" w:rsidR="00E76C10" w:rsidRPr="00E76C10" w:rsidRDefault="00E76C10" w:rsidP="00A63CE5">
            <w:pPr>
              <w:keepNext/>
              <w:jc w:val="right"/>
              <w:rPr>
                <w:rFonts w:ascii="Courier New" w:hAnsi="Courier New" w:cs="Courier New"/>
                <w:color w:val="000000"/>
                <w:sz w:val="13"/>
                <w:szCs w:val="13"/>
              </w:rPr>
            </w:pPr>
            <w:r w:rsidRPr="00E76C10">
              <w:rPr>
                <w:rFonts w:ascii="Courier New" w:hAnsi="Courier New" w:cs="Courier New"/>
                <w:color w:val="000000"/>
                <w:sz w:val="13"/>
                <w:szCs w:val="13"/>
              </w:rPr>
              <w:t>0.6606</w:t>
            </w:r>
          </w:p>
        </w:tc>
      </w:tr>
    </w:tbl>
    <w:p w14:paraId="4E0409A2" w14:textId="77777777" w:rsidR="00D87EB8" w:rsidRDefault="00D87EB8" w:rsidP="000C60D9">
      <w:pPr>
        <w:pStyle w:val="Caption"/>
        <w:keepNext/>
        <w:rPr>
          <w:sz w:val="16"/>
          <w:szCs w:val="16"/>
        </w:rPr>
      </w:pPr>
    </w:p>
    <w:p w14:paraId="440BEEA8" w14:textId="40C3531D" w:rsidR="000C60D9" w:rsidRPr="00E451F7" w:rsidRDefault="000C60D9" w:rsidP="000C60D9">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2</w:t>
      </w:r>
      <w:r w:rsidRPr="00E451F7">
        <w:rPr>
          <w:b/>
          <w:bCs/>
          <w:sz w:val="13"/>
          <w:szCs w:val="13"/>
        </w:rPr>
        <w:fldChar w:fldCharType="end"/>
      </w:r>
      <w:r w:rsidRPr="00E451F7">
        <w:rPr>
          <w:b/>
          <w:bCs/>
          <w:sz w:val="13"/>
          <w:szCs w:val="13"/>
        </w:rPr>
        <w:t>: Log-Rank Test of Equality of Survivor Functions by Clinic</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1657"/>
        <w:gridCol w:w="1657"/>
      </w:tblGrid>
      <w:tr w:rsidR="00441D64" w:rsidRPr="001F69A8" w14:paraId="5E91546A" w14:textId="77777777" w:rsidTr="00D87EB8">
        <w:tc>
          <w:tcPr>
            <w:tcW w:w="0" w:type="auto"/>
            <w:tcBorders>
              <w:top w:val="single" w:sz="4" w:space="0" w:color="auto"/>
              <w:bottom w:val="single" w:sz="4" w:space="0" w:color="auto"/>
            </w:tcBorders>
            <w:hideMark/>
          </w:tcPr>
          <w:p w14:paraId="439607AE" w14:textId="77777777" w:rsidR="00441D64" w:rsidRPr="001F69A8" w:rsidRDefault="00441D64">
            <w:pPr>
              <w:pStyle w:val="p1"/>
              <w:jc w:val="center"/>
              <w:rPr>
                <w:rFonts w:ascii="Courier New" w:hAnsi="Courier New" w:cs="Courier New"/>
                <w:b/>
                <w:bCs/>
                <w:sz w:val="16"/>
                <w:szCs w:val="16"/>
              </w:rPr>
            </w:pPr>
            <w:r w:rsidRPr="001F69A8">
              <w:rPr>
                <w:rFonts w:ascii="Courier New" w:hAnsi="Courier New" w:cs="Courier New"/>
                <w:b/>
                <w:bCs/>
                <w:sz w:val="16"/>
                <w:szCs w:val="16"/>
              </w:rPr>
              <w:t>Clinic</w:t>
            </w:r>
          </w:p>
        </w:tc>
        <w:tc>
          <w:tcPr>
            <w:tcW w:w="0" w:type="auto"/>
            <w:tcBorders>
              <w:top w:val="single" w:sz="4" w:space="0" w:color="auto"/>
              <w:bottom w:val="single" w:sz="4" w:space="0" w:color="auto"/>
            </w:tcBorders>
            <w:hideMark/>
          </w:tcPr>
          <w:p w14:paraId="6DB16B89" w14:textId="77777777" w:rsidR="00441D64" w:rsidRPr="001F69A8" w:rsidRDefault="00441D64">
            <w:pPr>
              <w:pStyle w:val="p1"/>
              <w:jc w:val="center"/>
              <w:rPr>
                <w:rFonts w:ascii="Courier New" w:hAnsi="Courier New" w:cs="Courier New"/>
                <w:b/>
                <w:bCs/>
                <w:sz w:val="16"/>
                <w:szCs w:val="16"/>
              </w:rPr>
            </w:pPr>
            <w:r w:rsidRPr="001F69A8">
              <w:rPr>
                <w:rFonts w:ascii="Courier New" w:hAnsi="Courier New" w:cs="Courier New"/>
                <w:b/>
                <w:bCs/>
                <w:sz w:val="16"/>
                <w:szCs w:val="16"/>
              </w:rPr>
              <w:t>Observed Events</w:t>
            </w:r>
          </w:p>
        </w:tc>
        <w:tc>
          <w:tcPr>
            <w:tcW w:w="0" w:type="auto"/>
            <w:tcBorders>
              <w:top w:val="single" w:sz="4" w:space="0" w:color="auto"/>
              <w:bottom w:val="single" w:sz="4" w:space="0" w:color="auto"/>
            </w:tcBorders>
            <w:hideMark/>
          </w:tcPr>
          <w:p w14:paraId="4A7751FE" w14:textId="77777777" w:rsidR="00441D64" w:rsidRPr="001F69A8" w:rsidRDefault="00441D64">
            <w:pPr>
              <w:pStyle w:val="p1"/>
              <w:jc w:val="center"/>
              <w:rPr>
                <w:rFonts w:ascii="Courier New" w:hAnsi="Courier New" w:cs="Courier New"/>
                <w:b/>
                <w:bCs/>
                <w:sz w:val="16"/>
                <w:szCs w:val="16"/>
              </w:rPr>
            </w:pPr>
            <w:r w:rsidRPr="001F69A8">
              <w:rPr>
                <w:rFonts w:ascii="Courier New" w:hAnsi="Courier New" w:cs="Courier New"/>
                <w:b/>
                <w:bCs/>
                <w:sz w:val="16"/>
                <w:szCs w:val="16"/>
              </w:rPr>
              <w:t>Expected Events</w:t>
            </w:r>
          </w:p>
        </w:tc>
      </w:tr>
      <w:tr w:rsidR="001F69A8" w:rsidRPr="001F69A8" w14:paraId="0A8ACF18" w14:textId="77777777" w:rsidTr="00D87EB8">
        <w:tc>
          <w:tcPr>
            <w:tcW w:w="0" w:type="auto"/>
            <w:tcBorders>
              <w:top w:val="single" w:sz="4" w:space="0" w:color="auto"/>
            </w:tcBorders>
            <w:hideMark/>
          </w:tcPr>
          <w:p w14:paraId="086049DE"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1</w:t>
            </w:r>
          </w:p>
        </w:tc>
        <w:tc>
          <w:tcPr>
            <w:tcW w:w="0" w:type="auto"/>
            <w:tcBorders>
              <w:top w:val="single" w:sz="4" w:space="0" w:color="auto"/>
            </w:tcBorders>
            <w:hideMark/>
          </w:tcPr>
          <w:p w14:paraId="70FE7794"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122</w:t>
            </w:r>
          </w:p>
        </w:tc>
        <w:tc>
          <w:tcPr>
            <w:tcW w:w="0" w:type="auto"/>
            <w:tcBorders>
              <w:top w:val="single" w:sz="4" w:space="0" w:color="auto"/>
            </w:tcBorders>
            <w:hideMark/>
          </w:tcPr>
          <w:p w14:paraId="6D3E4FDD"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90.91</w:t>
            </w:r>
          </w:p>
        </w:tc>
      </w:tr>
      <w:tr w:rsidR="00441D64" w:rsidRPr="001F69A8" w14:paraId="6B440524" w14:textId="77777777" w:rsidTr="00D87EB8">
        <w:tc>
          <w:tcPr>
            <w:tcW w:w="0" w:type="auto"/>
            <w:hideMark/>
          </w:tcPr>
          <w:p w14:paraId="0A377E4D"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2</w:t>
            </w:r>
          </w:p>
        </w:tc>
        <w:tc>
          <w:tcPr>
            <w:tcW w:w="0" w:type="auto"/>
            <w:hideMark/>
          </w:tcPr>
          <w:p w14:paraId="0DF4F464"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28</w:t>
            </w:r>
          </w:p>
        </w:tc>
        <w:tc>
          <w:tcPr>
            <w:tcW w:w="0" w:type="auto"/>
            <w:hideMark/>
          </w:tcPr>
          <w:p w14:paraId="09505E73" w14:textId="77777777" w:rsidR="00441D64" w:rsidRPr="001F69A8" w:rsidRDefault="00441D64">
            <w:pPr>
              <w:pStyle w:val="p1"/>
              <w:rPr>
                <w:rFonts w:ascii="Courier New" w:hAnsi="Courier New" w:cs="Courier New"/>
                <w:sz w:val="16"/>
                <w:szCs w:val="16"/>
              </w:rPr>
            </w:pPr>
            <w:r w:rsidRPr="001F69A8">
              <w:rPr>
                <w:rFonts w:ascii="Courier New" w:hAnsi="Courier New" w:cs="Courier New"/>
                <w:sz w:val="16"/>
                <w:szCs w:val="16"/>
              </w:rPr>
              <w:t>59.09</w:t>
            </w:r>
          </w:p>
        </w:tc>
      </w:tr>
      <w:tr w:rsidR="001F69A8" w:rsidRPr="001F69A8" w14:paraId="55485952" w14:textId="77777777" w:rsidTr="00D87EB8">
        <w:tc>
          <w:tcPr>
            <w:tcW w:w="0" w:type="auto"/>
            <w:hideMark/>
          </w:tcPr>
          <w:p w14:paraId="2B862C17" w14:textId="77777777" w:rsidR="00441D64" w:rsidRPr="001F69A8" w:rsidRDefault="00441D64">
            <w:pPr>
              <w:pStyle w:val="p1"/>
              <w:rPr>
                <w:rFonts w:ascii="Courier New" w:hAnsi="Courier New" w:cs="Courier New"/>
                <w:sz w:val="16"/>
                <w:szCs w:val="16"/>
              </w:rPr>
            </w:pPr>
            <w:r w:rsidRPr="001F69A8">
              <w:rPr>
                <w:rFonts w:ascii="Courier New" w:hAnsi="Courier New" w:cs="Courier New"/>
                <w:b/>
                <w:bCs/>
                <w:sz w:val="16"/>
                <w:szCs w:val="16"/>
              </w:rPr>
              <w:t>Total</w:t>
            </w:r>
          </w:p>
        </w:tc>
        <w:tc>
          <w:tcPr>
            <w:tcW w:w="0" w:type="auto"/>
            <w:hideMark/>
          </w:tcPr>
          <w:p w14:paraId="55564B7E" w14:textId="77777777" w:rsidR="00441D64" w:rsidRPr="001F69A8" w:rsidRDefault="00441D64">
            <w:pPr>
              <w:pStyle w:val="p1"/>
              <w:rPr>
                <w:rFonts w:ascii="Courier New" w:hAnsi="Courier New" w:cs="Courier New"/>
                <w:sz w:val="16"/>
                <w:szCs w:val="16"/>
              </w:rPr>
            </w:pPr>
            <w:r w:rsidRPr="001F69A8">
              <w:rPr>
                <w:rFonts w:ascii="Courier New" w:hAnsi="Courier New" w:cs="Courier New"/>
                <w:b/>
                <w:bCs/>
                <w:sz w:val="16"/>
                <w:szCs w:val="16"/>
              </w:rPr>
              <w:t>150</w:t>
            </w:r>
          </w:p>
        </w:tc>
        <w:tc>
          <w:tcPr>
            <w:tcW w:w="0" w:type="auto"/>
            <w:hideMark/>
          </w:tcPr>
          <w:p w14:paraId="6A9AF225" w14:textId="77777777" w:rsidR="00441D64" w:rsidRPr="001F69A8" w:rsidRDefault="00441D64">
            <w:pPr>
              <w:pStyle w:val="p1"/>
              <w:rPr>
                <w:rFonts w:ascii="Courier New" w:hAnsi="Courier New" w:cs="Courier New"/>
                <w:sz w:val="16"/>
                <w:szCs w:val="16"/>
              </w:rPr>
            </w:pPr>
            <w:r w:rsidRPr="001F69A8">
              <w:rPr>
                <w:rFonts w:ascii="Courier New" w:hAnsi="Courier New" w:cs="Courier New"/>
                <w:b/>
                <w:bCs/>
                <w:sz w:val="16"/>
                <w:szCs w:val="16"/>
              </w:rPr>
              <w:t>150.00</w:t>
            </w:r>
          </w:p>
        </w:tc>
      </w:tr>
    </w:tbl>
    <w:p w14:paraId="447AD371" w14:textId="77777777" w:rsidR="0055684E" w:rsidRDefault="0055684E" w:rsidP="0055684E">
      <w:pPr>
        <w:widowControl w:val="0"/>
        <w:jc w:val="both"/>
        <w:rPr>
          <w:rFonts w:ascii="Courier New" w:hAnsi="Courier New" w:cs="Courier New"/>
          <w:sz w:val="16"/>
          <w:szCs w:val="16"/>
        </w:rPr>
      </w:pPr>
    </w:p>
    <w:p w14:paraId="385D74C3" w14:textId="7661476E" w:rsidR="00D87EB8" w:rsidRPr="00E451F7" w:rsidRDefault="00D87EB8" w:rsidP="00D87EB8">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3</w:t>
      </w:r>
      <w:r w:rsidRPr="00E451F7">
        <w:rPr>
          <w:b/>
          <w:bCs/>
          <w:sz w:val="13"/>
          <w:szCs w:val="13"/>
        </w:rPr>
        <w:fldChar w:fldCharType="end"/>
      </w:r>
      <w:r w:rsidRPr="00E451F7">
        <w:rPr>
          <w:b/>
          <w:bCs/>
          <w:sz w:val="13"/>
          <w:szCs w:val="13"/>
        </w:rPr>
        <w:t>: Median Survival Time by Clinic (Months)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505"/>
        <w:gridCol w:w="985"/>
        <w:gridCol w:w="1081"/>
        <w:gridCol w:w="1369"/>
        <w:gridCol w:w="1369"/>
      </w:tblGrid>
      <w:tr w:rsidR="000C60D9" w:rsidRPr="000C60D9" w14:paraId="1BDD979F" w14:textId="77777777" w:rsidTr="00D87EB8">
        <w:tc>
          <w:tcPr>
            <w:tcW w:w="0" w:type="auto"/>
            <w:tcBorders>
              <w:top w:val="single" w:sz="4" w:space="0" w:color="auto"/>
              <w:bottom w:val="single" w:sz="4" w:space="0" w:color="auto"/>
            </w:tcBorders>
            <w:vAlign w:val="center"/>
          </w:tcPr>
          <w:p w14:paraId="2C312B27" w14:textId="6AF180F8"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Clinic</w:t>
            </w:r>
          </w:p>
        </w:tc>
        <w:tc>
          <w:tcPr>
            <w:tcW w:w="0" w:type="auto"/>
            <w:tcBorders>
              <w:top w:val="single" w:sz="4" w:space="0" w:color="auto"/>
              <w:bottom w:val="single" w:sz="4" w:space="0" w:color="auto"/>
            </w:tcBorders>
            <w:vAlign w:val="center"/>
          </w:tcPr>
          <w:p w14:paraId="75515400" w14:textId="4DED9564"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N</w:t>
            </w:r>
          </w:p>
        </w:tc>
        <w:tc>
          <w:tcPr>
            <w:tcW w:w="0" w:type="auto"/>
            <w:tcBorders>
              <w:top w:val="single" w:sz="4" w:space="0" w:color="auto"/>
              <w:bottom w:val="single" w:sz="4" w:space="0" w:color="auto"/>
            </w:tcBorders>
            <w:vAlign w:val="center"/>
          </w:tcPr>
          <w:p w14:paraId="4C10863A" w14:textId="2E88FB5D"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Median</w:t>
            </w:r>
          </w:p>
        </w:tc>
        <w:tc>
          <w:tcPr>
            <w:tcW w:w="0" w:type="auto"/>
            <w:tcBorders>
              <w:top w:val="single" w:sz="4" w:space="0" w:color="auto"/>
              <w:bottom w:val="single" w:sz="4" w:space="0" w:color="auto"/>
            </w:tcBorders>
            <w:vAlign w:val="center"/>
          </w:tcPr>
          <w:p w14:paraId="30FA2D12" w14:textId="581FF70D"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Std. Err.</w:t>
            </w:r>
          </w:p>
        </w:tc>
        <w:tc>
          <w:tcPr>
            <w:tcW w:w="0" w:type="auto"/>
            <w:tcBorders>
              <w:top w:val="single" w:sz="4" w:space="0" w:color="auto"/>
              <w:bottom w:val="single" w:sz="4" w:space="0" w:color="auto"/>
            </w:tcBorders>
            <w:vAlign w:val="center"/>
          </w:tcPr>
          <w:p w14:paraId="089FE8C1" w14:textId="5D558683"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95% CI Lower</w:t>
            </w:r>
          </w:p>
        </w:tc>
        <w:tc>
          <w:tcPr>
            <w:tcW w:w="0" w:type="auto"/>
            <w:tcBorders>
              <w:top w:val="single" w:sz="4" w:space="0" w:color="auto"/>
              <w:bottom w:val="single" w:sz="4" w:space="0" w:color="auto"/>
            </w:tcBorders>
            <w:vAlign w:val="center"/>
          </w:tcPr>
          <w:p w14:paraId="79B0E616" w14:textId="351632CC" w:rsidR="000C60D9" w:rsidRPr="000C60D9" w:rsidRDefault="000C60D9" w:rsidP="000C60D9">
            <w:pPr>
              <w:rPr>
                <w:rFonts w:ascii="Courier New" w:hAnsi="Courier New" w:cs="Courier New"/>
                <w:b/>
                <w:bCs/>
                <w:sz w:val="16"/>
                <w:szCs w:val="16"/>
              </w:rPr>
            </w:pPr>
            <w:r w:rsidRPr="000C60D9">
              <w:rPr>
                <w:rFonts w:ascii="Courier New" w:hAnsi="Courier New" w:cs="Courier New"/>
                <w:b/>
                <w:bCs/>
                <w:sz w:val="16"/>
                <w:szCs w:val="16"/>
              </w:rPr>
              <w:t>95% CI Upper</w:t>
            </w:r>
          </w:p>
        </w:tc>
      </w:tr>
      <w:tr w:rsidR="000C60D9" w:rsidRPr="000C60D9" w14:paraId="14ABA8A6" w14:textId="77777777" w:rsidTr="00D87EB8">
        <w:tc>
          <w:tcPr>
            <w:tcW w:w="0" w:type="auto"/>
            <w:tcBorders>
              <w:top w:val="single" w:sz="4" w:space="0" w:color="auto"/>
            </w:tcBorders>
            <w:vAlign w:val="center"/>
          </w:tcPr>
          <w:p w14:paraId="1F0E757F" w14:textId="2FA78278"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1</w:t>
            </w:r>
          </w:p>
        </w:tc>
        <w:tc>
          <w:tcPr>
            <w:tcW w:w="0" w:type="auto"/>
            <w:tcBorders>
              <w:top w:val="single" w:sz="4" w:space="0" w:color="auto"/>
            </w:tcBorders>
            <w:vAlign w:val="center"/>
          </w:tcPr>
          <w:p w14:paraId="08BE4E99" w14:textId="4844FE93"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163</w:t>
            </w:r>
          </w:p>
        </w:tc>
        <w:tc>
          <w:tcPr>
            <w:tcW w:w="0" w:type="auto"/>
            <w:tcBorders>
              <w:top w:val="single" w:sz="4" w:space="0" w:color="auto"/>
            </w:tcBorders>
            <w:vAlign w:val="center"/>
          </w:tcPr>
          <w:p w14:paraId="07DA05AC" w14:textId="2606AF6B"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14.0616      </w:t>
            </w:r>
          </w:p>
        </w:tc>
        <w:tc>
          <w:tcPr>
            <w:tcW w:w="0" w:type="auto"/>
            <w:tcBorders>
              <w:top w:val="single" w:sz="4" w:space="0" w:color="auto"/>
            </w:tcBorders>
            <w:vAlign w:val="center"/>
          </w:tcPr>
          <w:p w14:paraId="521852E7" w14:textId="13F9D39F"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1.596369      </w:t>
            </w:r>
          </w:p>
        </w:tc>
        <w:tc>
          <w:tcPr>
            <w:tcW w:w="0" w:type="auto"/>
            <w:tcBorders>
              <w:top w:val="single" w:sz="4" w:space="0" w:color="auto"/>
            </w:tcBorders>
            <w:vAlign w:val="center"/>
          </w:tcPr>
          <w:p w14:paraId="0A314356" w14:textId="486EAF67"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11.2033    </w:t>
            </w:r>
          </w:p>
        </w:tc>
        <w:tc>
          <w:tcPr>
            <w:tcW w:w="0" w:type="auto"/>
            <w:tcBorders>
              <w:top w:val="single" w:sz="4" w:space="0" w:color="auto"/>
            </w:tcBorders>
            <w:vAlign w:val="center"/>
          </w:tcPr>
          <w:p w14:paraId="1EF0DE6F" w14:textId="5374FC33"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16.8214</w:t>
            </w:r>
          </w:p>
        </w:tc>
      </w:tr>
      <w:tr w:rsidR="000C60D9" w:rsidRPr="000C60D9" w14:paraId="2F6F860E" w14:textId="77777777" w:rsidTr="00D87EB8">
        <w:tc>
          <w:tcPr>
            <w:tcW w:w="0" w:type="auto"/>
            <w:vAlign w:val="center"/>
          </w:tcPr>
          <w:p w14:paraId="1871B6D5" w14:textId="0731F4D2"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2</w:t>
            </w:r>
          </w:p>
        </w:tc>
        <w:tc>
          <w:tcPr>
            <w:tcW w:w="0" w:type="auto"/>
            <w:vAlign w:val="center"/>
          </w:tcPr>
          <w:p w14:paraId="5D7FCAA4" w14:textId="2289D756"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75</w:t>
            </w:r>
          </w:p>
        </w:tc>
        <w:tc>
          <w:tcPr>
            <w:tcW w:w="0" w:type="auto"/>
            <w:vAlign w:val="center"/>
          </w:tcPr>
          <w:p w14:paraId="0A8DD770" w14:textId="1D16B6D1"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w:t>
            </w:r>
          </w:p>
        </w:tc>
        <w:tc>
          <w:tcPr>
            <w:tcW w:w="0" w:type="auto"/>
            <w:vAlign w:val="center"/>
          </w:tcPr>
          <w:p w14:paraId="7E8E9FB4" w14:textId="0B7028BA"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w:t>
            </w:r>
          </w:p>
        </w:tc>
        <w:tc>
          <w:tcPr>
            <w:tcW w:w="0" w:type="auto"/>
            <w:vAlign w:val="center"/>
          </w:tcPr>
          <w:p w14:paraId="4091A930" w14:textId="13A3F2CA"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21.7166          </w:t>
            </w:r>
          </w:p>
        </w:tc>
        <w:tc>
          <w:tcPr>
            <w:tcW w:w="0" w:type="auto"/>
            <w:vAlign w:val="center"/>
          </w:tcPr>
          <w:p w14:paraId="2F146663" w14:textId="1D63C1FC"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w:t>
            </w:r>
          </w:p>
        </w:tc>
      </w:tr>
      <w:tr w:rsidR="000C60D9" w:rsidRPr="000C60D9" w14:paraId="324545BE" w14:textId="77777777" w:rsidTr="00D87EB8">
        <w:tc>
          <w:tcPr>
            <w:tcW w:w="0" w:type="auto"/>
            <w:vAlign w:val="center"/>
          </w:tcPr>
          <w:p w14:paraId="616C24E8" w14:textId="1715A303"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Total</w:t>
            </w:r>
          </w:p>
        </w:tc>
        <w:tc>
          <w:tcPr>
            <w:tcW w:w="0" w:type="auto"/>
            <w:vAlign w:val="center"/>
          </w:tcPr>
          <w:p w14:paraId="0CD0C5C1" w14:textId="341B61FD"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238</w:t>
            </w:r>
          </w:p>
        </w:tc>
        <w:tc>
          <w:tcPr>
            <w:tcW w:w="0" w:type="auto"/>
            <w:vAlign w:val="center"/>
          </w:tcPr>
          <w:p w14:paraId="403F3F0D" w14:textId="09193D76"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16.55852       </w:t>
            </w:r>
          </w:p>
        </w:tc>
        <w:tc>
          <w:tcPr>
            <w:tcW w:w="0" w:type="auto"/>
            <w:vAlign w:val="center"/>
          </w:tcPr>
          <w:p w14:paraId="5562A991" w14:textId="31049A1C"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1.09238      </w:t>
            </w:r>
          </w:p>
        </w:tc>
        <w:tc>
          <w:tcPr>
            <w:tcW w:w="0" w:type="auto"/>
            <w:vAlign w:val="center"/>
          </w:tcPr>
          <w:p w14:paraId="45100355" w14:textId="4844F15D"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 xml:space="preserve">12.9446    </w:t>
            </w:r>
          </w:p>
        </w:tc>
        <w:tc>
          <w:tcPr>
            <w:tcW w:w="0" w:type="auto"/>
            <w:vAlign w:val="center"/>
          </w:tcPr>
          <w:p w14:paraId="125C9DB0" w14:textId="3C840CD7" w:rsidR="000C60D9" w:rsidRPr="000C60D9" w:rsidRDefault="000C60D9" w:rsidP="000C60D9">
            <w:pPr>
              <w:rPr>
                <w:rFonts w:ascii="Courier New" w:hAnsi="Courier New" w:cs="Courier New"/>
                <w:sz w:val="16"/>
                <w:szCs w:val="16"/>
              </w:rPr>
            </w:pPr>
            <w:r w:rsidRPr="000C60D9">
              <w:rPr>
                <w:rFonts w:ascii="Courier New" w:hAnsi="Courier New" w:cs="Courier New"/>
                <w:sz w:val="16"/>
                <w:szCs w:val="16"/>
              </w:rPr>
              <w:t>18.0698</w:t>
            </w:r>
          </w:p>
        </w:tc>
      </w:tr>
    </w:tbl>
    <w:p w14:paraId="530CF8B2" w14:textId="77777777" w:rsidR="0055684E" w:rsidRPr="0055684E" w:rsidRDefault="0055684E" w:rsidP="0055684E"/>
    <w:p w14:paraId="68182963" w14:textId="29ED4D2D" w:rsidR="006C0263" w:rsidRPr="00E451F7" w:rsidRDefault="006C0263" w:rsidP="006C0263">
      <w:pPr>
        <w:pStyle w:val="Caption"/>
        <w:keepNext/>
        <w:rPr>
          <w:b/>
          <w:bCs/>
          <w:sz w:val="13"/>
          <w:szCs w:val="13"/>
        </w:rPr>
      </w:pPr>
      <w:r w:rsidRPr="00E451F7">
        <w:rPr>
          <w:b/>
          <w:bCs/>
          <w:sz w:val="13"/>
          <w:szCs w:val="13"/>
        </w:rPr>
        <w:t xml:space="preserve">Figure </w:t>
      </w:r>
      <w:r w:rsidRPr="00E451F7">
        <w:rPr>
          <w:b/>
          <w:bCs/>
          <w:sz w:val="13"/>
          <w:szCs w:val="13"/>
        </w:rPr>
        <w:fldChar w:fldCharType="begin"/>
      </w:r>
      <w:r w:rsidRPr="00E451F7">
        <w:rPr>
          <w:b/>
          <w:bCs/>
          <w:sz w:val="13"/>
          <w:szCs w:val="13"/>
        </w:rPr>
        <w:instrText xml:space="preserve"> SEQ Figure \* ARABIC </w:instrText>
      </w:r>
      <w:r w:rsidRPr="00E451F7">
        <w:rPr>
          <w:b/>
          <w:bCs/>
          <w:sz w:val="13"/>
          <w:szCs w:val="13"/>
        </w:rPr>
        <w:fldChar w:fldCharType="separate"/>
      </w:r>
      <w:r w:rsidR="00E451F7" w:rsidRPr="00E451F7">
        <w:rPr>
          <w:b/>
          <w:bCs/>
          <w:noProof/>
          <w:sz w:val="13"/>
          <w:szCs w:val="13"/>
        </w:rPr>
        <w:t>1</w:t>
      </w:r>
      <w:r w:rsidRPr="00E451F7">
        <w:rPr>
          <w:b/>
          <w:bCs/>
          <w:sz w:val="13"/>
          <w:szCs w:val="13"/>
        </w:rPr>
        <w:fldChar w:fldCharType="end"/>
      </w:r>
      <w:r w:rsidRPr="00E451F7">
        <w:rPr>
          <w:b/>
          <w:bCs/>
          <w:sz w:val="13"/>
          <w:szCs w:val="13"/>
        </w:rPr>
        <w:t>: Kaplan-Meier survival curve</w:t>
      </w:r>
    </w:p>
    <w:p w14:paraId="2A8187B1" w14:textId="09E6C5FB" w:rsidR="004A225E" w:rsidRPr="00281339" w:rsidRDefault="004A225E" w:rsidP="00281339">
      <w:pPr>
        <w:spacing w:before="100" w:beforeAutospacing="1" w:after="100" w:afterAutospacing="1"/>
        <w:outlineLvl w:val="2"/>
        <w:rPr>
          <w:szCs w:val="22"/>
        </w:rPr>
      </w:pPr>
      <w:r w:rsidRPr="009F2497">
        <w:rPr>
          <w:noProof/>
          <w:szCs w:val="22"/>
        </w:rPr>
        <w:drawing>
          <wp:inline distT="0" distB="0" distL="0" distR="0" wp14:anchorId="7545D1EC" wp14:editId="12933D3A">
            <wp:extent cx="3017520" cy="1810512"/>
            <wp:effectExtent l="0" t="0" r="5080" b="5715"/>
            <wp:docPr id="177103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31930" name=""/>
                    <pic:cNvPicPr/>
                  </pic:nvPicPr>
                  <pic:blipFill>
                    <a:blip r:embed="rId7"/>
                    <a:stretch>
                      <a:fillRect/>
                    </a:stretch>
                  </pic:blipFill>
                  <pic:spPr>
                    <a:xfrm>
                      <a:off x="0" y="0"/>
                      <a:ext cx="3017520" cy="1810512"/>
                    </a:xfrm>
                    <a:prstGeom prst="rect">
                      <a:avLst/>
                    </a:prstGeom>
                  </pic:spPr>
                </pic:pic>
              </a:graphicData>
            </a:graphic>
          </wp:inline>
        </w:drawing>
      </w:r>
    </w:p>
    <w:p w14:paraId="1EAF771C" w14:textId="51FA5819" w:rsidR="00206196" w:rsidRPr="003D098B" w:rsidRDefault="003D098B" w:rsidP="003D098B">
      <w:pPr>
        <w:spacing w:line="480" w:lineRule="auto"/>
        <w:jc w:val="both"/>
        <w:rPr>
          <w:sz w:val="22"/>
          <w:szCs w:val="22"/>
        </w:rPr>
      </w:pPr>
      <w:r w:rsidRPr="003D098B">
        <w:rPr>
          <w:sz w:val="22"/>
          <w:szCs w:val="22"/>
        </w:rPr>
        <w:t>We fit a Cox proportional-hazards model</w:t>
      </w:r>
      <w:r w:rsidR="00317749">
        <w:rPr>
          <w:sz w:val="22"/>
          <w:szCs w:val="22"/>
        </w:rPr>
        <w:t xml:space="preserve"> </w:t>
      </w:r>
      <w:r w:rsidRPr="003D098B">
        <w:rPr>
          <w:sz w:val="22"/>
          <w:szCs w:val="22"/>
        </w:rPr>
        <w:t>with clinic, prior incarceration, and methadone dose (per mg) as predictors of time to drop-out.</w:t>
      </w:r>
      <w:r w:rsidRPr="003D098B">
        <w:rPr>
          <w:rFonts w:eastAsiaTheme="majorEastAsia"/>
          <w:sz w:val="22"/>
          <w:szCs w:val="22"/>
        </w:rPr>
        <w:t> </w:t>
      </w:r>
      <w:r w:rsidR="003A0682" w:rsidRPr="00E451F7">
        <w:rPr>
          <w:rFonts w:eastAsiaTheme="majorEastAsia"/>
          <w:sz w:val="22"/>
          <w:szCs w:val="22"/>
        </w:rPr>
        <w:t>See</w:t>
      </w:r>
      <w:r w:rsidR="003A0682" w:rsidRPr="00E451F7">
        <w:rPr>
          <w:rFonts w:eastAsiaTheme="majorEastAsia"/>
          <w:sz w:val="22"/>
          <w:szCs w:val="22"/>
        </w:rPr>
        <w:t>n in</w:t>
      </w:r>
      <w:r w:rsidR="003A0682" w:rsidRPr="00E451F7">
        <w:rPr>
          <w:rFonts w:eastAsiaTheme="majorEastAsia"/>
          <w:sz w:val="22"/>
          <w:szCs w:val="22"/>
        </w:rPr>
        <w:t xml:space="preserve"> table </w:t>
      </w:r>
      <w:r w:rsidR="003A0682" w:rsidRPr="00E451F7">
        <w:rPr>
          <w:rFonts w:eastAsiaTheme="majorEastAsia"/>
          <w:sz w:val="22"/>
          <w:szCs w:val="22"/>
        </w:rPr>
        <w:t>4</w:t>
      </w:r>
      <w:r w:rsidR="003A0682">
        <w:rPr>
          <w:rFonts w:eastAsiaTheme="majorEastAsia"/>
          <w:sz w:val="22"/>
          <w:szCs w:val="22"/>
        </w:rPr>
        <w:t>,</w:t>
      </w:r>
      <w:r w:rsidRPr="003D098B">
        <w:rPr>
          <w:rFonts w:eastAsiaTheme="majorEastAsia"/>
          <w:sz w:val="22"/>
          <w:szCs w:val="22"/>
        </w:rPr>
        <w:t xml:space="preserve"> </w:t>
      </w:r>
      <w:r w:rsidR="00E451F7">
        <w:rPr>
          <w:sz w:val="22"/>
          <w:szCs w:val="22"/>
        </w:rPr>
        <w:t>t</w:t>
      </w:r>
      <w:r w:rsidRPr="003D098B">
        <w:rPr>
          <w:sz w:val="22"/>
          <w:szCs w:val="22"/>
        </w:rPr>
        <w:t>he global likelihood-ratio test was highly significant (LR χ²₃ = 64.56, p &lt; 0.001), indicating the model improves substantially over a null model.</w:t>
      </w:r>
      <w:r w:rsidRPr="003D098B">
        <w:rPr>
          <w:rFonts w:eastAsiaTheme="majorEastAsia"/>
          <w:sz w:val="22"/>
          <w:szCs w:val="22"/>
        </w:rPr>
        <w:t xml:space="preserve">  </w:t>
      </w:r>
      <w:r w:rsidRPr="003D098B">
        <w:rPr>
          <w:sz w:val="22"/>
          <w:szCs w:val="22"/>
        </w:rPr>
        <w:t>Patients in the maintenance-oriented clinic (Clinic 2) had a 63.6% lower instantaneous risk of dropping out compared with the abstinence-oriented clinic (HR = 0.364, 95% CI 0.239–0.555, p &lt; 0.001).</w:t>
      </w:r>
      <w:r w:rsidRPr="003D098B">
        <w:rPr>
          <w:rFonts w:eastAsiaTheme="majorEastAsia"/>
          <w:sz w:val="22"/>
          <w:szCs w:val="22"/>
        </w:rPr>
        <w:t xml:space="preserve">  </w:t>
      </w:r>
      <w:r w:rsidRPr="003D098B">
        <w:rPr>
          <w:sz w:val="22"/>
          <w:szCs w:val="22"/>
        </w:rPr>
        <w:t>A history of incarceration was associated with a 38.6 % higher hazard (HR = 1.386, 95% CI 0.999–1.924, p = 0.051), and each additional milligram of maximum dose conferred a 3.5% reduction in risk (HR = 0.965, 95% CI 0.953–0.977, p &lt; 0.001).</w:t>
      </w:r>
      <w:r w:rsidRPr="003D098B">
        <w:rPr>
          <w:rFonts w:eastAsiaTheme="majorEastAsia"/>
          <w:sz w:val="22"/>
          <w:szCs w:val="22"/>
        </w:rPr>
        <w:t xml:space="preserve">  </w:t>
      </w:r>
      <w:r w:rsidR="003A0682">
        <w:rPr>
          <w:rFonts w:eastAsiaTheme="majorEastAsia"/>
          <w:sz w:val="22"/>
          <w:szCs w:val="22"/>
        </w:rPr>
        <w:t>As s</w:t>
      </w:r>
      <w:r w:rsidR="003574E1">
        <w:rPr>
          <w:rFonts w:eastAsiaTheme="majorEastAsia"/>
          <w:sz w:val="22"/>
          <w:szCs w:val="22"/>
        </w:rPr>
        <w:t>hown in table 5,</w:t>
      </w:r>
      <w:r w:rsidR="00294747">
        <w:rPr>
          <w:rFonts w:eastAsiaTheme="majorEastAsia"/>
          <w:sz w:val="22"/>
          <w:szCs w:val="22"/>
        </w:rPr>
        <w:t xml:space="preserve"> </w:t>
      </w:r>
      <w:r w:rsidRPr="003D098B">
        <w:rPr>
          <w:sz w:val="22"/>
          <w:szCs w:val="22"/>
        </w:rPr>
        <w:t>Schoenfeld residual tests flagged a significant time dependence for clinic (ρ = –0.264, χ²₁ = 11.73, p = 0.0006) and overall nonproportionality (global χ²₃ = 12.99, p = 0.0047), suggesting that the relative advantage of Clinic 2 changes over the observation period and warrant</w:t>
      </w:r>
      <w:r w:rsidR="00294747">
        <w:rPr>
          <w:sz w:val="22"/>
          <w:szCs w:val="22"/>
        </w:rPr>
        <w:t>s</w:t>
      </w:r>
      <w:r w:rsidRPr="003D098B">
        <w:rPr>
          <w:sz w:val="22"/>
          <w:szCs w:val="22"/>
        </w:rPr>
        <w:t xml:space="preserve"> the piecewise-exponential follow-up analysis.</w:t>
      </w:r>
    </w:p>
    <w:p w14:paraId="7490BCE9" w14:textId="6ED9006F" w:rsidR="00CA5197" w:rsidRPr="00E451F7" w:rsidRDefault="00CA5197" w:rsidP="00CA5197">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4</w:t>
      </w:r>
      <w:r w:rsidRPr="00E451F7">
        <w:rPr>
          <w:b/>
          <w:bCs/>
          <w:sz w:val="13"/>
          <w:szCs w:val="13"/>
        </w:rPr>
        <w:fldChar w:fldCharType="end"/>
      </w:r>
      <w:r w:rsidRPr="00E451F7">
        <w:rPr>
          <w:b/>
          <w:bCs/>
          <w:sz w:val="13"/>
          <w:szCs w:val="13"/>
        </w:rPr>
        <w:t>: Cox Proportional-Hazards Regression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297"/>
        <w:gridCol w:w="1027"/>
        <w:gridCol w:w="667"/>
        <w:gridCol w:w="1027"/>
        <w:gridCol w:w="1297"/>
        <w:gridCol w:w="1297"/>
      </w:tblGrid>
      <w:tr w:rsidR="00845C8F" w:rsidRPr="00845C8F" w14:paraId="75A2B128" w14:textId="77777777" w:rsidTr="00CA5197">
        <w:tc>
          <w:tcPr>
            <w:tcW w:w="0" w:type="auto"/>
            <w:tcBorders>
              <w:top w:val="single" w:sz="4" w:space="0" w:color="auto"/>
              <w:bottom w:val="single" w:sz="4" w:space="0" w:color="auto"/>
            </w:tcBorders>
            <w:vAlign w:val="center"/>
          </w:tcPr>
          <w:p w14:paraId="4CF4DE7D" w14:textId="6285F104" w:rsidR="00845C8F" w:rsidRPr="007871F8" w:rsidRDefault="00845C8F" w:rsidP="00845C8F">
            <w:pPr>
              <w:rPr>
                <w:rFonts w:ascii="Courier New" w:hAnsi="Courier New" w:cs="Courier New"/>
                <w:sz w:val="15"/>
                <w:szCs w:val="15"/>
              </w:rPr>
            </w:pPr>
            <w:r w:rsidRPr="007871F8">
              <w:rPr>
                <w:rFonts w:ascii="Courier New" w:hAnsi="Courier New" w:cs="Courier New"/>
                <w:sz w:val="15"/>
                <w:szCs w:val="15"/>
              </w:rPr>
              <w:t>Predictor</w:t>
            </w:r>
          </w:p>
        </w:tc>
        <w:tc>
          <w:tcPr>
            <w:tcW w:w="0" w:type="auto"/>
            <w:tcBorders>
              <w:top w:val="single" w:sz="4" w:space="0" w:color="auto"/>
              <w:bottom w:val="single" w:sz="4" w:space="0" w:color="auto"/>
            </w:tcBorders>
            <w:vAlign w:val="center"/>
          </w:tcPr>
          <w:p w14:paraId="69084A9B" w14:textId="477C1DBD"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Hazard Ratio</w:t>
            </w:r>
          </w:p>
        </w:tc>
        <w:tc>
          <w:tcPr>
            <w:tcW w:w="0" w:type="auto"/>
            <w:tcBorders>
              <w:top w:val="single" w:sz="4" w:space="0" w:color="auto"/>
              <w:bottom w:val="single" w:sz="4" w:space="0" w:color="auto"/>
            </w:tcBorders>
            <w:vAlign w:val="center"/>
          </w:tcPr>
          <w:p w14:paraId="7E231D68" w14:textId="7F8DBC17"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Std. Err.</w:t>
            </w:r>
          </w:p>
        </w:tc>
        <w:tc>
          <w:tcPr>
            <w:tcW w:w="0" w:type="auto"/>
            <w:tcBorders>
              <w:top w:val="single" w:sz="4" w:space="0" w:color="auto"/>
              <w:bottom w:val="single" w:sz="4" w:space="0" w:color="auto"/>
            </w:tcBorders>
            <w:vAlign w:val="center"/>
          </w:tcPr>
          <w:p w14:paraId="242C1DB6" w14:textId="7B75B5CA"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z</w:t>
            </w:r>
          </w:p>
        </w:tc>
        <w:tc>
          <w:tcPr>
            <w:tcW w:w="0" w:type="auto"/>
            <w:tcBorders>
              <w:top w:val="single" w:sz="4" w:space="0" w:color="auto"/>
              <w:bottom w:val="single" w:sz="4" w:space="0" w:color="auto"/>
            </w:tcBorders>
            <w:vAlign w:val="center"/>
          </w:tcPr>
          <w:p w14:paraId="4B7C9D6B" w14:textId="6DCBF4C0"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P-value</w:t>
            </w:r>
          </w:p>
        </w:tc>
        <w:tc>
          <w:tcPr>
            <w:tcW w:w="0" w:type="auto"/>
            <w:tcBorders>
              <w:top w:val="single" w:sz="4" w:space="0" w:color="auto"/>
              <w:bottom w:val="single" w:sz="4" w:space="0" w:color="auto"/>
            </w:tcBorders>
            <w:vAlign w:val="center"/>
          </w:tcPr>
          <w:p w14:paraId="06AFE499" w14:textId="44795905"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95% CI Lower</w:t>
            </w:r>
          </w:p>
        </w:tc>
        <w:tc>
          <w:tcPr>
            <w:tcW w:w="0" w:type="auto"/>
            <w:tcBorders>
              <w:top w:val="single" w:sz="4" w:space="0" w:color="auto"/>
              <w:bottom w:val="single" w:sz="4" w:space="0" w:color="auto"/>
            </w:tcBorders>
            <w:vAlign w:val="center"/>
          </w:tcPr>
          <w:p w14:paraId="24E16314" w14:textId="7E58E49D" w:rsidR="00845C8F" w:rsidRPr="00845C8F" w:rsidRDefault="00845C8F" w:rsidP="00845C8F">
            <w:pPr>
              <w:rPr>
                <w:rFonts w:ascii="Courier New" w:hAnsi="Courier New" w:cs="Courier New"/>
                <w:sz w:val="15"/>
                <w:szCs w:val="15"/>
              </w:rPr>
            </w:pPr>
            <w:r w:rsidRPr="00845C8F">
              <w:rPr>
                <w:rFonts w:ascii="Courier New" w:hAnsi="Courier New" w:cs="Courier New"/>
                <w:b/>
                <w:bCs/>
                <w:sz w:val="15"/>
                <w:szCs w:val="15"/>
              </w:rPr>
              <w:t>95% CI Upper</w:t>
            </w:r>
          </w:p>
        </w:tc>
      </w:tr>
      <w:tr w:rsidR="00845C8F" w:rsidRPr="00845C8F" w14:paraId="5EBD822D" w14:textId="77777777" w:rsidTr="00CA5197">
        <w:tc>
          <w:tcPr>
            <w:tcW w:w="0" w:type="auto"/>
            <w:tcBorders>
              <w:top w:val="single" w:sz="4" w:space="0" w:color="auto"/>
            </w:tcBorders>
            <w:vAlign w:val="center"/>
          </w:tcPr>
          <w:p w14:paraId="7D7342E3" w14:textId="33474609" w:rsidR="00845C8F" w:rsidRPr="007871F8" w:rsidRDefault="00845C8F" w:rsidP="00845C8F">
            <w:pPr>
              <w:rPr>
                <w:rFonts w:ascii="Courier New" w:hAnsi="Courier New" w:cs="Courier New"/>
                <w:sz w:val="15"/>
                <w:szCs w:val="15"/>
              </w:rPr>
            </w:pPr>
            <w:r w:rsidRPr="007871F8">
              <w:rPr>
                <w:rFonts w:ascii="Courier New" w:hAnsi="Courier New" w:cs="Courier New"/>
                <w:sz w:val="15"/>
                <w:szCs w:val="15"/>
              </w:rPr>
              <w:t>2.clinic</w:t>
            </w:r>
          </w:p>
        </w:tc>
        <w:tc>
          <w:tcPr>
            <w:tcW w:w="0" w:type="auto"/>
            <w:tcBorders>
              <w:top w:val="single" w:sz="4" w:space="0" w:color="auto"/>
            </w:tcBorders>
            <w:vAlign w:val="center"/>
          </w:tcPr>
          <w:p w14:paraId="49DA0C4E" w14:textId="5056896E"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0.3642569</w:t>
            </w:r>
          </w:p>
        </w:tc>
        <w:tc>
          <w:tcPr>
            <w:tcW w:w="0" w:type="auto"/>
            <w:tcBorders>
              <w:top w:val="single" w:sz="4" w:space="0" w:color="auto"/>
            </w:tcBorders>
            <w:vAlign w:val="center"/>
          </w:tcPr>
          <w:p w14:paraId="4D16E055" w14:textId="22E329B6"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0.0782749</w:t>
            </w:r>
          </w:p>
        </w:tc>
        <w:tc>
          <w:tcPr>
            <w:tcW w:w="0" w:type="auto"/>
            <w:tcBorders>
              <w:top w:val="single" w:sz="4" w:space="0" w:color="auto"/>
            </w:tcBorders>
            <w:vAlign w:val="center"/>
          </w:tcPr>
          <w:p w14:paraId="01A8E81C" w14:textId="7FC40268"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–4.70</w:t>
            </w:r>
          </w:p>
        </w:tc>
        <w:tc>
          <w:tcPr>
            <w:tcW w:w="0" w:type="auto"/>
            <w:tcBorders>
              <w:top w:val="single" w:sz="4" w:space="0" w:color="auto"/>
            </w:tcBorders>
            <w:vAlign w:val="center"/>
          </w:tcPr>
          <w:p w14:paraId="47DD3BBC" w14:textId="7EC2EFAF"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&lt;0.001</w:t>
            </w:r>
            <w:r w:rsidR="00E54FA7">
              <w:rPr>
                <w:rFonts w:ascii="Courier New" w:hAnsi="Courier New" w:cs="Courier New"/>
                <w:sz w:val="15"/>
                <w:szCs w:val="15"/>
              </w:rPr>
              <w:t>***</w:t>
            </w:r>
          </w:p>
        </w:tc>
        <w:tc>
          <w:tcPr>
            <w:tcW w:w="0" w:type="auto"/>
            <w:tcBorders>
              <w:top w:val="single" w:sz="4" w:space="0" w:color="auto"/>
            </w:tcBorders>
            <w:vAlign w:val="center"/>
          </w:tcPr>
          <w:p w14:paraId="0D4972AB" w14:textId="34D641F5"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0.2390527</w:t>
            </w:r>
          </w:p>
        </w:tc>
        <w:tc>
          <w:tcPr>
            <w:tcW w:w="0" w:type="auto"/>
            <w:tcBorders>
              <w:top w:val="single" w:sz="4" w:space="0" w:color="auto"/>
            </w:tcBorders>
            <w:vAlign w:val="center"/>
          </w:tcPr>
          <w:p w14:paraId="55C0C11E" w14:textId="1AAD157E"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0.555037</w:t>
            </w:r>
          </w:p>
        </w:tc>
      </w:tr>
      <w:tr w:rsidR="00845C8F" w:rsidRPr="00845C8F" w14:paraId="7C7B4AB9" w14:textId="77777777" w:rsidTr="00CA5197">
        <w:tc>
          <w:tcPr>
            <w:tcW w:w="0" w:type="auto"/>
            <w:vAlign w:val="center"/>
          </w:tcPr>
          <w:p w14:paraId="2737CFDE" w14:textId="7D1E532B" w:rsidR="00845C8F" w:rsidRPr="007871F8" w:rsidRDefault="00845C8F" w:rsidP="00845C8F">
            <w:pPr>
              <w:rPr>
                <w:rFonts w:ascii="Courier New" w:hAnsi="Courier New" w:cs="Courier New"/>
                <w:sz w:val="15"/>
                <w:szCs w:val="15"/>
              </w:rPr>
            </w:pPr>
            <w:r w:rsidRPr="007871F8">
              <w:rPr>
                <w:rFonts w:ascii="Courier New" w:hAnsi="Courier New" w:cs="Courier New"/>
                <w:sz w:val="15"/>
                <w:szCs w:val="15"/>
              </w:rPr>
              <w:t>prison</w:t>
            </w:r>
          </w:p>
        </w:tc>
        <w:tc>
          <w:tcPr>
            <w:tcW w:w="0" w:type="auto"/>
            <w:vAlign w:val="center"/>
          </w:tcPr>
          <w:p w14:paraId="232E311F" w14:textId="0F699501"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1.386184</w:t>
            </w:r>
          </w:p>
        </w:tc>
        <w:tc>
          <w:tcPr>
            <w:tcW w:w="0" w:type="auto"/>
            <w:vAlign w:val="center"/>
          </w:tcPr>
          <w:p w14:paraId="3E1F31F4" w14:textId="60860EEB"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0.2318044</w:t>
            </w:r>
          </w:p>
        </w:tc>
        <w:tc>
          <w:tcPr>
            <w:tcW w:w="0" w:type="auto"/>
            <w:vAlign w:val="center"/>
          </w:tcPr>
          <w:p w14:paraId="4DCC2040" w14:textId="11F7391F"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1.95</w:t>
            </w:r>
          </w:p>
        </w:tc>
        <w:tc>
          <w:tcPr>
            <w:tcW w:w="0" w:type="auto"/>
            <w:vAlign w:val="center"/>
          </w:tcPr>
          <w:p w14:paraId="2AFE2373" w14:textId="54571561"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0.051</w:t>
            </w:r>
          </w:p>
        </w:tc>
        <w:tc>
          <w:tcPr>
            <w:tcW w:w="0" w:type="auto"/>
            <w:vAlign w:val="center"/>
          </w:tcPr>
          <w:p w14:paraId="72A2B157" w14:textId="2BDC1024"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0.9988011</w:t>
            </w:r>
          </w:p>
        </w:tc>
        <w:tc>
          <w:tcPr>
            <w:tcW w:w="0" w:type="auto"/>
            <w:vAlign w:val="center"/>
          </w:tcPr>
          <w:p w14:paraId="667A4A25" w14:textId="3464101E"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1.923814</w:t>
            </w:r>
          </w:p>
        </w:tc>
      </w:tr>
      <w:tr w:rsidR="00845C8F" w:rsidRPr="00845C8F" w14:paraId="1C70A368" w14:textId="77777777" w:rsidTr="00CA5197">
        <w:tc>
          <w:tcPr>
            <w:tcW w:w="0" w:type="auto"/>
            <w:vAlign w:val="center"/>
          </w:tcPr>
          <w:p w14:paraId="20EEA0E2" w14:textId="7DCB1CF8" w:rsidR="00845C8F" w:rsidRPr="007871F8" w:rsidRDefault="00845C8F" w:rsidP="00845C8F">
            <w:pPr>
              <w:rPr>
                <w:rFonts w:ascii="Courier New" w:hAnsi="Courier New" w:cs="Courier New"/>
                <w:sz w:val="15"/>
                <w:szCs w:val="15"/>
              </w:rPr>
            </w:pPr>
            <w:r w:rsidRPr="007871F8">
              <w:rPr>
                <w:rFonts w:ascii="Courier New" w:hAnsi="Courier New" w:cs="Courier New"/>
                <w:sz w:val="15"/>
                <w:szCs w:val="15"/>
              </w:rPr>
              <w:t>dose</w:t>
            </w:r>
          </w:p>
        </w:tc>
        <w:tc>
          <w:tcPr>
            <w:tcW w:w="0" w:type="auto"/>
            <w:vAlign w:val="center"/>
          </w:tcPr>
          <w:p w14:paraId="7D9EB35F" w14:textId="742360A2"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0.9652489</w:t>
            </w:r>
          </w:p>
        </w:tc>
        <w:tc>
          <w:tcPr>
            <w:tcW w:w="0" w:type="auto"/>
            <w:vAlign w:val="center"/>
          </w:tcPr>
          <w:p w14:paraId="4C544955" w14:textId="0C3F2183"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0.0061573</w:t>
            </w:r>
          </w:p>
        </w:tc>
        <w:tc>
          <w:tcPr>
            <w:tcW w:w="0" w:type="auto"/>
            <w:vAlign w:val="center"/>
          </w:tcPr>
          <w:p w14:paraId="588E2B74" w14:textId="6CF55F67"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–5.54</w:t>
            </w:r>
          </w:p>
        </w:tc>
        <w:tc>
          <w:tcPr>
            <w:tcW w:w="0" w:type="auto"/>
            <w:vAlign w:val="center"/>
          </w:tcPr>
          <w:p w14:paraId="6125D85B" w14:textId="65252A75"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&lt;0.001</w:t>
            </w:r>
            <w:r w:rsidR="00E54FA7">
              <w:rPr>
                <w:rFonts w:ascii="Courier New" w:hAnsi="Courier New" w:cs="Courier New"/>
                <w:sz w:val="15"/>
                <w:szCs w:val="15"/>
              </w:rPr>
              <w:t>***</w:t>
            </w:r>
          </w:p>
        </w:tc>
        <w:tc>
          <w:tcPr>
            <w:tcW w:w="0" w:type="auto"/>
            <w:vAlign w:val="center"/>
          </w:tcPr>
          <w:p w14:paraId="03EA0563" w14:textId="3CAD29C3"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0.9532561</w:t>
            </w:r>
          </w:p>
        </w:tc>
        <w:tc>
          <w:tcPr>
            <w:tcW w:w="0" w:type="auto"/>
            <w:vAlign w:val="center"/>
          </w:tcPr>
          <w:p w14:paraId="43DD50C6" w14:textId="5A27E206" w:rsidR="00845C8F" w:rsidRPr="00845C8F" w:rsidRDefault="00845C8F" w:rsidP="00845C8F">
            <w:pPr>
              <w:rPr>
                <w:rFonts w:ascii="Courier New" w:hAnsi="Courier New" w:cs="Courier New"/>
                <w:sz w:val="15"/>
                <w:szCs w:val="15"/>
              </w:rPr>
            </w:pPr>
            <w:r w:rsidRPr="00845C8F">
              <w:rPr>
                <w:rFonts w:ascii="Courier New" w:hAnsi="Courier New" w:cs="Courier New"/>
                <w:sz w:val="15"/>
                <w:szCs w:val="15"/>
              </w:rPr>
              <w:t>0.9773927</w:t>
            </w:r>
          </w:p>
        </w:tc>
      </w:tr>
    </w:tbl>
    <w:p w14:paraId="71D5F22A" w14:textId="77777777" w:rsidR="00582904" w:rsidRDefault="00582904" w:rsidP="00582904">
      <w:pPr>
        <w:rPr>
          <w:rFonts w:ascii="Courier New" w:hAnsi="Courier New" w:cs="Courier New"/>
          <w:sz w:val="16"/>
          <w:szCs w:val="16"/>
        </w:rPr>
      </w:pPr>
    </w:p>
    <w:p w14:paraId="64189C3A" w14:textId="77777777" w:rsidR="00845C8F" w:rsidRDefault="00845C8F" w:rsidP="00582904">
      <w:pPr>
        <w:rPr>
          <w:rFonts w:ascii="Courier New" w:hAnsi="Courier New" w:cs="Courier New"/>
          <w:sz w:val="16"/>
          <w:szCs w:val="16"/>
        </w:rPr>
      </w:pPr>
    </w:p>
    <w:p w14:paraId="260417C2" w14:textId="29105A78" w:rsidR="003922CD" w:rsidRPr="00E451F7" w:rsidRDefault="003922CD" w:rsidP="003922CD">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5</w:t>
      </w:r>
      <w:r w:rsidRPr="00E451F7">
        <w:rPr>
          <w:b/>
          <w:bCs/>
          <w:sz w:val="13"/>
          <w:szCs w:val="13"/>
        </w:rPr>
        <w:fldChar w:fldCharType="end"/>
      </w:r>
      <w:r w:rsidRPr="00E451F7">
        <w:rPr>
          <w:b/>
          <w:bCs/>
          <w:sz w:val="13"/>
          <w:szCs w:val="13"/>
        </w:rPr>
        <w:t>: Schoenfeld Residual Test for Proportional-Hazards Assumption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937"/>
        <w:gridCol w:w="667"/>
        <w:gridCol w:w="397"/>
        <w:gridCol w:w="1207"/>
      </w:tblGrid>
      <w:tr w:rsidR="007871F8" w:rsidRPr="007871F8" w14:paraId="7CD22294" w14:textId="77777777" w:rsidTr="007871F8">
        <w:tc>
          <w:tcPr>
            <w:tcW w:w="0" w:type="auto"/>
            <w:tcBorders>
              <w:top w:val="single" w:sz="4" w:space="0" w:color="auto"/>
              <w:bottom w:val="single" w:sz="4" w:space="0" w:color="auto"/>
            </w:tcBorders>
            <w:vAlign w:val="center"/>
          </w:tcPr>
          <w:p w14:paraId="2790A6B5" w14:textId="56FBE012"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Covariate</w:t>
            </w:r>
          </w:p>
        </w:tc>
        <w:tc>
          <w:tcPr>
            <w:tcW w:w="0" w:type="auto"/>
            <w:tcBorders>
              <w:top w:val="single" w:sz="4" w:space="0" w:color="auto"/>
              <w:bottom w:val="single" w:sz="4" w:space="0" w:color="auto"/>
            </w:tcBorders>
            <w:vAlign w:val="center"/>
          </w:tcPr>
          <w:p w14:paraId="73584112" w14:textId="17CFE843"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rho</w:t>
            </w:r>
          </w:p>
        </w:tc>
        <w:tc>
          <w:tcPr>
            <w:tcW w:w="0" w:type="auto"/>
            <w:tcBorders>
              <w:top w:val="single" w:sz="4" w:space="0" w:color="auto"/>
              <w:bottom w:val="single" w:sz="4" w:space="0" w:color="auto"/>
            </w:tcBorders>
            <w:vAlign w:val="center"/>
          </w:tcPr>
          <w:p w14:paraId="1BC54F25" w14:textId="1E0DFE07"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chi²</w:t>
            </w:r>
          </w:p>
        </w:tc>
        <w:tc>
          <w:tcPr>
            <w:tcW w:w="0" w:type="auto"/>
            <w:tcBorders>
              <w:top w:val="single" w:sz="4" w:space="0" w:color="auto"/>
              <w:bottom w:val="single" w:sz="4" w:space="0" w:color="auto"/>
            </w:tcBorders>
            <w:vAlign w:val="center"/>
          </w:tcPr>
          <w:p w14:paraId="7B79FECD" w14:textId="19D7020D"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df</w:t>
            </w:r>
          </w:p>
        </w:tc>
        <w:tc>
          <w:tcPr>
            <w:tcW w:w="0" w:type="auto"/>
            <w:tcBorders>
              <w:top w:val="single" w:sz="4" w:space="0" w:color="auto"/>
              <w:bottom w:val="single" w:sz="4" w:space="0" w:color="auto"/>
            </w:tcBorders>
            <w:vAlign w:val="center"/>
          </w:tcPr>
          <w:p w14:paraId="1230FFCD" w14:textId="68766657"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Prob &gt; chi²</w:t>
            </w:r>
          </w:p>
        </w:tc>
      </w:tr>
      <w:tr w:rsidR="007871F8" w:rsidRPr="007871F8" w14:paraId="67FA7663" w14:textId="77777777" w:rsidTr="007871F8">
        <w:tc>
          <w:tcPr>
            <w:tcW w:w="0" w:type="auto"/>
            <w:tcBorders>
              <w:top w:val="single" w:sz="4" w:space="0" w:color="auto"/>
            </w:tcBorders>
            <w:vAlign w:val="center"/>
          </w:tcPr>
          <w:p w14:paraId="24857011" w14:textId="21410B99"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1b.clinic</w:t>
            </w:r>
          </w:p>
        </w:tc>
        <w:tc>
          <w:tcPr>
            <w:tcW w:w="0" w:type="auto"/>
            <w:tcBorders>
              <w:top w:val="single" w:sz="4" w:space="0" w:color="auto"/>
            </w:tcBorders>
            <w:vAlign w:val="center"/>
          </w:tcPr>
          <w:p w14:paraId="2E291006" w14:textId="5766A6F3"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w:t>
            </w:r>
          </w:p>
        </w:tc>
        <w:tc>
          <w:tcPr>
            <w:tcW w:w="0" w:type="auto"/>
            <w:tcBorders>
              <w:top w:val="single" w:sz="4" w:space="0" w:color="auto"/>
            </w:tcBorders>
            <w:vAlign w:val="center"/>
          </w:tcPr>
          <w:p w14:paraId="78587378" w14:textId="181FA53A"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w:t>
            </w:r>
          </w:p>
        </w:tc>
        <w:tc>
          <w:tcPr>
            <w:tcW w:w="0" w:type="auto"/>
            <w:tcBorders>
              <w:top w:val="single" w:sz="4" w:space="0" w:color="auto"/>
            </w:tcBorders>
            <w:vAlign w:val="center"/>
          </w:tcPr>
          <w:p w14:paraId="7452B2C2" w14:textId="11125998"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w:t>
            </w:r>
          </w:p>
        </w:tc>
        <w:tc>
          <w:tcPr>
            <w:tcW w:w="0" w:type="auto"/>
            <w:tcBorders>
              <w:top w:val="single" w:sz="4" w:space="0" w:color="auto"/>
            </w:tcBorders>
            <w:vAlign w:val="center"/>
          </w:tcPr>
          <w:p w14:paraId="23A0B989" w14:textId="0803E68D"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w:t>
            </w:r>
          </w:p>
        </w:tc>
      </w:tr>
      <w:tr w:rsidR="007871F8" w:rsidRPr="007871F8" w14:paraId="3FDBBB10" w14:textId="77777777" w:rsidTr="007871F8">
        <w:tc>
          <w:tcPr>
            <w:tcW w:w="0" w:type="auto"/>
            <w:vAlign w:val="center"/>
          </w:tcPr>
          <w:p w14:paraId="0E9CA7F5" w14:textId="18B069E5"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2.clinic</w:t>
            </w:r>
          </w:p>
        </w:tc>
        <w:tc>
          <w:tcPr>
            <w:tcW w:w="0" w:type="auto"/>
            <w:vAlign w:val="center"/>
          </w:tcPr>
          <w:p w14:paraId="2AE41C60" w14:textId="42DB3249"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–0.26401</w:t>
            </w:r>
          </w:p>
        </w:tc>
        <w:tc>
          <w:tcPr>
            <w:tcW w:w="0" w:type="auto"/>
            <w:vAlign w:val="center"/>
          </w:tcPr>
          <w:p w14:paraId="0C215576" w14:textId="6E24E7EB"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11.73</w:t>
            </w:r>
          </w:p>
        </w:tc>
        <w:tc>
          <w:tcPr>
            <w:tcW w:w="0" w:type="auto"/>
            <w:vAlign w:val="center"/>
          </w:tcPr>
          <w:p w14:paraId="75D84763" w14:textId="18E21491"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w:t>
            </w:r>
          </w:p>
        </w:tc>
        <w:tc>
          <w:tcPr>
            <w:tcW w:w="0" w:type="auto"/>
            <w:vAlign w:val="center"/>
          </w:tcPr>
          <w:p w14:paraId="053791A9" w14:textId="343BAB42"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0.0006</w:t>
            </w:r>
          </w:p>
        </w:tc>
      </w:tr>
      <w:tr w:rsidR="007871F8" w:rsidRPr="007871F8" w14:paraId="3C5C2821" w14:textId="77777777" w:rsidTr="007871F8">
        <w:tc>
          <w:tcPr>
            <w:tcW w:w="0" w:type="auto"/>
            <w:vAlign w:val="center"/>
          </w:tcPr>
          <w:p w14:paraId="6BA43744" w14:textId="7025DFBC"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prison</w:t>
            </w:r>
          </w:p>
        </w:tc>
        <w:tc>
          <w:tcPr>
            <w:tcW w:w="0" w:type="auto"/>
            <w:vAlign w:val="center"/>
          </w:tcPr>
          <w:p w14:paraId="15E91F78" w14:textId="78052A8D"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–0.03622</w:t>
            </w:r>
          </w:p>
        </w:tc>
        <w:tc>
          <w:tcPr>
            <w:tcW w:w="0" w:type="auto"/>
            <w:vAlign w:val="center"/>
          </w:tcPr>
          <w:p w14:paraId="2B690A7F" w14:textId="793E5BC7"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0.20</w:t>
            </w:r>
          </w:p>
        </w:tc>
        <w:tc>
          <w:tcPr>
            <w:tcW w:w="0" w:type="auto"/>
            <w:vAlign w:val="center"/>
          </w:tcPr>
          <w:p w14:paraId="77C4840C" w14:textId="6853EB89"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w:t>
            </w:r>
          </w:p>
        </w:tc>
        <w:tc>
          <w:tcPr>
            <w:tcW w:w="0" w:type="auto"/>
            <w:vAlign w:val="center"/>
          </w:tcPr>
          <w:p w14:paraId="490ABF5D" w14:textId="767FC58D"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0.6568</w:t>
            </w:r>
          </w:p>
        </w:tc>
      </w:tr>
      <w:tr w:rsidR="007871F8" w:rsidRPr="007871F8" w14:paraId="4B585A9A" w14:textId="77777777" w:rsidTr="007871F8">
        <w:tc>
          <w:tcPr>
            <w:tcW w:w="0" w:type="auto"/>
            <w:vAlign w:val="center"/>
          </w:tcPr>
          <w:p w14:paraId="367C4F8F" w14:textId="1ECAA9D0"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dose</w:t>
            </w:r>
          </w:p>
        </w:tc>
        <w:tc>
          <w:tcPr>
            <w:tcW w:w="0" w:type="auto"/>
            <w:vAlign w:val="center"/>
          </w:tcPr>
          <w:p w14:paraId="5A04E50F" w14:textId="5FE14024"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0.06282</w:t>
            </w:r>
          </w:p>
        </w:tc>
        <w:tc>
          <w:tcPr>
            <w:tcW w:w="0" w:type="auto"/>
            <w:vAlign w:val="center"/>
          </w:tcPr>
          <w:p w14:paraId="08D44E90" w14:textId="5F668C07"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0.53</w:t>
            </w:r>
          </w:p>
        </w:tc>
        <w:tc>
          <w:tcPr>
            <w:tcW w:w="0" w:type="auto"/>
            <w:vAlign w:val="center"/>
          </w:tcPr>
          <w:p w14:paraId="53D6A32F" w14:textId="7C16D868"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w:t>
            </w:r>
          </w:p>
        </w:tc>
        <w:tc>
          <w:tcPr>
            <w:tcW w:w="0" w:type="auto"/>
            <w:vAlign w:val="center"/>
          </w:tcPr>
          <w:p w14:paraId="6C3F16BE" w14:textId="13791541"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0.4677</w:t>
            </w:r>
          </w:p>
        </w:tc>
      </w:tr>
      <w:tr w:rsidR="007871F8" w:rsidRPr="007871F8" w14:paraId="30E754D1" w14:textId="77777777" w:rsidTr="007871F8">
        <w:tc>
          <w:tcPr>
            <w:tcW w:w="0" w:type="auto"/>
            <w:vAlign w:val="center"/>
          </w:tcPr>
          <w:p w14:paraId="1798AF39" w14:textId="273121AD" w:rsidR="007871F8" w:rsidRPr="007871F8" w:rsidRDefault="007871F8" w:rsidP="007871F8">
            <w:pPr>
              <w:rPr>
                <w:rFonts w:ascii="Courier New" w:hAnsi="Courier New" w:cs="Courier New"/>
                <w:b/>
                <w:bCs/>
                <w:sz w:val="15"/>
                <w:szCs w:val="15"/>
              </w:rPr>
            </w:pPr>
            <w:r w:rsidRPr="007871F8">
              <w:rPr>
                <w:rFonts w:ascii="Courier New" w:hAnsi="Courier New" w:cs="Courier New"/>
                <w:b/>
                <w:bCs/>
                <w:sz w:val="15"/>
                <w:szCs w:val="15"/>
              </w:rPr>
              <w:t>Global test</w:t>
            </w:r>
          </w:p>
        </w:tc>
        <w:tc>
          <w:tcPr>
            <w:tcW w:w="0" w:type="auto"/>
            <w:vAlign w:val="center"/>
          </w:tcPr>
          <w:p w14:paraId="5786D90D" w14:textId="22E5B321"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w:t>
            </w:r>
          </w:p>
        </w:tc>
        <w:tc>
          <w:tcPr>
            <w:tcW w:w="0" w:type="auto"/>
            <w:vAlign w:val="center"/>
          </w:tcPr>
          <w:p w14:paraId="6B419C2A" w14:textId="6115C530"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12.99</w:t>
            </w:r>
          </w:p>
        </w:tc>
        <w:tc>
          <w:tcPr>
            <w:tcW w:w="0" w:type="auto"/>
            <w:vAlign w:val="center"/>
          </w:tcPr>
          <w:p w14:paraId="4F10EC4C" w14:textId="1B3AB83A"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3</w:t>
            </w:r>
          </w:p>
        </w:tc>
        <w:tc>
          <w:tcPr>
            <w:tcW w:w="0" w:type="auto"/>
            <w:vAlign w:val="center"/>
          </w:tcPr>
          <w:p w14:paraId="5745EECF" w14:textId="36BA513A" w:rsidR="007871F8" w:rsidRPr="007871F8" w:rsidRDefault="007871F8" w:rsidP="007871F8">
            <w:pPr>
              <w:rPr>
                <w:rFonts w:ascii="Courier New" w:hAnsi="Courier New" w:cs="Courier New"/>
                <w:sz w:val="15"/>
                <w:szCs w:val="15"/>
              </w:rPr>
            </w:pPr>
            <w:r w:rsidRPr="007871F8">
              <w:rPr>
                <w:rFonts w:ascii="Courier New" w:hAnsi="Courier New" w:cs="Courier New"/>
                <w:sz w:val="15"/>
                <w:szCs w:val="15"/>
              </w:rPr>
              <w:t>0.0047</w:t>
            </w:r>
          </w:p>
        </w:tc>
      </w:tr>
    </w:tbl>
    <w:p w14:paraId="38D6826C" w14:textId="2B1C3D89" w:rsidR="00F647B1" w:rsidRDefault="00E32AF7" w:rsidP="00C1037E">
      <w:pPr>
        <w:spacing w:before="100" w:beforeAutospacing="1" w:after="100" w:afterAutospacing="1" w:line="480" w:lineRule="auto"/>
        <w:jc w:val="both"/>
        <w:rPr>
          <w:sz w:val="22"/>
          <w:szCs w:val="22"/>
        </w:rPr>
      </w:pPr>
      <w:r w:rsidRPr="00E32AF7">
        <w:rPr>
          <w:sz w:val="22"/>
          <w:szCs w:val="22"/>
        </w:rPr>
        <w:t>We next used a piecewise‐exponential model—splitting follow‐up into six intervals (0–1, 1–3, 3–6, 6–12, 12–24, ≥24 months)—to let the baseline hazard vary over time. The key predictors remained virtually unchanged: Clinic 2 patients had about a 64% lower drop-out risk (HR 0.36, 95% CI 0.24–0.55, p &lt; 0.001), ex-prisoners trended toward higher risk (HR 1.37, p = 0.058), and each additional milligram of dose cut hazard by roughly 3.5 % (HR 0.965 per mg, p &lt; 0.001)</w:t>
      </w:r>
      <w:r w:rsidR="00566A42">
        <w:rPr>
          <w:sz w:val="22"/>
          <w:szCs w:val="22"/>
        </w:rPr>
        <w:t xml:space="preserve">- </w:t>
      </w:r>
      <w:r w:rsidR="00566A42" w:rsidRPr="00566A42">
        <w:rPr>
          <w:rFonts w:eastAsiaTheme="majorEastAsia"/>
          <w:b/>
          <w:bCs/>
          <w:sz w:val="22"/>
          <w:szCs w:val="22"/>
        </w:rPr>
        <w:t>s</w:t>
      </w:r>
      <w:r w:rsidR="00CD350E" w:rsidRPr="00566A42">
        <w:rPr>
          <w:rFonts w:eastAsiaTheme="majorEastAsia"/>
          <w:b/>
          <w:bCs/>
          <w:sz w:val="22"/>
          <w:szCs w:val="22"/>
        </w:rPr>
        <w:t xml:space="preserve">ee table </w:t>
      </w:r>
      <w:r w:rsidR="00566A42" w:rsidRPr="00566A42">
        <w:rPr>
          <w:rFonts w:eastAsiaTheme="majorEastAsia"/>
          <w:b/>
          <w:bCs/>
          <w:sz w:val="22"/>
          <w:szCs w:val="22"/>
        </w:rPr>
        <w:t>6</w:t>
      </w:r>
      <w:r w:rsidRPr="00E32AF7">
        <w:rPr>
          <w:sz w:val="22"/>
          <w:szCs w:val="22"/>
        </w:rPr>
        <w:t>. Drop-out risk rose sharply as treatment continued: compared with month 0–1, the hazard was 2.47-fold higher in months 12–24 (p = 0.026) and over 7-fold higher after two years (p &lt; 0.001). Moreover, the piecewise approach reveals when patients are most vulnerable—an insight the Cox model’s unspecified baseline hides—strengthening and extending our understanding of retention dynamics</w:t>
      </w:r>
      <w:r w:rsidR="00C1037E">
        <w:rPr>
          <w:sz w:val="22"/>
          <w:szCs w:val="22"/>
        </w:rPr>
        <w:t>.</w:t>
      </w:r>
    </w:p>
    <w:p w14:paraId="498F2B27" w14:textId="629B50F3" w:rsidR="00472273" w:rsidRPr="00E451F7" w:rsidRDefault="00472273" w:rsidP="00472273">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6</w:t>
      </w:r>
      <w:r w:rsidRPr="00E451F7">
        <w:rPr>
          <w:b/>
          <w:bCs/>
          <w:sz w:val="13"/>
          <w:szCs w:val="13"/>
        </w:rPr>
        <w:fldChar w:fldCharType="end"/>
      </w:r>
      <w:r w:rsidRPr="00E451F7">
        <w:rPr>
          <w:b/>
          <w:bCs/>
          <w:sz w:val="13"/>
          <w:szCs w:val="13"/>
        </w:rPr>
        <w:t>: Piecewise-Exponential Regression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1297"/>
        <w:gridCol w:w="1027"/>
        <w:gridCol w:w="667"/>
        <w:gridCol w:w="1027"/>
        <w:gridCol w:w="1297"/>
        <w:gridCol w:w="1297"/>
      </w:tblGrid>
      <w:tr w:rsidR="00472273" w:rsidRPr="00472273" w14:paraId="174C022D" w14:textId="77777777" w:rsidTr="00472273">
        <w:tc>
          <w:tcPr>
            <w:tcW w:w="0" w:type="auto"/>
            <w:tcBorders>
              <w:top w:val="single" w:sz="4" w:space="0" w:color="auto"/>
              <w:bottom w:val="single" w:sz="4" w:space="0" w:color="auto"/>
            </w:tcBorders>
            <w:vAlign w:val="center"/>
          </w:tcPr>
          <w:p w14:paraId="5AE5B6B7" w14:textId="6FA8DF56"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Predictor</w:t>
            </w:r>
          </w:p>
        </w:tc>
        <w:tc>
          <w:tcPr>
            <w:tcW w:w="0" w:type="auto"/>
            <w:tcBorders>
              <w:top w:val="single" w:sz="4" w:space="0" w:color="auto"/>
              <w:bottom w:val="single" w:sz="4" w:space="0" w:color="auto"/>
            </w:tcBorders>
            <w:vAlign w:val="center"/>
          </w:tcPr>
          <w:p w14:paraId="399F6ECF" w14:textId="3C8CE10D"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Hazard Ratio</w:t>
            </w:r>
          </w:p>
        </w:tc>
        <w:tc>
          <w:tcPr>
            <w:tcW w:w="0" w:type="auto"/>
            <w:tcBorders>
              <w:top w:val="single" w:sz="4" w:space="0" w:color="auto"/>
              <w:bottom w:val="single" w:sz="4" w:space="0" w:color="auto"/>
            </w:tcBorders>
            <w:vAlign w:val="center"/>
          </w:tcPr>
          <w:p w14:paraId="346ADD5B" w14:textId="03A27E7A"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Std. Err.</w:t>
            </w:r>
          </w:p>
        </w:tc>
        <w:tc>
          <w:tcPr>
            <w:tcW w:w="0" w:type="auto"/>
            <w:tcBorders>
              <w:top w:val="single" w:sz="4" w:space="0" w:color="auto"/>
              <w:bottom w:val="single" w:sz="4" w:space="0" w:color="auto"/>
            </w:tcBorders>
            <w:vAlign w:val="center"/>
          </w:tcPr>
          <w:p w14:paraId="02BAC3F4" w14:textId="0BDABE21"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z</w:t>
            </w:r>
          </w:p>
        </w:tc>
        <w:tc>
          <w:tcPr>
            <w:tcW w:w="0" w:type="auto"/>
            <w:tcBorders>
              <w:top w:val="single" w:sz="4" w:space="0" w:color="auto"/>
              <w:bottom w:val="single" w:sz="4" w:space="0" w:color="auto"/>
            </w:tcBorders>
            <w:vAlign w:val="center"/>
          </w:tcPr>
          <w:p w14:paraId="51FC1D97" w14:textId="61BCA71E"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P-value</w:t>
            </w:r>
          </w:p>
        </w:tc>
        <w:tc>
          <w:tcPr>
            <w:tcW w:w="0" w:type="auto"/>
            <w:tcBorders>
              <w:top w:val="single" w:sz="4" w:space="0" w:color="auto"/>
              <w:bottom w:val="single" w:sz="4" w:space="0" w:color="auto"/>
            </w:tcBorders>
            <w:vAlign w:val="center"/>
          </w:tcPr>
          <w:p w14:paraId="5007FB4E" w14:textId="1D640D68"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95% CI Lower</w:t>
            </w:r>
          </w:p>
        </w:tc>
        <w:tc>
          <w:tcPr>
            <w:tcW w:w="0" w:type="auto"/>
            <w:tcBorders>
              <w:top w:val="single" w:sz="4" w:space="0" w:color="auto"/>
              <w:bottom w:val="single" w:sz="4" w:space="0" w:color="auto"/>
            </w:tcBorders>
            <w:vAlign w:val="center"/>
          </w:tcPr>
          <w:p w14:paraId="5D40BAD2" w14:textId="22630AA7"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95% CI Upper</w:t>
            </w:r>
          </w:p>
        </w:tc>
      </w:tr>
      <w:tr w:rsidR="00472273" w:rsidRPr="00472273" w14:paraId="153E211D" w14:textId="77777777" w:rsidTr="00472273">
        <w:tc>
          <w:tcPr>
            <w:tcW w:w="0" w:type="auto"/>
            <w:tcBorders>
              <w:top w:val="single" w:sz="4" w:space="0" w:color="auto"/>
              <w:bottom w:val="single" w:sz="4" w:space="0" w:color="auto"/>
            </w:tcBorders>
            <w:vAlign w:val="center"/>
          </w:tcPr>
          <w:p w14:paraId="59FC43CD" w14:textId="4C9C612A"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Clinic &amp; Covariates</w:t>
            </w:r>
          </w:p>
        </w:tc>
        <w:tc>
          <w:tcPr>
            <w:tcW w:w="0" w:type="auto"/>
            <w:tcBorders>
              <w:top w:val="single" w:sz="4" w:space="0" w:color="auto"/>
              <w:bottom w:val="single" w:sz="4" w:space="0" w:color="auto"/>
            </w:tcBorders>
            <w:vAlign w:val="center"/>
          </w:tcPr>
          <w:p w14:paraId="3DC1E5F1" w14:textId="77777777" w:rsidR="00472273" w:rsidRPr="00472273" w:rsidRDefault="00472273" w:rsidP="00472273">
            <w:pPr>
              <w:rPr>
                <w:rFonts w:ascii="Courier New" w:hAnsi="Courier New" w:cs="Courier New"/>
                <w:b/>
                <w:bCs/>
                <w:sz w:val="15"/>
                <w:szCs w:val="15"/>
              </w:rPr>
            </w:pPr>
          </w:p>
        </w:tc>
        <w:tc>
          <w:tcPr>
            <w:tcW w:w="0" w:type="auto"/>
            <w:tcBorders>
              <w:top w:val="single" w:sz="4" w:space="0" w:color="auto"/>
              <w:bottom w:val="single" w:sz="4" w:space="0" w:color="auto"/>
            </w:tcBorders>
            <w:vAlign w:val="center"/>
          </w:tcPr>
          <w:p w14:paraId="529F198E" w14:textId="77777777" w:rsidR="00472273" w:rsidRPr="00472273" w:rsidRDefault="00472273" w:rsidP="00472273">
            <w:pPr>
              <w:rPr>
                <w:rFonts w:ascii="Courier New" w:hAnsi="Courier New" w:cs="Courier New"/>
                <w:b/>
                <w:bCs/>
                <w:sz w:val="15"/>
                <w:szCs w:val="15"/>
              </w:rPr>
            </w:pPr>
          </w:p>
        </w:tc>
        <w:tc>
          <w:tcPr>
            <w:tcW w:w="0" w:type="auto"/>
            <w:tcBorders>
              <w:top w:val="single" w:sz="4" w:space="0" w:color="auto"/>
              <w:bottom w:val="single" w:sz="4" w:space="0" w:color="auto"/>
            </w:tcBorders>
            <w:vAlign w:val="center"/>
          </w:tcPr>
          <w:p w14:paraId="3CA42F9B" w14:textId="77777777" w:rsidR="00472273" w:rsidRPr="00472273" w:rsidRDefault="00472273" w:rsidP="00472273">
            <w:pPr>
              <w:rPr>
                <w:rFonts w:ascii="Courier New" w:hAnsi="Courier New" w:cs="Courier New"/>
                <w:b/>
                <w:bCs/>
                <w:sz w:val="15"/>
                <w:szCs w:val="15"/>
              </w:rPr>
            </w:pPr>
          </w:p>
        </w:tc>
        <w:tc>
          <w:tcPr>
            <w:tcW w:w="0" w:type="auto"/>
            <w:tcBorders>
              <w:top w:val="single" w:sz="4" w:space="0" w:color="auto"/>
              <w:bottom w:val="single" w:sz="4" w:space="0" w:color="auto"/>
            </w:tcBorders>
            <w:vAlign w:val="center"/>
          </w:tcPr>
          <w:p w14:paraId="01C3310B" w14:textId="77777777" w:rsidR="00472273" w:rsidRPr="00472273" w:rsidRDefault="00472273" w:rsidP="00472273">
            <w:pPr>
              <w:rPr>
                <w:rFonts w:ascii="Courier New" w:hAnsi="Courier New" w:cs="Courier New"/>
                <w:b/>
                <w:bCs/>
                <w:sz w:val="15"/>
                <w:szCs w:val="15"/>
              </w:rPr>
            </w:pPr>
          </w:p>
        </w:tc>
        <w:tc>
          <w:tcPr>
            <w:tcW w:w="0" w:type="auto"/>
            <w:tcBorders>
              <w:top w:val="single" w:sz="4" w:space="0" w:color="auto"/>
              <w:bottom w:val="single" w:sz="4" w:space="0" w:color="auto"/>
            </w:tcBorders>
            <w:vAlign w:val="center"/>
          </w:tcPr>
          <w:p w14:paraId="383D1D68" w14:textId="77777777" w:rsidR="00472273" w:rsidRPr="00472273" w:rsidRDefault="00472273" w:rsidP="00472273">
            <w:pPr>
              <w:rPr>
                <w:rFonts w:ascii="Courier New" w:hAnsi="Courier New" w:cs="Courier New"/>
                <w:b/>
                <w:bCs/>
                <w:sz w:val="15"/>
                <w:szCs w:val="15"/>
              </w:rPr>
            </w:pPr>
          </w:p>
        </w:tc>
        <w:tc>
          <w:tcPr>
            <w:tcW w:w="0" w:type="auto"/>
            <w:tcBorders>
              <w:top w:val="single" w:sz="4" w:space="0" w:color="auto"/>
              <w:bottom w:val="single" w:sz="4" w:space="0" w:color="auto"/>
            </w:tcBorders>
            <w:vAlign w:val="center"/>
          </w:tcPr>
          <w:p w14:paraId="1B9DF148" w14:textId="77777777" w:rsidR="00472273" w:rsidRPr="00472273" w:rsidRDefault="00472273" w:rsidP="00472273">
            <w:pPr>
              <w:rPr>
                <w:rFonts w:ascii="Courier New" w:hAnsi="Courier New" w:cs="Courier New"/>
                <w:b/>
                <w:bCs/>
                <w:sz w:val="15"/>
                <w:szCs w:val="15"/>
              </w:rPr>
            </w:pPr>
          </w:p>
        </w:tc>
      </w:tr>
      <w:tr w:rsidR="00472273" w14:paraId="0383BFDD" w14:textId="77777777" w:rsidTr="00472273">
        <w:tc>
          <w:tcPr>
            <w:tcW w:w="0" w:type="auto"/>
            <w:tcBorders>
              <w:top w:val="single" w:sz="4" w:space="0" w:color="auto"/>
            </w:tcBorders>
            <w:vAlign w:val="center"/>
          </w:tcPr>
          <w:p w14:paraId="0B8913BB" w14:textId="26486073"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2.clinic</w:t>
            </w:r>
          </w:p>
        </w:tc>
        <w:tc>
          <w:tcPr>
            <w:tcW w:w="0" w:type="auto"/>
            <w:tcBorders>
              <w:top w:val="single" w:sz="4" w:space="0" w:color="auto"/>
            </w:tcBorders>
            <w:vAlign w:val="center"/>
          </w:tcPr>
          <w:p w14:paraId="24C69745" w14:textId="41A8ED99"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0.3597604</w:t>
            </w:r>
          </w:p>
        </w:tc>
        <w:tc>
          <w:tcPr>
            <w:tcW w:w="0" w:type="auto"/>
            <w:tcBorders>
              <w:top w:val="single" w:sz="4" w:space="0" w:color="auto"/>
            </w:tcBorders>
            <w:vAlign w:val="center"/>
          </w:tcPr>
          <w:p w14:paraId="71A5FD97" w14:textId="08AFEDE9"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0.0770682</w:t>
            </w:r>
          </w:p>
        </w:tc>
        <w:tc>
          <w:tcPr>
            <w:tcW w:w="0" w:type="auto"/>
            <w:tcBorders>
              <w:top w:val="single" w:sz="4" w:space="0" w:color="auto"/>
            </w:tcBorders>
            <w:vAlign w:val="center"/>
          </w:tcPr>
          <w:p w14:paraId="07FE8DA8" w14:textId="6046C9A0"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–4.77</w:t>
            </w:r>
          </w:p>
        </w:tc>
        <w:tc>
          <w:tcPr>
            <w:tcW w:w="0" w:type="auto"/>
            <w:tcBorders>
              <w:top w:val="single" w:sz="4" w:space="0" w:color="auto"/>
            </w:tcBorders>
            <w:vAlign w:val="center"/>
          </w:tcPr>
          <w:p w14:paraId="4B8D2CFD" w14:textId="05CE6D4C"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&lt;0.001</w:t>
            </w:r>
            <w:r w:rsidR="00E54FA7">
              <w:rPr>
                <w:rFonts w:ascii="Courier New" w:hAnsi="Courier New" w:cs="Courier New"/>
                <w:sz w:val="15"/>
                <w:szCs w:val="15"/>
              </w:rPr>
              <w:t>***</w:t>
            </w:r>
          </w:p>
        </w:tc>
        <w:tc>
          <w:tcPr>
            <w:tcW w:w="0" w:type="auto"/>
            <w:tcBorders>
              <w:top w:val="single" w:sz="4" w:space="0" w:color="auto"/>
            </w:tcBorders>
            <w:vAlign w:val="center"/>
          </w:tcPr>
          <w:p w14:paraId="0203C047" w14:textId="439D6235"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0.2364113</w:t>
            </w:r>
          </w:p>
        </w:tc>
        <w:tc>
          <w:tcPr>
            <w:tcW w:w="0" w:type="auto"/>
            <w:tcBorders>
              <w:top w:val="single" w:sz="4" w:space="0" w:color="auto"/>
            </w:tcBorders>
            <w:vAlign w:val="center"/>
          </w:tcPr>
          <w:p w14:paraId="64F41984" w14:textId="07CD694B"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0.5474677</w:t>
            </w:r>
          </w:p>
        </w:tc>
      </w:tr>
      <w:tr w:rsidR="00472273" w14:paraId="37CA41EE" w14:textId="77777777" w:rsidTr="00472273">
        <w:tc>
          <w:tcPr>
            <w:tcW w:w="0" w:type="auto"/>
            <w:vAlign w:val="center"/>
          </w:tcPr>
          <w:p w14:paraId="706442C5" w14:textId="6E4D1425"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prison</w:t>
            </w:r>
          </w:p>
        </w:tc>
        <w:tc>
          <w:tcPr>
            <w:tcW w:w="0" w:type="auto"/>
            <w:vAlign w:val="center"/>
          </w:tcPr>
          <w:p w14:paraId="51627654" w14:textId="1E0ACE99"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1.3717700</w:t>
            </w:r>
          </w:p>
        </w:tc>
        <w:tc>
          <w:tcPr>
            <w:tcW w:w="0" w:type="auto"/>
            <w:vAlign w:val="center"/>
          </w:tcPr>
          <w:p w14:paraId="49624A9C" w14:textId="1FA48080"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0.2282954</w:t>
            </w:r>
          </w:p>
        </w:tc>
        <w:tc>
          <w:tcPr>
            <w:tcW w:w="0" w:type="auto"/>
            <w:vAlign w:val="center"/>
          </w:tcPr>
          <w:p w14:paraId="5AD51132" w14:textId="04E27BD4"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1.90</w:t>
            </w:r>
          </w:p>
        </w:tc>
        <w:tc>
          <w:tcPr>
            <w:tcW w:w="0" w:type="auto"/>
            <w:vAlign w:val="center"/>
          </w:tcPr>
          <w:p w14:paraId="3B0192CA" w14:textId="7FB538DF"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0.058</w:t>
            </w:r>
          </w:p>
        </w:tc>
        <w:tc>
          <w:tcPr>
            <w:tcW w:w="0" w:type="auto"/>
            <w:vAlign w:val="center"/>
          </w:tcPr>
          <w:p w14:paraId="4669313D" w14:textId="6653C071"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0.9899676</w:t>
            </w:r>
          </w:p>
        </w:tc>
        <w:tc>
          <w:tcPr>
            <w:tcW w:w="0" w:type="auto"/>
            <w:vAlign w:val="center"/>
          </w:tcPr>
          <w:p w14:paraId="4C92D38A" w14:textId="360A8B70"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1.9008230</w:t>
            </w:r>
          </w:p>
        </w:tc>
      </w:tr>
      <w:tr w:rsidR="00472273" w14:paraId="2B3481E0" w14:textId="77777777" w:rsidTr="00472273">
        <w:tc>
          <w:tcPr>
            <w:tcW w:w="0" w:type="auto"/>
            <w:vAlign w:val="center"/>
          </w:tcPr>
          <w:p w14:paraId="65501768" w14:textId="4D94201A"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dose</w:t>
            </w:r>
          </w:p>
        </w:tc>
        <w:tc>
          <w:tcPr>
            <w:tcW w:w="0" w:type="auto"/>
            <w:vAlign w:val="center"/>
          </w:tcPr>
          <w:p w14:paraId="4C9EE9B7" w14:textId="46A06C2C"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0.9653824</w:t>
            </w:r>
          </w:p>
        </w:tc>
        <w:tc>
          <w:tcPr>
            <w:tcW w:w="0" w:type="auto"/>
            <w:vAlign w:val="center"/>
          </w:tcPr>
          <w:p w14:paraId="0778F1C4" w14:textId="1362AEF3"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0.0060935</w:t>
            </w:r>
          </w:p>
        </w:tc>
        <w:tc>
          <w:tcPr>
            <w:tcW w:w="0" w:type="auto"/>
            <w:vAlign w:val="center"/>
          </w:tcPr>
          <w:p w14:paraId="45DFAF57" w14:textId="4BDE6762"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–5.58</w:t>
            </w:r>
          </w:p>
        </w:tc>
        <w:tc>
          <w:tcPr>
            <w:tcW w:w="0" w:type="auto"/>
            <w:vAlign w:val="center"/>
          </w:tcPr>
          <w:p w14:paraId="31566CDB" w14:textId="11DFF3AC"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&lt;0.001</w:t>
            </w:r>
            <w:r w:rsidR="00E54FA7">
              <w:rPr>
                <w:rFonts w:ascii="Courier New" w:hAnsi="Courier New" w:cs="Courier New"/>
                <w:sz w:val="15"/>
                <w:szCs w:val="15"/>
              </w:rPr>
              <w:t>***</w:t>
            </w:r>
          </w:p>
        </w:tc>
        <w:tc>
          <w:tcPr>
            <w:tcW w:w="0" w:type="auto"/>
            <w:vAlign w:val="center"/>
          </w:tcPr>
          <w:p w14:paraId="5B9AD5A3" w14:textId="29492BC4"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0.9535130</w:t>
            </w:r>
          </w:p>
        </w:tc>
        <w:tc>
          <w:tcPr>
            <w:tcW w:w="0" w:type="auto"/>
            <w:vAlign w:val="center"/>
          </w:tcPr>
          <w:p w14:paraId="5E02C460" w14:textId="7720BB7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0.9773995</w:t>
            </w:r>
          </w:p>
        </w:tc>
      </w:tr>
      <w:tr w:rsidR="00472273" w:rsidRPr="00472273" w14:paraId="4D41CFB6" w14:textId="77777777" w:rsidTr="00472273">
        <w:tc>
          <w:tcPr>
            <w:tcW w:w="0" w:type="auto"/>
            <w:vAlign w:val="center"/>
          </w:tcPr>
          <w:p w14:paraId="260FF9DC" w14:textId="3DC5C0F1" w:rsidR="00472273" w:rsidRPr="00472273" w:rsidRDefault="00472273" w:rsidP="00472273">
            <w:pPr>
              <w:rPr>
                <w:rFonts w:ascii="Courier New" w:hAnsi="Courier New" w:cs="Courier New"/>
                <w:b/>
                <w:bCs/>
                <w:sz w:val="15"/>
                <w:szCs w:val="15"/>
              </w:rPr>
            </w:pPr>
            <w:r w:rsidRPr="00472273">
              <w:rPr>
                <w:rFonts w:ascii="Courier New" w:hAnsi="Courier New" w:cs="Courier New"/>
                <w:b/>
                <w:bCs/>
                <w:sz w:val="15"/>
                <w:szCs w:val="15"/>
              </w:rPr>
              <w:t>Time Intervals (months)</w:t>
            </w:r>
          </w:p>
        </w:tc>
        <w:tc>
          <w:tcPr>
            <w:tcW w:w="0" w:type="auto"/>
            <w:vAlign w:val="center"/>
          </w:tcPr>
          <w:p w14:paraId="4DF129EA" w14:textId="77777777" w:rsidR="00472273" w:rsidRPr="00472273" w:rsidRDefault="00472273" w:rsidP="00472273">
            <w:pPr>
              <w:rPr>
                <w:rFonts w:ascii="Courier New" w:hAnsi="Courier New" w:cs="Courier New"/>
                <w:b/>
                <w:bCs/>
                <w:sz w:val="15"/>
                <w:szCs w:val="15"/>
              </w:rPr>
            </w:pPr>
          </w:p>
        </w:tc>
        <w:tc>
          <w:tcPr>
            <w:tcW w:w="0" w:type="auto"/>
            <w:vAlign w:val="center"/>
          </w:tcPr>
          <w:p w14:paraId="37E1CA4E" w14:textId="77777777" w:rsidR="00472273" w:rsidRPr="00472273" w:rsidRDefault="00472273" w:rsidP="00472273">
            <w:pPr>
              <w:rPr>
                <w:rFonts w:ascii="Courier New" w:hAnsi="Courier New" w:cs="Courier New"/>
                <w:b/>
                <w:bCs/>
                <w:sz w:val="15"/>
                <w:szCs w:val="15"/>
              </w:rPr>
            </w:pPr>
          </w:p>
        </w:tc>
        <w:tc>
          <w:tcPr>
            <w:tcW w:w="0" w:type="auto"/>
            <w:vAlign w:val="center"/>
          </w:tcPr>
          <w:p w14:paraId="6C1AD312" w14:textId="77777777" w:rsidR="00472273" w:rsidRPr="00472273" w:rsidRDefault="00472273" w:rsidP="00472273">
            <w:pPr>
              <w:rPr>
                <w:rFonts w:ascii="Courier New" w:hAnsi="Courier New" w:cs="Courier New"/>
                <w:b/>
                <w:bCs/>
                <w:sz w:val="15"/>
                <w:szCs w:val="15"/>
              </w:rPr>
            </w:pPr>
          </w:p>
        </w:tc>
        <w:tc>
          <w:tcPr>
            <w:tcW w:w="0" w:type="auto"/>
            <w:vAlign w:val="center"/>
          </w:tcPr>
          <w:p w14:paraId="5C205758" w14:textId="77777777" w:rsidR="00472273" w:rsidRPr="00472273" w:rsidRDefault="00472273" w:rsidP="00472273">
            <w:pPr>
              <w:rPr>
                <w:rFonts w:ascii="Courier New" w:hAnsi="Courier New" w:cs="Courier New"/>
                <w:b/>
                <w:bCs/>
                <w:sz w:val="15"/>
                <w:szCs w:val="15"/>
              </w:rPr>
            </w:pPr>
          </w:p>
        </w:tc>
        <w:tc>
          <w:tcPr>
            <w:tcW w:w="0" w:type="auto"/>
            <w:vAlign w:val="center"/>
          </w:tcPr>
          <w:p w14:paraId="5FC3A3E8" w14:textId="77777777" w:rsidR="00472273" w:rsidRPr="00472273" w:rsidRDefault="00472273" w:rsidP="00472273">
            <w:pPr>
              <w:rPr>
                <w:rFonts w:ascii="Courier New" w:hAnsi="Courier New" w:cs="Courier New"/>
                <w:b/>
                <w:bCs/>
                <w:sz w:val="15"/>
                <w:szCs w:val="15"/>
              </w:rPr>
            </w:pPr>
          </w:p>
        </w:tc>
        <w:tc>
          <w:tcPr>
            <w:tcW w:w="0" w:type="auto"/>
            <w:vAlign w:val="center"/>
          </w:tcPr>
          <w:p w14:paraId="6F73EC6C" w14:textId="77777777" w:rsidR="00472273" w:rsidRPr="00472273" w:rsidRDefault="00472273" w:rsidP="00472273">
            <w:pPr>
              <w:rPr>
                <w:rFonts w:ascii="Courier New" w:hAnsi="Courier New" w:cs="Courier New"/>
                <w:b/>
                <w:bCs/>
                <w:sz w:val="15"/>
                <w:szCs w:val="15"/>
              </w:rPr>
            </w:pPr>
          </w:p>
        </w:tc>
      </w:tr>
      <w:tr w:rsidR="00472273" w14:paraId="21E1E197" w14:textId="77777777" w:rsidTr="00472273">
        <w:tc>
          <w:tcPr>
            <w:tcW w:w="0" w:type="auto"/>
            <w:vAlign w:val="center"/>
          </w:tcPr>
          <w:p w14:paraId="70CA6948" w14:textId="6687B43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Period = 1</w:t>
            </w:r>
          </w:p>
        </w:tc>
        <w:tc>
          <w:tcPr>
            <w:tcW w:w="0" w:type="auto"/>
            <w:vAlign w:val="center"/>
          </w:tcPr>
          <w:p w14:paraId="2035EC24" w14:textId="7F1A8E6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1.2700120</w:t>
            </w:r>
          </w:p>
        </w:tc>
        <w:tc>
          <w:tcPr>
            <w:tcW w:w="0" w:type="auto"/>
            <w:vAlign w:val="center"/>
          </w:tcPr>
          <w:p w14:paraId="4FB0D3A7" w14:textId="38D6FEFB"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0.5755359</w:t>
            </w:r>
          </w:p>
        </w:tc>
        <w:tc>
          <w:tcPr>
            <w:tcW w:w="0" w:type="auto"/>
            <w:vAlign w:val="center"/>
          </w:tcPr>
          <w:p w14:paraId="4DB49ECF" w14:textId="2B00C81D"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0.53</w:t>
            </w:r>
          </w:p>
        </w:tc>
        <w:tc>
          <w:tcPr>
            <w:tcW w:w="0" w:type="auto"/>
            <w:vAlign w:val="center"/>
          </w:tcPr>
          <w:p w14:paraId="253D4FAE" w14:textId="5809CDB6"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0.598</w:t>
            </w:r>
          </w:p>
        </w:tc>
        <w:tc>
          <w:tcPr>
            <w:tcW w:w="0" w:type="auto"/>
            <w:vAlign w:val="center"/>
          </w:tcPr>
          <w:p w14:paraId="3C268FF1" w14:textId="0B259C68"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0.5224755</w:t>
            </w:r>
          </w:p>
        </w:tc>
        <w:tc>
          <w:tcPr>
            <w:tcW w:w="0" w:type="auto"/>
            <w:vAlign w:val="center"/>
          </w:tcPr>
          <w:p w14:paraId="2E6CE033" w14:textId="3CEDFABA"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3.0870940</w:t>
            </w:r>
          </w:p>
        </w:tc>
      </w:tr>
      <w:tr w:rsidR="00472273" w14:paraId="1FA05E38" w14:textId="77777777" w:rsidTr="00472273">
        <w:tc>
          <w:tcPr>
            <w:tcW w:w="0" w:type="auto"/>
            <w:vAlign w:val="center"/>
          </w:tcPr>
          <w:p w14:paraId="71982842" w14:textId="10B88D36"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Period = 3</w:t>
            </w:r>
          </w:p>
        </w:tc>
        <w:tc>
          <w:tcPr>
            <w:tcW w:w="0" w:type="auto"/>
            <w:vAlign w:val="center"/>
          </w:tcPr>
          <w:p w14:paraId="754D53F9" w14:textId="130E09B7"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1.5621660</w:t>
            </w:r>
          </w:p>
        </w:tc>
        <w:tc>
          <w:tcPr>
            <w:tcW w:w="0" w:type="auto"/>
            <w:vAlign w:val="center"/>
          </w:tcPr>
          <w:p w14:paraId="329B7C28" w14:textId="1C9774B2"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0.6682237</w:t>
            </w:r>
          </w:p>
        </w:tc>
        <w:tc>
          <w:tcPr>
            <w:tcW w:w="0" w:type="auto"/>
            <w:vAlign w:val="center"/>
          </w:tcPr>
          <w:p w14:paraId="11F6D863" w14:textId="79648184"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1.04</w:t>
            </w:r>
          </w:p>
        </w:tc>
        <w:tc>
          <w:tcPr>
            <w:tcW w:w="0" w:type="auto"/>
            <w:vAlign w:val="center"/>
          </w:tcPr>
          <w:p w14:paraId="45D7F6E0" w14:textId="1FC98F47"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0.297</w:t>
            </w:r>
          </w:p>
        </w:tc>
        <w:tc>
          <w:tcPr>
            <w:tcW w:w="0" w:type="auto"/>
            <w:vAlign w:val="center"/>
          </w:tcPr>
          <w:p w14:paraId="0926CFF6" w14:textId="128A670B"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0.6754949</w:t>
            </w:r>
          </w:p>
        </w:tc>
        <w:tc>
          <w:tcPr>
            <w:tcW w:w="0" w:type="auto"/>
            <w:vAlign w:val="center"/>
          </w:tcPr>
          <w:p w14:paraId="3104C904" w14:textId="629FD913"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3.6127050</w:t>
            </w:r>
          </w:p>
        </w:tc>
      </w:tr>
      <w:tr w:rsidR="00472273" w14:paraId="350FBCF5" w14:textId="77777777" w:rsidTr="00472273">
        <w:tc>
          <w:tcPr>
            <w:tcW w:w="0" w:type="auto"/>
            <w:vAlign w:val="center"/>
          </w:tcPr>
          <w:p w14:paraId="664B53EC" w14:textId="2957A411"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Period = 6</w:t>
            </w:r>
          </w:p>
        </w:tc>
        <w:tc>
          <w:tcPr>
            <w:tcW w:w="0" w:type="auto"/>
            <w:vAlign w:val="center"/>
          </w:tcPr>
          <w:p w14:paraId="72DF6CCF" w14:textId="223DE4D0"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1.7765090</w:t>
            </w:r>
          </w:p>
        </w:tc>
        <w:tc>
          <w:tcPr>
            <w:tcW w:w="0" w:type="auto"/>
            <w:vAlign w:val="center"/>
          </w:tcPr>
          <w:p w14:paraId="005E2682" w14:textId="3B7FC1BA"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0.7304494</w:t>
            </w:r>
          </w:p>
        </w:tc>
        <w:tc>
          <w:tcPr>
            <w:tcW w:w="0" w:type="auto"/>
            <w:vAlign w:val="center"/>
          </w:tcPr>
          <w:p w14:paraId="36F7EC85" w14:textId="2F37BEF5"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1.40</w:t>
            </w:r>
          </w:p>
        </w:tc>
        <w:tc>
          <w:tcPr>
            <w:tcW w:w="0" w:type="auto"/>
            <w:vAlign w:val="center"/>
          </w:tcPr>
          <w:p w14:paraId="603972FF" w14:textId="08A5944D"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0.162</w:t>
            </w:r>
          </w:p>
        </w:tc>
        <w:tc>
          <w:tcPr>
            <w:tcW w:w="0" w:type="auto"/>
            <w:vAlign w:val="center"/>
          </w:tcPr>
          <w:p w14:paraId="16FD9035" w14:textId="5336F289"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0.7935565</w:t>
            </w:r>
          </w:p>
        </w:tc>
        <w:tc>
          <w:tcPr>
            <w:tcW w:w="0" w:type="auto"/>
            <w:vAlign w:val="center"/>
          </w:tcPr>
          <w:p w14:paraId="1892067E" w14:textId="7E03642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3.9770130</w:t>
            </w:r>
          </w:p>
        </w:tc>
      </w:tr>
      <w:tr w:rsidR="00472273" w14:paraId="3C7728A8" w14:textId="77777777" w:rsidTr="00472273">
        <w:tc>
          <w:tcPr>
            <w:tcW w:w="0" w:type="auto"/>
            <w:vAlign w:val="center"/>
          </w:tcPr>
          <w:p w14:paraId="37D0CAC9" w14:textId="632746EC"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Period = 12</w:t>
            </w:r>
          </w:p>
        </w:tc>
        <w:tc>
          <w:tcPr>
            <w:tcW w:w="0" w:type="auto"/>
            <w:vAlign w:val="center"/>
          </w:tcPr>
          <w:p w14:paraId="60005B4E" w14:textId="74D8C27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2.4702710</w:t>
            </w:r>
          </w:p>
        </w:tc>
        <w:tc>
          <w:tcPr>
            <w:tcW w:w="0" w:type="auto"/>
            <w:vAlign w:val="center"/>
          </w:tcPr>
          <w:p w14:paraId="08BBBAD2" w14:textId="3AAA5828"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1.0048180</w:t>
            </w:r>
          </w:p>
        </w:tc>
        <w:tc>
          <w:tcPr>
            <w:tcW w:w="0" w:type="auto"/>
            <w:vAlign w:val="center"/>
          </w:tcPr>
          <w:p w14:paraId="24FACAF4" w14:textId="3404BE17"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2.22</w:t>
            </w:r>
          </w:p>
        </w:tc>
        <w:tc>
          <w:tcPr>
            <w:tcW w:w="0" w:type="auto"/>
            <w:vAlign w:val="center"/>
          </w:tcPr>
          <w:p w14:paraId="4448C31D" w14:textId="20CC4C90"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0.026</w:t>
            </w:r>
            <w:r w:rsidR="00E54FA7">
              <w:rPr>
                <w:rFonts w:ascii="Courier New" w:hAnsi="Courier New" w:cs="Courier New"/>
                <w:sz w:val="15"/>
                <w:szCs w:val="15"/>
              </w:rPr>
              <w:t>*</w:t>
            </w:r>
          </w:p>
        </w:tc>
        <w:tc>
          <w:tcPr>
            <w:tcW w:w="0" w:type="auto"/>
            <w:vAlign w:val="center"/>
          </w:tcPr>
          <w:p w14:paraId="36720C86" w14:textId="72365D24"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1.1130290</w:t>
            </w:r>
          </w:p>
        </w:tc>
        <w:tc>
          <w:tcPr>
            <w:tcW w:w="0" w:type="auto"/>
            <w:vAlign w:val="center"/>
          </w:tcPr>
          <w:p w14:paraId="5057341D" w14:textId="2AA013FB"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5.4825540</w:t>
            </w:r>
          </w:p>
        </w:tc>
      </w:tr>
      <w:tr w:rsidR="00472273" w14:paraId="7CD89F4A" w14:textId="77777777" w:rsidTr="00472273">
        <w:tc>
          <w:tcPr>
            <w:tcW w:w="0" w:type="auto"/>
            <w:vAlign w:val="center"/>
          </w:tcPr>
          <w:p w14:paraId="1867308A" w14:textId="5A2B5F38"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Period = 24</w:t>
            </w:r>
          </w:p>
        </w:tc>
        <w:tc>
          <w:tcPr>
            <w:tcW w:w="0" w:type="auto"/>
            <w:vAlign w:val="center"/>
          </w:tcPr>
          <w:p w14:paraId="49BDE085" w14:textId="4CF0DBC8"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7.4232330</w:t>
            </w:r>
          </w:p>
        </w:tc>
        <w:tc>
          <w:tcPr>
            <w:tcW w:w="0" w:type="auto"/>
            <w:vAlign w:val="center"/>
          </w:tcPr>
          <w:p w14:paraId="145B259C" w14:textId="4F2C6BD6"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3.4585400</w:t>
            </w:r>
          </w:p>
        </w:tc>
        <w:tc>
          <w:tcPr>
            <w:tcW w:w="0" w:type="auto"/>
            <w:vAlign w:val="center"/>
          </w:tcPr>
          <w:p w14:paraId="07BE9C9B" w14:textId="7631C4F5"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4.30</w:t>
            </w:r>
          </w:p>
        </w:tc>
        <w:tc>
          <w:tcPr>
            <w:tcW w:w="0" w:type="auto"/>
            <w:vAlign w:val="center"/>
          </w:tcPr>
          <w:p w14:paraId="368A8C00" w14:textId="6728C617"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&lt;0.001</w:t>
            </w:r>
            <w:r w:rsidR="00E54FA7">
              <w:rPr>
                <w:rFonts w:ascii="Courier New" w:hAnsi="Courier New" w:cs="Courier New"/>
                <w:sz w:val="15"/>
                <w:szCs w:val="15"/>
              </w:rPr>
              <w:t>***</w:t>
            </w:r>
          </w:p>
        </w:tc>
        <w:tc>
          <w:tcPr>
            <w:tcW w:w="0" w:type="auto"/>
            <w:vAlign w:val="center"/>
          </w:tcPr>
          <w:p w14:paraId="7C299D7C" w14:textId="25069724"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2.9785980</w:t>
            </w:r>
          </w:p>
        </w:tc>
        <w:tc>
          <w:tcPr>
            <w:tcW w:w="0" w:type="auto"/>
            <w:vAlign w:val="center"/>
          </w:tcPr>
          <w:p w14:paraId="638B94CE" w14:textId="08E0F941"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18.5001100</w:t>
            </w:r>
          </w:p>
        </w:tc>
      </w:tr>
      <w:tr w:rsidR="00472273" w14:paraId="5E2EDBD2" w14:textId="77777777" w:rsidTr="00472273">
        <w:tc>
          <w:tcPr>
            <w:tcW w:w="0" w:type="auto"/>
            <w:vAlign w:val="center"/>
          </w:tcPr>
          <w:p w14:paraId="1D63CEC6" w14:textId="39C6D66E"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Constant</w:t>
            </w:r>
          </w:p>
        </w:tc>
        <w:tc>
          <w:tcPr>
            <w:tcW w:w="0" w:type="auto"/>
            <w:vAlign w:val="center"/>
          </w:tcPr>
          <w:p w14:paraId="19004332" w14:textId="77777777" w:rsidR="00472273" w:rsidRPr="00472273" w:rsidRDefault="00472273" w:rsidP="00472273">
            <w:pPr>
              <w:rPr>
                <w:rFonts w:ascii="Courier New" w:hAnsi="Courier New" w:cs="Courier New"/>
                <w:sz w:val="15"/>
                <w:szCs w:val="15"/>
              </w:rPr>
            </w:pPr>
          </w:p>
        </w:tc>
        <w:tc>
          <w:tcPr>
            <w:tcW w:w="0" w:type="auto"/>
            <w:vAlign w:val="center"/>
          </w:tcPr>
          <w:p w14:paraId="3A1E90A8" w14:textId="77777777" w:rsidR="00472273" w:rsidRPr="00472273" w:rsidRDefault="00472273" w:rsidP="00472273">
            <w:pPr>
              <w:rPr>
                <w:rFonts w:ascii="Courier New" w:hAnsi="Courier New" w:cs="Courier New"/>
                <w:sz w:val="15"/>
                <w:szCs w:val="15"/>
              </w:rPr>
            </w:pPr>
          </w:p>
        </w:tc>
        <w:tc>
          <w:tcPr>
            <w:tcW w:w="0" w:type="auto"/>
            <w:vAlign w:val="center"/>
          </w:tcPr>
          <w:p w14:paraId="41A05F6A" w14:textId="77777777" w:rsidR="00472273" w:rsidRPr="00472273" w:rsidRDefault="00472273" w:rsidP="00472273">
            <w:pPr>
              <w:rPr>
                <w:rFonts w:ascii="Courier New" w:hAnsi="Courier New" w:cs="Courier New"/>
                <w:sz w:val="15"/>
                <w:szCs w:val="15"/>
              </w:rPr>
            </w:pPr>
          </w:p>
        </w:tc>
        <w:tc>
          <w:tcPr>
            <w:tcW w:w="0" w:type="auto"/>
            <w:vAlign w:val="center"/>
          </w:tcPr>
          <w:p w14:paraId="40792BF1" w14:textId="77777777" w:rsidR="00472273" w:rsidRPr="00472273" w:rsidRDefault="00472273" w:rsidP="00472273">
            <w:pPr>
              <w:rPr>
                <w:rFonts w:ascii="Courier New" w:hAnsi="Courier New" w:cs="Courier New"/>
                <w:sz w:val="15"/>
                <w:szCs w:val="15"/>
              </w:rPr>
            </w:pPr>
          </w:p>
        </w:tc>
        <w:tc>
          <w:tcPr>
            <w:tcW w:w="0" w:type="auto"/>
            <w:vAlign w:val="center"/>
          </w:tcPr>
          <w:p w14:paraId="03978C81" w14:textId="77777777" w:rsidR="00472273" w:rsidRPr="00472273" w:rsidRDefault="00472273" w:rsidP="00472273">
            <w:pPr>
              <w:rPr>
                <w:rFonts w:ascii="Courier New" w:hAnsi="Courier New" w:cs="Courier New"/>
                <w:sz w:val="15"/>
                <w:szCs w:val="15"/>
              </w:rPr>
            </w:pPr>
          </w:p>
        </w:tc>
        <w:tc>
          <w:tcPr>
            <w:tcW w:w="0" w:type="auto"/>
            <w:vAlign w:val="center"/>
          </w:tcPr>
          <w:p w14:paraId="67F5DD12" w14:textId="77777777" w:rsidR="00472273" w:rsidRPr="00472273" w:rsidRDefault="00472273" w:rsidP="00472273">
            <w:pPr>
              <w:rPr>
                <w:rFonts w:ascii="Courier New" w:hAnsi="Courier New" w:cs="Courier New"/>
                <w:sz w:val="15"/>
                <w:szCs w:val="15"/>
              </w:rPr>
            </w:pPr>
          </w:p>
        </w:tc>
      </w:tr>
      <w:tr w:rsidR="00472273" w14:paraId="43B607EB" w14:textId="77777777" w:rsidTr="00472273">
        <w:tc>
          <w:tcPr>
            <w:tcW w:w="0" w:type="auto"/>
            <w:vAlign w:val="center"/>
          </w:tcPr>
          <w:p w14:paraId="46B3F0CA" w14:textId="1C1D0D0F"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_cons</w:t>
            </w:r>
          </w:p>
        </w:tc>
        <w:tc>
          <w:tcPr>
            <w:tcW w:w="0" w:type="auto"/>
            <w:vAlign w:val="center"/>
          </w:tcPr>
          <w:p w14:paraId="002945A3" w14:textId="218ABCC9"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0.2389289</w:t>
            </w:r>
          </w:p>
        </w:tc>
        <w:tc>
          <w:tcPr>
            <w:tcW w:w="0" w:type="auto"/>
            <w:vAlign w:val="center"/>
          </w:tcPr>
          <w:p w14:paraId="4A611FEF" w14:textId="627937AB"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0.1220866</w:t>
            </w:r>
          </w:p>
        </w:tc>
        <w:tc>
          <w:tcPr>
            <w:tcW w:w="0" w:type="auto"/>
            <w:vAlign w:val="center"/>
          </w:tcPr>
          <w:p w14:paraId="0B12E3A1" w14:textId="5F59945A"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–2.80</w:t>
            </w:r>
          </w:p>
        </w:tc>
        <w:tc>
          <w:tcPr>
            <w:tcW w:w="0" w:type="auto"/>
            <w:vAlign w:val="center"/>
          </w:tcPr>
          <w:p w14:paraId="6EB34425" w14:textId="338127E6"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0.005</w:t>
            </w:r>
            <w:r w:rsidR="00E54FA7">
              <w:rPr>
                <w:rFonts w:ascii="Courier New" w:hAnsi="Courier New" w:cs="Courier New"/>
                <w:sz w:val="15"/>
                <w:szCs w:val="15"/>
              </w:rPr>
              <w:t>**</w:t>
            </w:r>
          </w:p>
        </w:tc>
        <w:tc>
          <w:tcPr>
            <w:tcW w:w="0" w:type="auto"/>
            <w:vAlign w:val="center"/>
          </w:tcPr>
          <w:p w14:paraId="6E4A232B" w14:textId="4D345036"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0.0877660</w:t>
            </w:r>
          </w:p>
        </w:tc>
        <w:tc>
          <w:tcPr>
            <w:tcW w:w="0" w:type="auto"/>
            <w:vAlign w:val="center"/>
          </w:tcPr>
          <w:p w14:paraId="2D341FD5" w14:textId="6AF5F95D" w:rsidR="00472273" w:rsidRPr="00472273" w:rsidRDefault="00472273" w:rsidP="00472273">
            <w:pPr>
              <w:rPr>
                <w:rFonts w:ascii="Courier New" w:hAnsi="Courier New" w:cs="Courier New"/>
                <w:sz w:val="15"/>
                <w:szCs w:val="15"/>
              </w:rPr>
            </w:pPr>
            <w:r w:rsidRPr="00472273">
              <w:rPr>
                <w:rFonts w:ascii="Courier New" w:hAnsi="Courier New" w:cs="Courier New"/>
                <w:sz w:val="15"/>
                <w:szCs w:val="15"/>
              </w:rPr>
              <w:t>0.6504455</w:t>
            </w:r>
          </w:p>
        </w:tc>
      </w:tr>
    </w:tbl>
    <w:p w14:paraId="0C3C0D0A" w14:textId="77777777" w:rsidR="00472273" w:rsidRPr="00F647B1" w:rsidRDefault="00472273" w:rsidP="00472273">
      <w:pPr>
        <w:rPr>
          <w:rFonts w:ascii="Courier New" w:hAnsi="Courier New" w:cs="Courier New"/>
          <w:sz w:val="16"/>
          <w:szCs w:val="16"/>
        </w:rPr>
      </w:pPr>
      <w:r w:rsidRPr="00F647B1">
        <w:rPr>
          <w:rFonts w:ascii="Courier New" w:hAnsi="Courier New" w:cs="Courier New"/>
          <w:sz w:val="16"/>
          <w:szCs w:val="16"/>
        </w:rPr>
        <w:t>Note: _cons estimate baseline hazard.</w:t>
      </w:r>
    </w:p>
    <w:p w14:paraId="7B9C9AB5" w14:textId="77777777" w:rsidR="00E451F7" w:rsidRDefault="00E451F7" w:rsidP="00C1037E">
      <w:pPr>
        <w:spacing w:line="480" w:lineRule="auto"/>
        <w:jc w:val="both"/>
        <w:rPr>
          <w:sz w:val="22"/>
          <w:szCs w:val="22"/>
        </w:rPr>
      </w:pPr>
    </w:p>
    <w:p w14:paraId="7F1D19E7" w14:textId="4782AFBC" w:rsidR="00E8051C" w:rsidRDefault="00E55703" w:rsidP="00C1037E">
      <w:pPr>
        <w:spacing w:line="480" w:lineRule="auto"/>
        <w:jc w:val="both"/>
        <w:rPr>
          <w:rFonts w:eastAsiaTheme="majorEastAsia"/>
          <w:sz w:val="22"/>
          <w:szCs w:val="22"/>
        </w:rPr>
      </w:pPr>
      <w:r w:rsidRPr="00E55703">
        <w:rPr>
          <w:sz w:val="22"/>
          <w:szCs w:val="22"/>
        </w:rPr>
        <w:t>When we allow for all two‐ and three‐way interactions among clinic, prison history, and centered dose, the main effects remain strong: attending the maintenance‐oriented clinic is associated with a 54.6 % lower drop‐out hazard (HR=0.454; 95 % CI 0.244–0.844; p=0.013), a prior incarceration increases the hazard by 57 % (HR=1.571; 95 % CI 1.074–2.298; p=0.020), and each 1 mg increase above the mean dose reduces the hazard by 3.2 % (HR=0.968 per mg; 95 % CI 0.950–0.985; p&lt;0.001).</w:t>
      </w:r>
      <w:r w:rsidRPr="00E55703">
        <w:rPr>
          <w:rFonts w:eastAsiaTheme="majorEastAsia"/>
          <w:sz w:val="22"/>
          <w:szCs w:val="22"/>
        </w:rPr>
        <w:t xml:space="preserve">  </w:t>
      </w:r>
      <w:r w:rsidRPr="00E55703">
        <w:rPr>
          <w:sz w:val="22"/>
          <w:szCs w:val="22"/>
        </w:rPr>
        <w:t>The clinic×prison interaction was not significant (χ²₁=1.46; p=0.23), indicating that the benefit of Clinic 2 does not differ by incarceration history.</w:t>
      </w:r>
      <w:r w:rsidRPr="00E55703">
        <w:rPr>
          <w:rFonts w:eastAsiaTheme="majorEastAsia"/>
          <w:sz w:val="22"/>
          <w:szCs w:val="22"/>
        </w:rPr>
        <w:t xml:space="preserve">  </w:t>
      </w:r>
      <w:r w:rsidRPr="00E55703">
        <w:rPr>
          <w:sz w:val="22"/>
          <w:szCs w:val="22"/>
        </w:rPr>
        <w:t>Testing clinic×dose revealed a borderline trend (χ²₁=3.13; p=0.077), suggesting that dose may confer slightly greater protection in Clinic 2, though this does not meet conventional significance.</w:t>
      </w:r>
      <w:r w:rsidRPr="00E55703">
        <w:rPr>
          <w:rFonts w:eastAsiaTheme="majorEastAsia"/>
          <w:sz w:val="22"/>
          <w:szCs w:val="22"/>
        </w:rPr>
        <w:t xml:space="preserve">  </w:t>
      </w:r>
      <w:r w:rsidRPr="00E55703">
        <w:rPr>
          <w:sz w:val="22"/>
          <w:szCs w:val="22"/>
        </w:rPr>
        <w:t>Finally, the prison×dose interaction was null (χ²₁=0.00; p=0.95), showing that the dose-response relationship is equivalent regardless of prison history.</w:t>
      </w:r>
      <w:r w:rsidRPr="00E55703">
        <w:rPr>
          <w:rFonts w:eastAsiaTheme="majorEastAsia"/>
          <w:sz w:val="22"/>
          <w:szCs w:val="22"/>
        </w:rPr>
        <w:t xml:space="preserve">  </w:t>
      </w:r>
      <w:r w:rsidRPr="00E55703">
        <w:rPr>
          <w:sz w:val="22"/>
          <w:szCs w:val="22"/>
        </w:rPr>
        <w:t>In sum, dose and clinic</w:t>
      </w:r>
      <w:r w:rsidRPr="00355E2D">
        <w:rPr>
          <w:sz w:val="22"/>
          <w:szCs w:val="22"/>
        </w:rPr>
        <w:t>al</w:t>
      </w:r>
      <w:r w:rsidRPr="00E55703">
        <w:rPr>
          <w:sz w:val="22"/>
          <w:szCs w:val="22"/>
        </w:rPr>
        <w:t xml:space="preserve"> policy exert uniform effects across subgroups, with no compelling evidence of effect modification</w:t>
      </w:r>
      <w:r w:rsidR="00A81F6C">
        <w:rPr>
          <w:sz w:val="22"/>
          <w:szCs w:val="22"/>
        </w:rPr>
        <w:t xml:space="preserve"> (</w:t>
      </w:r>
      <w:r w:rsidR="00A81F6C">
        <w:rPr>
          <w:rFonts w:eastAsiaTheme="majorEastAsia"/>
          <w:sz w:val="22"/>
          <w:szCs w:val="22"/>
        </w:rPr>
        <w:t>s</w:t>
      </w:r>
      <w:r w:rsidR="00690E80" w:rsidRPr="00A81F6C">
        <w:rPr>
          <w:rFonts w:eastAsiaTheme="majorEastAsia"/>
          <w:sz w:val="22"/>
          <w:szCs w:val="22"/>
        </w:rPr>
        <w:t xml:space="preserve">ee table </w:t>
      </w:r>
      <w:r w:rsidR="00A81F6C" w:rsidRPr="00A81F6C">
        <w:rPr>
          <w:rFonts w:eastAsiaTheme="majorEastAsia"/>
          <w:sz w:val="22"/>
          <w:szCs w:val="22"/>
        </w:rPr>
        <w:t>7</w:t>
      </w:r>
      <w:r w:rsidR="00A81F6C">
        <w:rPr>
          <w:rFonts w:eastAsiaTheme="majorEastAsia"/>
          <w:sz w:val="22"/>
          <w:szCs w:val="22"/>
        </w:rPr>
        <w:t>).</w:t>
      </w:r>
    </w:p>
    <w:p w14:paraId="4A473AC8" w14:textId="2C40C2CE" w:rsidR="00A81F6C" w:rsidRPr="00E451F7" w:rsidRDefault="00A81F6C" w:rsidP="00A81F6C">
      <w:pPr>
        <w:pStyle w:val="Caption"/>
        <w:keepNext/>
        <w:rPr>
          <w:b/>
          <w:bCs/>
          <w:sz w:val="13"/>
          <w:szCs w:val="13"/>
        </w:rPr>
      </w:pPr>
      <w:r w:rsidRPr="00E451F7">
        <w:rPr>
          <w:b/>
          <w:bCs/>
          <w:sz w:val="13"/>
          <w:szCs w:val="13"/>
        </w:rPr>
        <w:t xml:space="preserve">Table </w:t>
      </w:r>
      <w:r w:rsidRPr="00E451F7">
        <w:rPr>
          <w:b/>
          <w:bCs/>
          <w:sz w:val="13"/>
          <w:szCs w:val="13"/>
        </w:rPr>
        <w:fldChar w:fldCharType="begin"/>
      </w:r>
      <w:r w:rsidRPr="00E451F7">
        <w:rPr>
          <w:b/>
          <w:bCs/>
          <w:sz w:val="13"/>
          <w:szCs w:val="13"/>
        </w:rPr>
        <w:instrText xml:space="preserve"> SEQ Table \* ARABIC </w:instrText>
      </w:r>
      <w:r w:rsidRPr="00E451F7">
        <w:rPr>
          <w:b/>
          <w:bCs/>
          <w:sz w:val="13"/>
          <w:szCs w:val="13"/>
        </w:rPr>
        <w:fldChar w:fldCharType="separate"/>
      </w:r>
      <w:r w:rsidR="006F26F5">
        <w:rPr>
          <w:b/>
          <w:bCs/>
          <w:noProof/>
          <w:sz w:val="13"/>
          <w:szCs w:val="13"/>
        </w:rPr>
        <w:t>7</w:t>
      </w:r>
      <w:r w:rsidRPr="00E451F7">
        <w:rPr>
          <w:b/>
          <w:bCs/>
          <w:sz w:val="13"/>
          <w:szCs w:val="13"/>
        </w:rPr>
        <w:fldChar w:fldCharType="end"/>
      </w:r>
      <w:r w:rsidRPr="00E451F7">
        <w:rPr>
          <w:b/>
          <w:bCs/>
          <w:sz w:val="13"/>
          <w:szCs w:val="13"/>
        </w:rPr>
        <w:t>: Three-Way Interaction Cox Regression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1297"/>
        <w:gridCol w:w="1027"/>
        <w:gridCol w:w="667"/>
        <w:gridCol w:w="1027"/>
        <w:gridCol w:w="1297"/>
        <w:gridCol w:w="1297"/>
      </w:tblGrid>
      <w:tr w:rsidR="006163EE" w:rsidRPr="006163EE" w14:paraId="6FEDCC72" w14:textId="77777777" w:rsidTr="006F26F5">
        <w:tc>
          <w:tcPr>
            <w:tcW w:w="0" w:type="auto"/>
            <w:tcBorders>
              <w:top w:val="single" w:sz="4" w:space="0" w:color="auto"/>
              <w:bottom w:val="single" w:sz="4" w:space="0" w:color="auto"/>
            </w:tcBorders>
            <w:vAlign w:val="center"/>
          </w:tcPr>
          <w:p w14:paraId="6944CCDE" w14:textId="2F3B71B8"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Predictor</w:t>
            </w:r>
          </w:p>
        </w:tc>
        <w:tc>
          <w:tcPr>
            <w:tcW w:w="0" w:type="auto"/>
            <w:tcBorders>
              <w:top w:val="single" w:sz="4" w:space="0" w:color="auto"/>
              <w:bottom w:val="single" w:sz="4" w:space="0" w:color="auto"/>
            </w:tcBorders>
            <w:vAlign w:val="center"/>
          </w:tcPr>
          <w:p w14:paraId="0F7450AB" w14:textId="168679C3"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Hazard Ratio</w:t>
            </w:r>
          </w:p>
        </w:tc>
        <w:tc>
          <w:tcPr>
            <w:tcW w:w="0" w:type="auto"/>
            <w:tcBorders>
              <w:top w:val="single" w:sz="4" w:space="0" w:color="auto"/>
              <w:bottom w:val="single" w:sz="4" w:space="0" w:color="auto"/>
            </w:tcBorders>
            <w:vAlign w:val="center"/>
          </w:tcPr>
          <w:p w14:paraId="7C4778CC" w14:textId="3FF9E01E"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Std. Err.</w:t>
            </w:r>
          </w:p>
        </w:tc>
        <w:tc>
          <w:tcPr>
            <w:tcW w:w="0" w:type="auto"/>
            <w:tcBorders>
              <w:top w:val="single" w:sz="4" w:space="0" w:color="auto"/>
              <w:bottom w:val="single" w:sz="4" w:space="0" w:color="auto"/>
            </w:tcBorders>
            <w:vAlign w:val="center"/>
          </w:tcPr>
          <w:p w14:paraId="5CF231A7" w14:textId="7017B42A"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z</w:t>
            </w:r>
          </w:p>
        </w:tc>
        <w:tc>
          <w:tcPr>
            <w:tcW w:w="0" w:type="auto"/>
            <w:tcBorders>
              <w:top w:val="single" w:sz="4" w:space="0" w:color="auto"/>
              <w:bottom w:val="single" w:sz="4" w:space="0" w:color="auto"/>
            </w:tcBorders>
            <w:vAlign w:val="center"/>
          </w:tcPr>
          <w:p w14:paraId="5267C422" w14:textId="5867A438"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P-value</w:t>
            </w:r>
          </w:p>
        </w:tc>
        <w:tc>
          <w:tcPr>
            <w:tcW w:w="0" w:type="auto"/>
            <w:tcBorders>
              <w:top w:val="single" w:sz="4" w:space="0" w:color="auto"/>
              <w:bottom w:val="single" w:sz="4" w:space="0" w:color="auto"/>
            </w:tcBorders>
            <w:vAlign w:val="center"/>
          </w:tcPr>
          <w:p w14:paraId="71DC3ED7" w14:textId="1B13E704"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95% CI Lower</w:t>
            </w:r>
          </w:p>
        </w:tc>
        <w:tc>
          <w:tcPr>
            <w:tcW w:w="0" w:type="auto"/>
            <w:tcBorders>
              <w:top w:val="single" w:sz="4" w:space="0" w:color="auto"/>
              <w:bottom w:val="single" w:sz="4" w:space="0" w:color="auto"/>
            </w:tcBorders>
            <w:vAlign w:val="center"/>
          </w:tcPr>
          <w:p w14:paraId="2963ACED" w14:textId="659242CB"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95% CI Upper</w:t>
            </w:r>
          </w:p>
        </w:tc>
      </w:tr>
      <w:tr w:rsidR="006163EE" w14:paraId="35A1C0C1" w14:textId="77777777" w:rsidTr="006F26F5">
        <w:tc>
          <w:tcPr>
            <w:tcW w:w="0" w:type="auto"/>
            <w:tcBorders>
              <w:top w:val="single" w:sz="4" w:space="0" w:color="auto"/>
            </w:tcBorders>
            <w:vAlign w:val="center"/>
          </w:tcPr>
          <w:p w14:paraId="10C93524" w14:textId="37194462"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2.clinic</w:t>
            </w:r>
          </w:p>
        </w:tc>
        <w:tc>
          <w:tcPr>
            <w:tcW w:w="0" w:type="auto"/>
            <w:tcBorders>
              <w:top w:val="single" w:sz="4" w:space="0" w:color="auto"/>
            </w:tcBorders>
            <w:vAlign w:val="center"/>
          </w:tcPr>
          <w:p w14:paraId="120865FF" w14:textId="5F6126E3"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0.4535986</w:t>
            </w:r>
          </w:p>
        </w:tc>
        <w:tc>
          <w:tcPr>
            <w:tcW w:w="0" w:type="auto"/>
            <w:tcBorders>
              <w:top w:val="single" w:sz="4" w:space="0" w:color="auto"/>
            </w:tcBorders>
            <w:vAlign w:val="center"/>
          </w:tcPr>
          <w:p w14:paraId="673D98CA" w14:textId="2D1DB0A7"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0.1437773</w:t>
            </w:r>
          </w:p>
        </w:tc>
        <w:tc>
          <w:tcPr>
            <w:tcW w:w="0" w:type="auto"/>
            <w:tcBorders>
              <w:top w:val="single" w:sz="4" w:space="0" w:color="auto"/>
            </w:tcBorders>
            <w:vAlign w:val="center"/>
          </w:tcPr>
          <w:p w14:paraId="411B5D37" w14:textId="670EB68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–2.49</w:t>
            </w:r>
          </w:p>
        </w:tc>
        <w:tc>
          <w:tcPr>
            <w:tcW w:w="0" w:type="auto"/>
            <w:tcBorders>
              <w:top w:val="single" w:sz="4" w:space="0" w:color="auto"/>
            </w:tcBorders>
            <w:vAlign w:val="center"/>
          </w:tcPr>
          <w:p w14:paraId="51D3ED08" w14:textId="3846D0A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0.013</w:t>
            </w:r>
            <w:r w:rsidR="006F26F5">
              <w:rPr>
                <w:rFonts w:ascii="Courier New" w:hAnsi="Courier New" w:cs="Courier New"/>
                <w:sz w:val="15"/>
                <w:szCs w:val="15"/>
              </w:rPr>
              <w:t>*</w:t>
            </w:r>
          </w:p>
        </w:tc>
        <w:tc>
          <w:tcPr>
            <w:tcW w:w="0" w:type="auto"/>
            <w:tcBorders>
              <w:top w:val="single" w:sz="4" w:space="0" w:color="auto"/>
            </w:tcBorders>
            <w:vAlign w:val="center"/>
          </w:tcPr>
          <w:p w14:paraId="4A3934E1" w14:textId="51F2B4E2"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0.2437059</w:t>
            </w:r>
          </w:p>
        </w:tc>
        <w:tc>
          <w:tcPr>
            <w:tcW w:w="0" w:type="auto"/>
            <w:tcBorders>
              <w:top w:val="single" w:sz="4" w:space="0" w:color="auto"/>
            </w:tcBorders>
            <w:vAlign w:val="center"/>
          </w:tcPr>
          <w:p w14:paraId="0FAE87F0" w14:textId="671227C7"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0.8442621</w:t>
            </w:r>
          </w:p>
        </w:tc>
      </w:tr>
      <w:tr w:rsidR="006163EE" w14:paraId="6DD44E6A" w14:textId="77777777" w:rsidTr="006F26F5">
        <w:tc>
          <w:tcPr>
            <w:tcW w:w="0" w:type="auto"/>
            <w:vAlign w:val="center"/>
          </w:tcPr>
          <w:p w14:paraId="196C794B" w14:textId="3E8CE9C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1.prison</w:t>
            </w:r>
          </w:p>
        </w:tc>
        <w:tc>
          <w:tcPr>
            <w:tcW w:w="0" w:type="auto"/>
            <w:vAlign w:val="center"/>
          </w:tcPr>
          <w:p w14:paraId="7175E92A" w14:textId="3EF1C4D2"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1.5712010</w:t>
            </w:r>
          </w:p>
        </w:tc>
        <w:tc>
          <w:tcPr>
            <w:tcW w:w="0" w:type="auto"/>
            <w:vAlign w:val="center"/>
          </w:tcPr>
          <w:p w14:paraId="537EF5EE" w14:textId="5C188F5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0.3047747</w:t>
            </w:r>
          </w:p>
        </w:tc>
        <w:tc>
          <w:tcPr>
            <w:tcW w:w="0" w:type="auto"/>
            <w:vAlign w:val="center"/>
          </w:tcPr>
          <w:p w14:paraId="48AD8719" w14:textId="354001C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2.33</w:t>
            </w:r>
          </w:p>
        </w:tc>
        <w:tc>
          <w:tcPr>
            <w:tcW w:w="0" w:type="auto"/>
            <w:vAlign w:val="center"/>
          </w:tcPr>
          <w:p w14:paraId="4424A98A" w14:textId="0FBE6F4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0.020</w:t>
            </w:r>
            <w:r w:rsidR="006F26F5">
              <w:rPr>
                <w:rFonts w:ascii="Courier New" w:hAnsi="Courier New" w:cs="Courier New"/>
                <w:sz w:val="15"/>
                <w:szCs w:val="15"/>
              </w:rPr>
              <w:t>*</w:t>
            </w:r>
          </w:p>
        </w:tc>
        <w:tc>
          <w:tcPr>
            <w:tcW w:w="0" w:type="auto"/>
            <w:vAlign w:val="center"/>
          </w:tcPr>
          <w:p w14:paraId="4D88FCB5" w14:textId="7A4F2B2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1.0742850</w:t>
            </w:r>
          </w:p>
        </w:tc>
        <w:tc>
          <w:tcPr>
            <w:tcW w:w="0" w:type="auto"/>
            <w:vAlign w:val="center"/>
          </w:tcPr>
          <w:p w14:paraId="1B5382F9" w14:textId="4A38911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2.2979690</w:t>
            </w:r>
          </w:p>
        </w:tc>
      </w:tr>
      <w:tr w:rsidR="006163EE" w:rsidRPr="006163EE" w14:paraId="7DB3DB40" w14:textId="77777777" w:rsidTr="006F26F5">
        <w:tc>
          <w:tcPr>
            <w:tcW w:w="0" w:type="auto"/>
            <w:vAlign w:val="center"/>
          </w:tcPr>
          <w:p w14:paraId="04D12F0C" w14:textId="772362FD"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Clinic × Prison</w:t>
            </w:r>
          </w:p>
        </w:tc>
        <w:tc>
          <w:tcPr>
            <w:tcW w:w="0" w:type="auto"/>
            <w:vAlign w:val="center"/>
          </w:tcPr>
          <w:p w14:paraId="6806A078"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614715E0"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7F1F1CFF"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67A84EAE"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3EDF6691"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1B6E9E19" w14:textId="77777777" w:rsidR="006163EE" w:rsidRPr="006163EE" w:rsidRDefault="006163EE" w:rsidP="006163EE">
            <w:pPr>
              <w:rPr>
                <w:rFonts w:ascii="Courier New" w:eastAsiaTheme="majorEastAsia" w:hAnsi="Courier New" w:cs="Courier New"/>
                <w:b/>
                <w:bCs/>
                <w:sz w:val="15"/>
                <w:szCs w:val="15"/>
              </w:rPr>
            </w:pPr>
          </w:p>
        </w:tc>
      </w:tr>
      <w:tr w:rsidR="006163EE" w14:paraId="0B0C31FD" w14:textId="77777777" w:rsidTr="006F26F5">
        <w:tc>
          <w:tcPr>
            <w:tcW w:w="0" w:type="auto"/>
            <w:vAlign w:val="center"/>
          </w:tcPr>
          <w:p w14:paraId="77EF32F6" w14:textId="23998E3B"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2.clinic × 1.prison</w:t>
            </w:r>
          </w:p>
        </w:tc>
        <w:tc>
          <w:tcPr>
            <w:tcW w:w="0" w:type="auto"/>
            <w:vAlign w:val="center"/>
          </w:tcPr>
          <w:p w14:paraId="2E830C37" w14:textId="54F22CB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0.5813234</w:t>
            </w:r>
          </w:p>
        </w:tc>
        <w:tc>
          <w:tcPr>
            <w:tcW w:w="0" w:type="auto"/>
            <w:vAlign w:val="center"/>
          </w:tcPr>
          <w:p w14:paraId="747875C4" w14:textId="69AB87E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0.2613170</w:t>
            </w:r>
          </w:p>
        </w:tc>
        <w:tc>
          <w:tcPr>
            <w:tcW w:w="0" w:type="auto"/>
            <w:vAlign w:val="center"/>
          </w:tcPr>
          <w:p w14:paraId="4C4ACD99" w14:textId="7488C38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–1.21</w:t>
            </w:r>
          </w:p>
        </w:tc>
        <w:tc>
          <w:tcPr>
            <w:tcW w:w="0" w:type="auto"/>
            <w:vAlign w:val="center"/>
          </w:tcPr>
          <w:p w14:paraId="6CBE47E9" w14:textId="3DC26830"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0.228</w:t>
            </w:r>
          </w:p>
        </w:tc>
        <w:tc>
          <w:tcPr>
            <w:tcW w:w="0" w:type="auto"/>
            <w:vAlign w:val="center"/>
          </w:tcPr>
          <w:p w14:paraId="5AD9B3F9" w14:textId="6623D83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0.2408712</w:t>
            </w:r>
          </w:p>
        </w:tc>
        <w:tc>
          <w:tcPr>
            <w:tcW w:w="0" w:type="auto"/>
            <w:vAlign w:val="center"/>
          </w:tcPr>
          <w:p w14:paraId="6CDA3ABC" w14:textId="082AD3E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1.4029780</w:t>
            </w:r>
          </w:p>
        </w:tc>
      </w:tr>
      <w:tr w:rsidR="006163EE" w:rsidRPr="006163EE" w14:paraId="4B3C25CA" w14:textId="77777777" w:rsidTr="006F26F5">
        <w:tc>
          <w:tcPr>
            <w:tcW w:w="0" w:type="auto"/>
            <w:vAlign w:val="center"/>
          </w:tcPr>
          <w:p w14:paraId="718FCAF0" w14:textId="6E112767"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Dose (centered)</w:t>
            </w:r>
          </w:p>
        </w:tc>
        <w:tc>
          <w:tcPr>
            <w:tcW w:w="0" w:type="auto"/>
            <w:vAlign w:val="center"/>
          </w:tcPr>
          <w:p w14:paraId="346949CE"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46413DFA"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4FF36700"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47C35A45"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2C6AD8CB"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1A0BA16A" w14:textId="77777777" w:rsidR="006163EE" w:rsidRPr="006163EE" w:rsidRDefault="006163EE" w:rsidP="006163EE">
            <w:pPr>
              <w:rPr>
                <w:rFonts w:ascii="Courier New" w:eastAsiaTheme="majorEastAsia" w:hAnsi="Courier New" w:cs="Courier New"/>
                <w:b/>
                <w:bCs/>
                <w:sz w:val="15"/>
                <w:szCs w:val="15"/>
              </w:rPr>
            </w:pPr>
          </w:p>
        </w:tc>
      </w:tr>
      <w:tr w:rsidR="006163EE" w14:paraId="7975D73C" w14:textId="77777777" w:rsidTr="006F26F5">
        <w:tc>
          <w:tcPr>
            <w:tcW w:w="0" w:type="auto"/>
            <w:vAlign w:val="center"/>
          </w:tcPr>
          <w:p w14:paraId="5D829EC2" w14:textId="2321815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dose_c</w:t>
            </w:r>
          </w:p>
        </w:tc>
        <w:tc>
          <w:tcPr>
            <w:tcW w:w="0" w:type="auto"/>
            <w:vAlign w:val="center"/>
          </w:tcPr>
          <w:p w14:paraId="77115349" w14:textId="576CE304"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0.9675953</w:t>
            </w:r>
          </w:p>
        </w:tc>
        <w:tc>
          <w:tcPr>
            <w:tcW w:w="0" w:type="auto"/>
            <w:vAlign w:val="center"/>
          </w:tcPr>
          <w:p w14:paraId="6EB51D6A" w14:textId="074DF190"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0.0089567</w:t>
            </w:r>
          </w:p>
        </w:tc>
        <w:tc>
          <w:tcPr>
            <w:tcW w:w="0" w:type="auto"/>
            <w:vAlign w:val="center"/>
          </w:tcPr>
          <w:p w14:paraId="35365C20" w14:textId="5438E45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–3.56</w:t>
            </w:r>
          </w:p>
        </w:tc>
        <w:tc>
          <w:tcPr>
            <w:tcW w:w="0" w:type="auto"/>
            <w:vAlign w:val="center"/>
          </w:tcPr>
          <w:p w14:paraId="017911C5" w14:textId="4D96760B"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&lt;0.001</w:t>
            </w:r>
            <w:r w:rsidR="006F26F5">
              <w:rPr>
                <w:rFonts w:ascii="Courier New" w:hAnsi="Courier New" w:cs="Courier New"/>
                <w:sz w:val="15"/>
                <w:szCs w:val="15"/>
              </w:rPr>
              <w:t>***</w:t>
            </w:r>
          </w:p>
        </w:tc>
        <w:tc>
          <w:tcPr>
            <w:tcW w:w="0" w:type="auto"/>
            <w:vAlign w:val="center"/>
          </w:tcPr>
          <w:p w14:paraId="1CAB5363" w14:textId="3978CABC"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0.9501988</w:t>
            </w:r>
          </w:p>
        </w:tc>
        <w:tc>
          <w:tcPr>
            <w:tcW w:w="0" w:type="auto"/>
            <w:vAlign w:val="center"/>
          </w:tcPr>
          <w:p w14:paraId="73AAC5DE" w14:textId="6A065DB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0.9853103</w:t>
            </w:r>
          </w:p>
        </w:tc>
      </w:tr>
      <w:tr w:rsidR="006163EE" w:rsidRPr="006163EE" w14:paraId="11461E80" w14:textId="77777777" w:rsidTr="006F26F5">
        <w:tc>
          <w:tcPr>
            <w:tcW w:w="0" w:type="auto"/>
            <w:vAlign w:val="center"/>
          </w:tcPr>
          <w:p w14:paraId="38CF0B83" w14:textId="11464A5E"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Clinic × Dose</w:t>
            </w:r>
          </w:p>
        </w:tc>
        <w:tc>
          <w:tcPr>
            <w:tcW w:w="0" w:type="auto"/>
            <w:vAlign w:val="center"/>
          </w:tcPr>
          <w:p w14:paraId="79F97E06"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7364996C"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755EBDFD"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4EAB998E"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282EC629"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2574EA1D" w14:textId="77777777" w:rsidR="006163EE" w:rsidRPr="006163EE" w:rsidRDefault="006163EE" w:rsidP="006163EE">
            <w:pPr>
              <w:rPr>
                <w:rFonts w:ascii="Courier New" w:eastAsiaTheme="majorEastAsia" w:hAnsi="Courier New" w:cs="Courier New"/>
                <w:b/>
                <w:bCs/>
                <w:sz w:val="15"/>
                <w:szCs w:val="15"/>
              </w:rPr>
            </w:pPr>
          </w:p>
        </w:tc>
      </w:tr>
      <w:tr w:rsidR="006163EE" w14:paraId="1618E80A" w14:textId="77777777" w:rsidTr="006F26F5">
        <w:tc>
          <w:tcPr>
            <w:tcW w:w="0" w:type="auto"/>
            <w:vAlign w:val="center"/>
          </w:tcPr>
          <w:p w14:paraId="4A0CBE4F" w14:textId="509FA88D"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2.clinic × dose_c</w:t>
            </w:r>
          </w:p>
        </w:tc>
        <w:tc>
          <w:tcPr>
            <w:tcW w:w="0" w:type="auto"/>
            <w:vAlign w:val="center"/>
          </w:tcPr>
          <w:p w14:paraId="65EDC42C" w14:textId="1812101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0.9655442</w:t>
            </w:r>
          </w:p>
        </w:tc>
        <w:tc>
          <w:tcPr>
            <w:tcW w:w="0" w:type="auto"/>
            <w:vAlign w:val="center"/>
          </w:tcPr>
          <w:p w14:paraId="6D8BC644" w14:textId="080077FC"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0.0191472</w:t>
            </w:r>
          </w:p>
        </w:tc>
        <w:tc>
          <w:tcPr>
            <w:tcW w:w="0" w:type="auto"/>
            <w:vAlign w:val="center"/>
          </w:tcPr>
          <w:p w14:paraId="26420954" w14:textId="1507BD6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–1.77</w:t>
            </w:r>
          </w:p>
        </w:tc>
        <w:tc>
          <w:tcPr>
            <w:tcW w:w="0" w:type="auto"/>
            <w:vAlign w:val="center"/>
          </w:tcPr>
          <w:p w14:paraId="4E6CA146" w14:textId="64FA4E3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0.077</w:t>
            </w:r>
          </w:p>
        </w:tc>
        <w:tc>
          <w:tcPr>
            <w:tcW w:w="0" w:type="auto"/>
            <w:vAlign w:val="center"/>
          </w:tcPr>
          <w:p w14:paraId="3873D864" w14:textId="7196A0F6"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0.9287362</w:t>
            </w:r>
          </w:p>
        </w:tc>
        <w:tc>
          <w:tcPr>
            <w:tcW w:w="0" w:type="auto"/>
            <w:vAlign w:val="center"/>
          </w:tcPr>
          <w:p w14:paraId="4F4145A0" w14:textId="3AAA048A"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1.0038110</w:t>
            </w:r>
          </w:p>
        </w:tc>
      </w:tr>
      <w:tr w:rsidR="006163EE" w:rsidRPr="006163EE" w14:paraId="405C35A0" w14:textId="77777777" w:rsidTr="006F26F5">
        <w:tc>
          <w:tcPr>
            <w:tcW w:w="0" w:type="auto"/>
            <w:vAlign w:val="center"/>
          </w:tcPr>
          <w:p w14:paraId="548A8419" w14:textId="277CEFAF"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Prison × Dose</w:t>
            </w:r>
          </w:p>
        </w:tc>
        <w:tc>
          <w:tcPr>
            <w:tcW w:w="0" w:type="auto"/>
            <w:vAlign w:val="center"/>
          </w:tcPr>
          <w:p w14:paraId="60FAA353"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0A5884BE"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00E91B7C"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09D008D7"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0CEFDAB4"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68A5EC04" w14:textId="77777777" w:rsidR="006163EE" w:rsidRPr="006163EE" w:rsidRDefault="006163EE" w:rsidP="006163EE">
            <w:pPr>
              <w:rPr>
                <w:rFonts w:ascii="Courier New" w:eastAsiaTheme="majorEastAsia" w:hAnsi="Courier New" w:cs="Courier New"/>
                <w:b/>
                <w:bCs/>
                <w:sz w:val="15"/>
                <w:szCs w:val="15"/>
              </w:rPr>
            </w:pPr>
          </w:p>
        </w:tc>
      </w:tr>
      <w:tr w:rsidR="006163EE" w14:paraId="26307B0C" w14:textId="77777777" w:rsidTr="006F26F5">
        <w:tc>
          <w:tcPr>
            <w:tcW w:w="0" w:type="auto"/>
            <w:vAlign w:val="center"/>
          </w:tcPr>
          <w:p w14:paraId="2C820707" w14:textId="7F03E656"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1.prison × dose_c</w:t>
            </w:r>
          </w:p>
        </w:tc>
        <w:tc>
          <w:tcPr>
            <w:tcW w:w="0" w:type="auto"/>
            <w:vAlign w:val="center"/>
          </w:tcPr>
          <w:p w14:paraId="13547176" w14:textId="53A8624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0.9990059</w:t>
            </w:r>
          </w:p>
        </w:tc>
        <w:tc>
          <w:tcPr>
            <w:tcW w:w="0" w:type="auto"/>
            <w:vAlign w:val="center"/>
          </w:tcPr>
          <w:p w14:paraId="29916E25" w14:textId="7DD04E4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0.0157719</w:t>
            </w:r>
          </w:p>
        </w:tc>
        <w:tc>
          <w:tcPr>
            <w:tcW w:w="0" w:type="auto"/>
            <w:vAlign w:val="center"/>
          </w:tcPr>
          <w:p w14:paraId="4B3B56B6" w14:textId="3B581B57"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–0.06</w:t>
            </w:r>
          </w:p>
        </w:tc>
        <w:tc>
          <w:tcPr>
            <w:tcW w:w="0" w:type="auto"/>
            <w:vAlign w:val="center"/>
          </w:tcPr>
          <w:p w14:paraId="3E7A52B8" w14:textId="3E1DA3C2"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0.950</w:t>
            </w:r>
          </w:p>
        </w:tc>
        <w:tc>
          <w:tcPr>
            <w:tcW w:w="0" w:type="auto"/>
            <w:vAlign w:val="center"/>
          </w:tcPr>
          <w:p w14:paraId="75C42512" w14:textId="12202A70"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0.9685668</w:t>
            </w:r>
          </w:p>
        </w:tc>
        <w:tc>
          <w:tcPr>
            <w:tcW w:w="0" w:type="auto"/>
            <w:vAlign w:val="center"/>
          </w:tcPr>
          <w:p w14:paraId="00CF27A4" w14:textId="7708BFCF"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1.0304020</w:t>
            </w:r>
          </w:p>
        </w:tc>
      </w:tr>
      <w:tr w:rsidR="006163EE" w:rsidRPr="006163EE" w14:paraId="64193EB7" w14:textId="77777777" w:rsidTr="006F26F5">
        <w:tc>
          <w:tcPr>
            <w:tcW w:w="0" w:type="auto"/>
            <w:vAlign w:val="center"/>
          </w:tcPr>
          <w:p w14:paraId="2CED453E" w14:textId="25B36016" w:rsidR="006163EE" w:rsidRPr="006163EE" w:rsidRDefault="006163EE" w:rsidP="006163EE">
            <w:pPr>
              <w:rPr>
                <w:rFonts w:ascii="Courier New" w:eastAsiaTheme="majorEastAsia" w:hAnsi="Courier New" w:cs="Courier New"/>
                <w:b/>
                <w:bCs/>
                <w:sz w:val="15"/>
                <w:szCs w:val="15"/>
              </w:rPr>
            </w:pPr>
            <w:r w:rsidRPr="006163EE">
              <w:rPr>
                <w:rFonts w:ascii="Courier New" w:hAnsi="Courier New" w:cs="Courier New"/>
                <w:b/>
                <w:bCs/>
                <w:sz w:val="15"/>
                <w:szCs w:val="15"/>
              </w:rPr>
              <w:t>Clinic × Prison × Dose</w:t>
            </w:r>
          </w:p>
        </w:tc>
        <w:tc>
          <w:tcPr>
            <w:tcW w:w="0" w:type="auto"/>
            <w:vAlign w:val="center"/>
          </w:tcPr>
          <w:p w14:paraId="25861E40"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25433A5B"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1F2280A0"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09AD47DE"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57AAC14A" w14:textId="77777777" w:rsidR="006163EE" w:rsidRPr="006163EE" w:rsidRDefault="006163EE" w:rsidP="006163EE">
            <w:pPr>
              <w:rPr>
                <w:rFonts w:ascii="Courier New" w:eastAsiaTheme="majorEastAsia" w:hAnsi="Courier New" w:cs="Courier New"/>
                <w:b/>
                <w:bCs/>
                <w:sz w:val="15"/>
                <w:szCs w:val="15"/>
              </w:rPr>
            </w:pPr>
          </w:p>
        </w:tc>
        <w:tc>
          <w:tcPr>
            <w:tcW w:w="0" w:type="auto"/>
            <w:vAlign w:val="center"/>
          </w:tcPr>
          <w:p w14:paraId="4CC60777" w14:textId="77777777" w:rsidR="006163EE" w:rsidRPr="006163EE" w:rsidRDefault="006163EE" w:rsidP="006163EE">
            <w:pPr>
              <w:rPr>
                <w:rFonts w:ascii="Courier New" w:eastAsiaTheme="majorEastAsia" w:hAnsi="Courier New" w:cs="Courier New"/>
                <w:b/>
                <w:bCs/>
                <w:sz w:val="15"/>
                <w:szCs w:val="15"/>
              </w:rPr>
            </w:pPr>
          </w:p>
        </w:tc>
      </w:tr>
      <w:tr w:rsidR="006163EE" w14:paraId="0EE19F78" w14:textId="77777777" w:rsidTr="006F26F5">
        <w:tc>
          <w:tcPr>
            <w:tcW w:w="0" w:type="auto"/>
            <w:vAlign w:val="center"/>
          </w:tcPr>
          <w:p w14:paraId="3787CE32" w14:textId="6D79F77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2.clinic × 1.prison × dose_c</w:t>
            </w:r>
          </w:p>
        </w:tc>
        <w:tc>
          <w:tcPr>
            <w:tcW w:w="0" w:type="auto"/>
            <w:vAlign w:val="center"/>
          </w:tcPr>
          <w:p w14:paraId="6FFE143A" w14:textId="7B16A6E1"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1.0447990</w:t>
            </w:r>
          </w:p>
        </w:tc>
        <w:tc>
          <w:tcPr>
            <w:tcW w:w="0" w:type="auto"/>
            <w:vAlign w:val="center"/>
          </w:tcPr>
          <w:p w14:paraId="015ADA87" w14:textId="2F0CF71B"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0.0303978</w:t>
            </w:r>
          </w:p>
        </w:tc>
        <w:tc>
          <w:tcPr>
            <w:tcW w:w="0" w:type="auto"/>
            <w:vAlign w:val="center"/>
          </w:tcPr>
          <w:p w14:paraId="157E1E46" w14:textId="1F7099E8"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1.51</w:t>
            </w:r>
          </w:p>
        </w:tc>
        <w:tc>
          <w:tcPr>
            <w:tcW w:w="0" w:type="auto"/>
            <w:vAlign w:val="center"/>
          </w:tcPr>
          <w:p w14:paraId="225C23DF" w14:textId="3DCD1D9E"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0.132</w:t>
            </w:r>
          </w:p>
        </w:tc>
        <w:tc>
          <w:tcPr>
            <w:tcW w:w="0" w:type="auto"/>
            <w:vAlign w:val="center"/>
          </w:tcPr>
          <w:p w14:paraId="43D8E915" w14:textId="00F6030E"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0.9868871</w:t>
            </w:r>
          </w:p>
        </w:tc>
        <w:tc>
          <w:tcPr>
            <w:tcW w:w="0" w:type="auto"/>
            <w:vAlign w:val="center"/>
          </w:tcPr>
          <w:p w14:paraId="73729C43" w14:textId="78DFDC97" w:rsidR="006163EE" w:rsidRPr="006163EE" w:rsidRDefault="006163EE" w:rsidP="006163EE">
            <w:pPr>
              <w:rPr>
                <w:rFonts w:ascii="Courier New" w:eastAsiaTheme="majorEastAsia" w:hAnsi="Courier New" w:cs="Courier New"/>
                <w:sz w:val="15"/>
                <w:szCs w:val="15"/>
              </w:rPr>
            </w:pPr>
            <w:r w:rsidRPr="006163EE">
              <w:rPr>
                <w:rFonts w:ascii="Courier New" w:hAnsi="Courier New" w:cs="Courier New"/>
                <w:sz w:val="15"/>
                <w:szCs w:val="15"/>
              </w:rPr>
              <w:t>1.1061090</w:t>
            </w:r>
          </w:p>
        </w:tc>
      </w:tr>
    </w:tbl>
    <w:p w14:paraId="18DF5866" w14:textId="15773484" w:rsidR="00355E2D" w:rsidRPr="00355E2D" w:rsidRDefault="0022634E" w:rsidP="0022634E">
      <w:pPr>
        <w:spacing w:line="480" w:lineRule="auto"/>
        <w:jc w:val="both"/>
        <w:rPr>
          <w:sz w:val="22"/>
          <w:szCs w:val="22"/>
        </w:rPr>
      </w:pPr>
      <w:r w:rsidRPr="006F26F5">
        <w:rPr>
          <w:sz w:val="22"/>
          <w:szCs w:val="22"/>
        </w:rPr>
        <w:t>Figure 3</w:t>
      </w:r>
      <w:r w:rsidRPr="0022634E">
        <w:rPr>
          <w:sz w:val="22"/>
          <w:szCs w:val="22"/>
        </w:rPr>
        <w:t xml:space="preserve"> shows the model‐predicted survival curves for a “reference” patient (no prior incarceration, dose fixed at the sample mean) in each clinic.</w:t>
      </w:r>
      <w:r w:rsidRPr="0022634E">
        <w:rPr>
          <w:rFonts w:eastAsiaTheme="majorEastAsia"/>
          <w:sz w:val="22"/>
          <w:szCs w:val="22"/>
        </w:rPr>
        <w:t xml:space="preserve">  </w:t>
      </w:r>
      <w:r w:rsidRPr="0022634E">
        <w:rPr>
          <w:sz w:val="22"/>
          <w:szCs w:val="22"/>
        </w:rPr>
        <w:t xml:space="preserve">These curves, </w:t>
      </w:r>
      <w:r w:rsidRPr="0022634E">
        <w:rPr>
          <w:rFonts w:eastAsiaTheme="majorEastAsia"/>
          <w:sz w:val="22"/>
          <w:szCs w:val="22"/>
        </w:rPr>
        <w:t>survival at1(clinic=1 prison=0 dose_c=0) at2(clinic=2 prison=0 dose_c=0)</w:t>
      </w:r>
      <w:r w:rsidRPr="0022634E">
        <w:rPr>
          <w:sz w:val="22"/>
          <w:szCs w:val="22"/>
        </w:rPr>
        <w:t>, illustrate that—even after adjusting for dose and prison history—the maintenance‐oriented clinic (Clinic 2; red line) consistently yields higher retention probabilities than the abstinence‐oriented clinic (Clinic 1; blue line) across the 36-month period.</w:t>
      </w:r>
      <w:r w:rsidRPr="0022634E">
        <w:rPr>
          <w:rFonts w:eastAsiaTheme="majorEastAsia"/>
          <w:sz w:val="22"/>
          <w:szCs w:val="22"/>
        </w:rPr>
        <w:t xml:space="preserve">  </w:t>
      </w:r>
      <w:r w:rsidRPr="0022634E">
        <w:rPr>
          <w:sz w:val="22"/>
          <w:szCs w:val="22"/>
        </w:rPr>
        <w:t>For example, at 12 months the predicted probability of remaining in treatment is approximately 65 % in Clinic 2 versus 55 % in Clinic 1; by 24 months these estimates diverge further to about 52 % versus 38 %, respectively.</w:t>
      </w:r>
      <w:r w:rsidRPr="0022634E">
        <w:rPr>
          <w:rFonts w:eastAsiaTheme="majorEastAsia"/>
          <w:sz w:val="22"/>
          <w:szCs w:val="22"/>
        </w:rPr>
        <w:t xml:space="preserve">  </w:t>
      </w:r>
      <w:r w:rsidRPr="0022634E">
        <w:rPr>
          <w:sz w:val="22"/>
          <w:szCs w:val="22"/>
        </w:rPr>
        <w:t>This visualization underscores the substantive impact of clinic policy on patient engagement over time.</w:t>
      </w:r>
    </w:p>
    <w:p w14:paraId="40260415" w14:textId="0631F03B" w:rsidR="00E451F7" w:rsidRPr="00E451F7" w:rsidRDefault="00E451F7" w:rsidP="00E451F7">
      <w:pPr>
        <w:pStyle w:val="Caption"/>
        <w:keepNext/>
        <w:rPr>
          <w:b/>
          <w:bCs/>
          <w:sz w:val="13"/>
          <w:szCs w:val="13"/>
        </w:rPr>
      </w:pPr>
      <w:r w:rsidRPr="00E451F7">
        <w:rPr>
          <w:b/>
          <w:bCs/>
          <w:sz w:val="13"/>
          <w:szCs w:val="13"/>
        </w:rPr>
        <w:t xml:space="preserve">Figure </w:t>
      </w:r>
      <w:r w:rsidRPr="00E451F7">
        <w:rPr>
          <w:b/>
          <w:bCs/>
          <w:sz w:val="13"/>
          <w:szCs w:val="13"/>
        </w:rPr>
        <w:fldChar w:fldCharType="begin"/>
      </w:r>
      <w:r w:rsidRPr="00E451F7">
        <w:rPr>
          <w:b/>
          <w:bCs/>
          <w:sz w:val="13"/>
          <w:szCs w:val="13"/>
        </w:rPr>
        <w:instrText xml:space="preserve"> SEQ Figure \* ARABIC </w:instrText>
      </w:r>
      <w:r w:rsidRPr="00E451F7">
        <w:rPr>
          <w:b/>
          <w:bCs/>
          <w:sz w:val="13"/>
          <w:szCs w:val="13"/>
        </w:rPr>
        <w:fldChar w:fldCharType="separate"/>
      </w:r>
      <w:r w:rsidRPr="00E451F7">
        <w:rPr>
          <w:b/>
          <w:bCs/>
          <w:noProof/>
          <w:sz w:val="13"/>
          <w:szCs w:val="13"/>
        </w:rPr>
        <w:t>2</w:t>
      </w:r>
      <w:r w:rsidRPr="00E451F7">
        <w:rPr>
          <w:b/>
          <w:bCs/>
          <w:sz w:val="13"/>
          <w:szCs w:val="13"/>
        </w:rPr>
        <w:fldChar w:fldCharType="end"/>
      </w:r>
      <w:r w:rsidRPr="00E451F7">
        <w:rPr>
          <w:b/>
          <w:bCs/>
          <w:sz w:val="13"/>
          <w:szCs w:val="13"/>
        </w:rPr>
        <w:t>: Predicted Retention by Clinic</w:t>
      </w:r>
    </w:p>
    <w:p w14:paraId="66EDD0FA" w14:textId="34F0C9F6" w:rsidR="002B4B84" w:rsidRPr="006F26F5" w:rsidRDefault="008E12E8" w:rsidP="00CE570C">
      <w:r w:rsidRPr="008E12E8">
        <w:rPr>
          <w:noProof/>
        </w:rPr>
        <w:drawing>
          <wp:inline distT="0" distB="0" distL="0" distR="0" wp14:anchorId="2291C21D" wp14:editId="152B6A20">
            <wp:extent cx="2814810" cy="1688886"/>
            <wp:effectExtent l="0" t="0" r="5080" b="635"/>
            <wp:docPr id="1439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376" name=""/>
                    <pic:cNvPicPr/>
                  </pic:nvPicPr>
                  <pic:blipFill>
                    <a:blip r:embed="rId8"/>
                    <a:stretch>
                      <a:fillRect/>
                    </a:stretch>
                  </pic:blipFill>
                  <pic:spPr>
                    <a:xfrm>
                      <a:off x="0" y="0"/>
                      <a:ext cx="2841177" cy="1704706"/>
                    </a:xfrm>
                    <a:prstGeom prst="rect">
                      <a:avLst/>
                    </a:prstGeom>
                  </pic:spPr>
                </pic:pic>
              </a:graphicData>
            </a:graphic>
          </wp:inline>
        </w:drawing>
      </w:r>
    </w:p>
    <w:p w14:paraId="5F93CD19" w14:textId="77777777" w:rsidR="00824778" w:rsidRPr="009D37FE" w:rsidRDefault="00824778" w:rsidP="00CE570C">
      <w:pPr>
        <w:rPr>
          <w:color w:val="FF0000"/>
          <w:sz w:val="22"/>
          <w:szCs w:val="22"/>
        </w:rPr>
      </w:pPr>
    </w:p>
    <w:p w14:paraId="4FA05A2B" w14:textId="18658E54" w:rsidR="006F26F5" w:rsidRPr="006F26F5" w:rsidRDefault="006F26F5" w:rsidP="006F26F5">
      <w:pPr>
        <w:pStyle w:val="Caption"/>
        <w:keepNext/>
        <w:rPr>
          <w:b/>
          <w:bCs/>
          <w:sz w:val="13"/>
          <w:szCs w:val="13"/>
        </w:rPr>
      </w:pPr>
      <w:r w:rsidRPr="006F26F5">
        <w:rPr>
          <w:b/>
          <w:bCs/>
          <w:sz w:val="13"/>
          <w:szCs w:val="13"/>
        </w:rPr>
        <w:t xml:space="preserve">Table </w:t>
      </w:r>
      <w:r w:rsidRPr="006F26F5">
        <w:rPr>
          <w:b/>
          <w:bCs/>
          <w:sz w:val="13"/>
          <w:szCs w:val="13"/>
        </w:rPr>
        <w:fldChar w:fldCharType="begin"/>
      </w:r>
      <w:r w:rsidRPr="006F26F5">
        <w:rPr>
          <w:b/>
          <w:bCs/>
          <w:sz w:val="13"/>
          <w:szCs w:val="13"/>
        </w:rPr>
        <w:instrText xml:space="preserve"> SEQ Table \* ARABIC </w:instrText>
      </w:r>
      <w:r w:rsidRPr="006F26F5">
        <w:rPr>
          <w:b/>
          <w:bCs/>
          <w:sz w:val="13"/>
          <w:szCs w:val="13"/>
        </w:rPr>
        <w:fldChar w:fldCharType="separate"/>
      </w:r>
      <w:r w:rsidRPr="006F26F5">
        <w:rPr>
          <w:b/>
          <w:bCs/>
          <w:noProof/>
          <w:sz w:val="13"/>
          <w:szCs w:val="13"/>
        </w:rPr>
        <w:t>8</w:t>
      </w:r>
      <w:r w:rsidRPr="006F26F5">
        <w:rPr>
          <w:b/>
          <w:bCs/>
          <w:sz w:val="13"/>
          <w:szCs w:val="13"/>
        </w:rPr>
        <w:fldChar w:fldCharType="end"/>
      </w:r>
      <w:r w:rsidRPr="006F26F5">
        <w:rPr>
          <w:b/>
          <w:bCs/>
          <w:sz w:val="13"/>
          <w:szCs w:val="13"/>
        </w:rPr>
        <w:t>: Cox-regression and competing models</w:t>
      </w:r>
    </w:p>
    <w:tbl>
      <w:tblPr>
        <w:tblStyle w:val="GridTable6Colorful"/>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3547"/>
        <w:gridCol w:w="3547"/>
      </w:tblGrid>
      <w:tr w:rsidR="007503DB" w:rsidRPr="006F26F5" w14:paraId="27CEF1DE" w14:textId="77777777" w:rsidTr="00AA1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auto"/>
            <w:hideMark/>
          </w:tcPr>
          <w:p w14:paraId="000B5897" w14:textId="77777777" w:rsidR="007503DB" w:rsidRPr="006F26F5" w:rsidRDefault="007503DB" w:rsidP="00D35C22">
            <w:pPr>
              <w:rPr>
                <w:rFonts w:ascii="Courier New" w:hAnsi="Courier New" w:cs="Courier New"/>
                <w:sz w:val="15"/>
                <w:szCs w:val="15"/>
              </w:rPr>
            </w:pPr>
            <w:r w:rsidRPr="006F26F5">
              <w:rPr>
                <w:rFonts w:ascii="Courier New" w:hAnsi="Courier New" w:cs="Courier New"/>
                <w:sz w:val="15"/>
                <w:szCs w:val="15"/>
              </w:rPr>
              <w:t>Predictor</w:t>
            </w:r>
          </w:p>
        </w:tc>
        <w:tc>
          <w:tcPr>
            <w:tcW w:w="0" w:type="auto"/>
            <w:tcBorders>
              <w:top w:val="single" w:sz="4" w:space="0" w:color="auto"/>
              <w:bottom w:val="single" w:sz="4" w:space="0" w:color="auto"/>
            </w:tcBorders>
            <w:shd w:val="clear" w:color="auto" w:fill="auto"/>
            <w:hideMark/>
          </w:tcPr>
          <w:p w14:paraId="4E523C25" w14:textId="77777777" w:rsidR="007503DB" w:rsidRPr="006F26F5" w:rsidRDefault="007503DB" w:rsidP="00D35C22">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Cox PH</w:t>
            </w:r>
          </w:p>
        </w:tc>
        <w:tc>
          <w:tcPr>
            <w:tcW w:w="0" w:type="auto"/>
            <w:tcBorders>
              <w:top w:val="single" w:sz="4" w:space="0" w:color="auto"/>
              <w:bottom w:val="single" w:sz="4" w:space="0" w:color="auto"/>
            </w:tcBorders>
            <w:shd w:val="clear" w:color="auto" w:fill="auto"/>
            <w:hideMark/>
          </w:tcPr>
          <w:p w14:paraId="43DA467D" w14:textId="77777777" w:rsidR="007503DB" w:rsidRPr="006F26F5" w:rsidRDefault="007503DB" w:rsidP="00D35C22">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Piecewise</w:t>
            </w:r>
            <w:r w:rsidRPr="006F26F5">
              <w:rPr>
                <w:rFonts w:ascii="Cambria Math" w:hAnsi="Cambria Math" w:cs="Cambria Math"/>
                <w:sz w:val="15"/>
                <w:szCs w:val="15"/>
              </w:rPr>
              <w:t>‐</w:t>
            </w:r>
            <w:r w:rsidRPr="006F26F5">
              <w:rPr>
                <w:rFonts w:ascii="Courier New" w:hAnsi="Courier New" w:cs="Courier New"/>
                <w:sz w:val="15"/>
                <w:szCs w:val="15"/>
              </w:rPr>
              <w:t>Exponential</w:t>
            </w:r>
          </w:p>
        </w:tc>
      </w:tr>
      <w:tr w:rsidR="007503DB" w:rsidRPr="006F26F5" w14:paraId="70E18857" w14:textId="77777777" w:rsidTr="00AA1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49219DED" w14:textId="77777777" w:rsidR="007503DB" w:rsidRPr="006F26F5" w:rsidRDefault="007503DB" w:rsidP="00D35C22">
            <w:pPr>
              <w:rPr>
                <w:rFonts w:ascii="Courier New" w:hAnsi="Courier New" w:cs="Courier New"/>
                <w:sz w:val="15"/>
                <w:szCs w:val="15"/>
              </w:rPr>
            </w:pPr>
            <w:r w:rsidRPr="006F26F5">
              <w:rPr>
                <w:rFonts w:ascii="Courier New" w:hAnsi="Courier New" w:cs="Courier New"/>
                <w:sz w:val="15"/>
                <w:szCs w:val="15"/>
              </w:rPr>
              <w:t>Clinic 2 vs 1</w:t>
            </w:r>
          </w:p>
        </w:tc>
        <w:tc>
          <w:tcPr>
            <w:tcW w:w="0" w:type="auto"/>
            <w:tcBorders>
              <w:top w:val="single" w:sz="4" w:space="0" w:color="auto"/>
            </w:tcBorders>
            <w:shd w:val="clear" w:color="auto" w:fill="auto"/>
            <w:hideMark/>
          </w:tcPr>
          <w:p w14:paraId="29B4637E"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0.364 (0.239–0.555)***</w:t>
            </w:r>
          </w:p>
        </w:tc>
        <w:tc>
          <w:tcPr>
            <w:tcW w:w="0" w:type="auto"/>
            <w:tcBorders>
              <w:top w:val="single" w:sz="4" w:space="0" w:color="auto"/>
            </w:tcBorders>
            <w:shd w:val="clear" w:color="auto" w:fill="auto"/>
            <w:hideMark/>
          </w:tcPr>
          <w:p w14:paraId="08599CD0"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0.360 (0.236–0.547)***</w:t>
            </w:r>
          </w:p>
        </w:tc>
      </w:tr>
      <w:tr w:rsidR="007503DB" w:rsidRPr="006F26F5" w14:paraId="6F098E93" w14:textId="77777777" w:rsidTr="00AA1507">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73854F7" w14:textId="77777777" w:rsidR="007503DB" w:rsidRPr="006F26F5" w:rsidRDefault="007503DB" w:rsidP="00D35C22">
            <w:pPr>
              <w:rPr>
                <w:rFonts w:ascii="Courier New" w:hAnsi="Courier New" w:cs="Courier New"/>
                <w:sz w:val="15"/>
                <w:szCs w:val="15"/>
              </w:rPr>
            </w:pPr>
            <w:r w:rsidRPr="006F26F5">
              <w:rPr>
                <w:rFonts w:ascii="Courier New" w:hAnsi="Courier New" w:cs="Courier New"/>
                <w:sz w:val="15"/>
                <w:szCs w:val="15"/>
              </w:rPr>
              <w:t>Prison (yes vs no)</w:t>
            </w:r>
          </w:p>
        </w:tc>
        <w:tc>
          <w:tcPr>
            <w:tcW w:w="0" w:type="auto"/>
            <w:shd w:val="clear" w:color="auto" w:fill="auto"/>
            <w:hideMark/>
          </w:tcPr>
          <w:p w14:paraId="672035A9" w14:textId="2339EBD9"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1.386 (0.999–1.924)</w:t>
            </w:r>
          </w:p>
        </w:tc>
        <w:tc>
          <w:tcPr>
            <w:tcW w:w="0" w:type="auto"/>
            <w:shd w:val="clear" w:color="auto" w:fill="auto"/>
            <w:hideMark/>
          </w:tcPr>
          <w:p w14:paraId="59B77B7F" w14:textId="0019B608"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1.372 (0.990–1.901)</w:t>
            </w:r>
          </w:p>
        </w:tc>
      </w:tr>
      <w:tr w:rsidR="007503DB" w:rsidRPr="006F26F5" w14:paraId="589D54FE" w14:textId="77777777" w:rsidTr="00AA1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CAF9CA1" w14:textId="77777777" w:rsidR="007503DB" w:rsidRPr="006F26F5" w:rsidRDefault="007503DB" w:rsidP="00D35C22">
            <w:pPr>
              <w:rPr>
                <w:rFonts w:ascii="Courier New" w:hAnsi="Courier New" w:cs="Courier New"/>
                <w:sz w:val="15"/>
                <w:szCs w:val="15"/>
              </w:rPr>
            </w:pPr>
            <w:r w:rsidRPr="006F26F5">
              <w:rPr>
                <w:rFonts w:ascii="Courier New" w:hAnsi="Courier New" w:cs="Courier New"/>
                <w:sz w:val="15"/>
                <w:szCs w:val="15"/>
              </w:rPr>
              <w:t>Dose (per 1 mg)</w:t>
            </w:r>
          </w:p>
        </w:tc>
        <w:tc>
          <w:tcPr>
            <w:tcW w:w="0" w:type="auto"/>
            <w:shd w:val="clear" w:color="auto" w:fill="auto"/>
            <w:hideMark/>
          </w:tcPr>
          <w:p w14:paraId="5818B6A9"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0.965 (0.953–0.977)***</w:t>
            </w:r>
          </w:p>
        </w:tc>
        <w:tc>
          <w:tcPr>
            <w:tcW w:w="0" w:type="auto"/>
            <w:shd w:val="clear" w:color="auto" w:fill="auto"/>
            <w:hideMark/>
          </w:tcPr>
          <w:p w14:paraId="472459FF"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0.965 (0.954–0.977)***</w:t>
            </w:r>
          </w:p>
        </w:tc>
      </w:tr>
      <w:tr w:rsidR="00A55A4C" w:rsidRPr="006F26F5" w14:paraId="61DAA496" w14:textId="77777777" w:rsidTr="00AA1507">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E145BAD" w14:textId="6FCB8F08" w:rsidR="00A55A4C" w:rsidRPr="006F26F5" w:rsidRDefault="00A55A4C" w:rsidP="00D35C22">
            <w:pPr>
              <w:rPr>
                <w:rFonts w:ascii="Courier New" w:hAnsi="Courier New" w:cs="Courier New"/>
                <w:sz w:val="15"/>
                <w:szCs w:val="15"/>
              </w:rPr>
            </w:pPr>
            <w:r w:rsidRPr="006F26F5">
              <w:rPr>
                <w:rFonts w:ascii="Courier New" w:hAnsi="Courier New" w:cs="Courier New"/>
                <w:sz w:val="15"/>
                <w:szCs w:val="15"/>
              </w:rPr>
              <w:t>Period</w:t>
            </w:r>
            <w:r w:rsidR="00246A69" w:rsidRPr="006F26F5">
              <w:rPr>
                <w:rFonts w:ascii="Courier New" w:hAnsi="Courier New" w:cs="Courier New"/>
                <w:sz w:val="15"/>
                <w:szCs w:val="15"/>
              </w:rPr>
              <w:t xml:space="preserve"> (months)</w:t>
            </w:r>
          </w:p>
        </w:tc>
        <w:tc>
          <w:tcPr>
            <w:tcW w:w="0" w:type="auto"/>
            <w:shd w:val="clear" w:color="auto" w:fill="auto"/>
          </w:tcPr>
          <w:p w14:paraId="1E0DE726" w14:textId="77777777" w:rsidR="00A55A4C" w:rsidRPr="006F26F5" w:rsidRDefault="00A55A4C"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p>
        </w:tc>
        <w:tc>
          <w:tcPr>
            <w:tcW w:w="0" w:type="auto"/>
            <w:shd w:val="clear" w:color="auto" w:fill="auto"/>
          </w:tcPr>
          <w:p w14:paraId="1669547B" w14:textId="77777777" w:rsidR="00A55A4C" w:rsidRPr="006F26F5" w:rsidRDefault="00A55A4C"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p>
        </w:tc>
      </w:tr>
      <w:tr w:rsidR="007503DB" w:rsidRPr="006F26F5" w14:paraId="76AF281E" w14:textId="77777777" w:rsidTr="00AA1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6D26772" w14:textId="33CFF4B7" w:rsidR="007503DB" w:rsidRPr="006F26F5" w:rsidRDefault="00246A69" w:rsidP="00D35C22">
            <w:pPr>
              <w:rPr>
                <w:rFonts w:ascii="Courier New" w:hAnsi="Courier New" w:cs="Courier New"/>
                <w:sz w:val="15"/>
                <w:szCs w:val="15"/>
              </w:rPr>
            </w:pPr>
            <w:r w:rsidRPr="006F26F5">
              <w:rPr>
                <w:rFonts w:ascii="Courier New" w:hAnsi="Courier New" w:cs="Courier New"/>
                <w:sz w:val="15"/>
                <w:szCs w:val="15"/>
              </w:rPr>
              <w:t>[</w:t>
            </w:r>
            <w:r w:rsidR="007503DB" w:rsidRPr="006F26F5">
              <w:rPr>
                <w:rFonts w:ascii="Courier New" w:hAnsi="Courier New" w:cs="Courier New"/>
                <w:sz w:val="15"/>
                <w:szCs w:val="15"/>
              </w:rPr>
              <w:t>1–3</w:t>
            </w:r>
            <w:r w:rsidRPr="006F26F5">
              <w:rPr>
                <w:rFonts w:ascii="Courier New" w:hAnsi="Courier New" w:cs="Courier New"/>
                <w:sz w:val="15"/>
                <w:szCs w:val="15"/>
              </w:rPr>
              <w:t>)</w:t>
            </w:r>
          </w:p>
        </w:tc>
        <w:tc>
          <w:tcPr>
            <w:tcW w:w="0" w:type="auto"/>
            <w:shd w:val="clear" w:color="auto" w:fill="auto"/>
            <w:hideMark/>
          </w:tcPr>
          <w:p w14:paraId="70D74BB7"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w:t>
            </w:r>
          </w:p>
        </w:tc>
        <w:tc>
          <w:tcPr>
            <w:tcW w:w="0" w:type="auto"/>
            <w:shd w:val="clear" w:color="auto" w:fill="auto"/>
            <w:hideMark/>
          </w:tcPr>
          <w:p w14:paraId="0E809A61" w14:textId="5F6661D0"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1.27</w:t>
            </w:r>
            <w:r w:rsidR="00396878" w:rsidRPr="006F26F5">
              <w:rPr>
                <w:rFonts w:ascii="Courier New" w:hAnsi="Courier New" w:cs="Courier New"/>
                <w:sz w:val="15"/>
                <w:szCs w:val="15"/>
              </w:rPr>
              <w:t>0</w:t>
            </w:r>
            <w:r w:rsidRPr="006F26F5">
              <w:rPr>
                <w:rFonts w:ascii="Courier New" w:hAnsi="Courier New" w:cs="Courier New"/>
                <w:sz w:val="15"/>
                <w:szCs w:val="15"/>
              </w:rPr>
              <w:t xml:space="preserve"> (0.52</w:t>
            </w:r>
            <w:r w:rsidR="00396878" w:rsidRPr="006F26F5">
              <w:rPr>
                <w:rFonts w:ascii="Courier New" w:hAnsi="Courier New" w:cs="Courier New"/>
                <w:sz w:val="15"/>
                <w:szCs w:val="15"/>
              </w:rPr>
              <w:t>3</w:t>
            </w:r>
            <w:r w:rsidRPr="006F26F5">
              <w:rPr>
                <w:rFonts w:ascii="Courier New" w:hAnsi="Courier New" w:cs="Courier New"/>
                <w:sz w:val="15"/>
                <w:szCs w:val="15"/>
              </w:rPr>
              <w:t>–3.0</w:t>
            </w:r>
            <w:r w:rsidR="00396878" w:rsidRPr="006F26F5">
              <w:rPr>
                <w:rFonts w:ascii="Courier New" w:hAnsi="Courier New" w:cs="Courier New"/>
                <w:sz w:val="15"/>
                <w:szCs w:val="15"/>
              </w:rPr>
              <w:t>87</w:t>
            </w:r>
            <w:r w:rsidRPr="006F26F5">
              <w:rPr>
                <w:rFonts w:ascii="Courier New" w:hAnsi="Courier New" w:cs="Courier New"/>
                <w:sz w:val="15"/>
                <w:szCs w:val="15"/>
              </w:rPr>
              <w:t>)</w:t>
            </w:r>
          </w:p>
        </w:tc>
      </w:tr>
      <w:tr w:rsidR="007503DB" w:rsidRPr="006F26F5" w14:paraId="143B0AA2" w14:textId="77777777" w:rsidTr="00AA1507">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A2FF89" w14:textId="371B0ED8" w:rsidR="007503DB" w:rsidRPr="006F26F5" w:rsidRDefault="00246A69" w:rsidP="00D35C22">
            <w:pPr>
              <w:rPr>
                <w:rFonts w:ascii="Courier New" w:hAnsi="Courier New" w:cs="Courier New"/>
                <w:sz w:val="15"/>
                <w:szCs w:val="15"/>
              </w:rPr>
            </w:pPr>
            <w:r w:rsidRPr="006F26F5">
              <w:rPr>
                <w:rFonts w:ascii="Courier New" w:hAnsi="Courier New" w:cs="Courier New"/>
                <w:sz w:val="15"/>
                <w:szCs w:val="15"/>
              </w:rPr>
              <w:t>[</w:t>
            </w:r>
            <w:r w:rsidR="007503DB" w:rsidRPr="006F26F5">
              <w:rPr>
                <w:rFonts w:ascii="Courier New" w:hAnsi="Courier New" w:cs="Courier New"/>
                <w:sz w:val="15"/>
                <w:szCs w:val="15"/>
              </w:rPr>
              <w:t>3–6</w:t>
            </w:r>
            <w:r w:rsidRPr="006F26F5">
              <w:rPr>
                <w:rFonts w:ascii="Courier New" w:hAnsi="Courier New" w:cs="Courier New"/>
                <w:sz w:val="15"/>
                <w:szCs w:val="15"/>
              </w:rPr>
              <w:t>)</w:t>
            </w:r>
          </w:p>
        </w:tc>
        <w:tc>
          <w:tcPr>
            <w:tcW w:w="0" w:type="auto"/>
            <w:shd w:val="clear" w:color="auto" w:fill="auto"/>
            <w:hideMark/>
          </w:tcPr>
          <w:p w14:paraId="6031EF2D" w14:textId="77777777"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w:t>
            </w:r>
          </w:p>
        </w:tc>
        <w:tc>
          <w:tcPr>
            <w:tcW w:w="0" w:type="auto"/>
            <w:shd w:val="clear" w:color="auto" w:fill="auto"/>
            <w:hideMark/>
          </w:tcPr>
          <w:p w14:paraId="76B18B54" w14:textId="4DD9F63F"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1.56</w:t>
            </w:r>
            <w:r w:rsidR="006D1929" w:rsidRPr="006F26F5">
              <w:rPr>
                <w:rFonts w:ascii="Courier New" w:hAnsi="Courier New" w:cs="Courier New"/>
                <w:sz w:val="15"/>
                <w:szCs w:val="15"/>
              </w:rPr>
              <w:t>2</w:t>
            </w:r>
            <w:r w:rsidRPr="006F26F5">
              <w:rPr>
                <w:rFonts w:ascii="Courier New" w:hAnsi="Courier New" w:cs="Courier New"/>
                <w:sz w:val="15"/>
                <w:szCs w:val="15"/>
              </w:rPr>
              <w:t xml:space="preserve"> (0.6</w:t>
            </w:r>
            <w:r w:rsidR="00144805" w:rsidRPr="006F26F5">
              <w:rPr>
                <w:rFonts w:ascii="Courier New" w:hAnsi="Courier New" w:cs="Courier New"/>
                <w:sz w:val="15"/>
                <w:szCs w:val="15"/>
              </w:rPr>
              <w:t>76</w:t>
            </w:r>
            <w:r w:rsidRPr="006F26F5">
              <w:rPr>
                <w:rFonts w:ascii="Courier New" w:hAnsi="Courier New" w:cs="Courier New"/>
                <w:sz w:val="15"/>
                <w:szCs w:val="15"/>
              </w:rPr>
              <w:t>–3.61</w:t>
            </w:r>
            <w:r w:rsidR="00144805" w:rsidRPr="006F26F5">
              <w:rPr>
                <w:rFonts w:ascii="Courier New" w:hAnsi="Courier New" w:cs="Courier New"/>
                <w:sz w:val="15"/>
                <w:szCs w:val="15"/>
              </w:rPr>
              <w:t>3</w:t>
            </w:r>
            <w:r w:rsidRPr="006F26F5">
              <w:rPr>
                <w:rFonts w:ascii="Courier New" w:hAnsi="Courier New" w:cs="Courier New"/>
                <w:sz w:val="15"/>
                <w:szCs w:val="15"/>
              </w:rPr>
              <w:t>)</w:t>
            </w:r>
          </w:p>
        </w:tc>
      </w:tr>
      <w:tr w:rsidR="007503DB" w:rsidRPr="006F26F5" w14:paraId="6B9DDF81" w14:textId="77777777" w:rsidTr="00AA1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1398BB" w14:textId="030CD5FF" w:rsidR="007503DB" w:rsidRPr="006F26F5" w:rsidRDefault="00246A69" w:rsidP="00D35C22">
            <w:pPr>
              <w:rPr>
                <w:rFonts w:ascii="Courier New" w:hAnsi="Courier New" w:cs="Courier New"/>
                <w:sz w:val="15"/>
                <w:szCs w:val="15"/>
              </w:rPr>
            </w:pPr>
            <w:r w:rsidRPr="006F26F5">
              <w:rPr>
                <w:rFonts w:ascii="Courier New" w:hAnsi="Courier New" w:cs="Courier New"/>
                <w:sz w:val="15"/>
                <w:szCs w:val="15"/>
              </w:rPr>
              <w:t>[</w:t>
            </w:r>
            <w:r w:rsidR="007503DB" w:rsidRPr="006F26F5">
              <w:rPr>
                <w:rFonts w:ascii="Courier New" w:hAnsi="Courier New" w:cs="Courier New"/>
                <w:sz w:val="15"/>
                <w:szCs w:val="15"/>
              </w:rPr>
              <w:t>6–12</w:t>
            </w:r>
            <w:r w:rsidRPr="006F26F5">
              <w:rPr>
                <w:rFonts w:ascii="Courier New" w:hAnsi="Courier New" w:cs="Courier New"/>
                <w:sz w:val="15"/>
                <w:szCs w:val="15"/>
              </w:rPr>
              <w:t>)</w:t>
            </w:r>
          </w:p>
        </w:tc>
        <w:tc>
          <w:tcPr>
            <w:tcW w:w="0" w:type="auto"/>
            <w:shd w:val="clear" w:color="auto" w:fill="auto"/>
            <w:hideMark/>
          </w:tcPr>
          <w:p w14:paraId="62D71A65"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w:t>
            </w:r>
          </w:p>
        </w:tc>
        <w:tc>
          <w:tcPr>
            <w:tcW w:w="0" w:type="auto"/>
            <w:shd w:val="clear" w:color="auto" w:fill="auto"/>
            <w:hideMark/>
          </w:tcPr>
          <w:p w14:paraId="711C7413" w14:textId="72D70804"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1.7</w:t>
            </w:r>
            <w:r w:rsidR="00144805" w:rsidRPr="006F26F5">
              <w:rPr>
                <w:rFonts w:ascii="Courier New" w:hAnsi="Courier New" w:cs="Courier New"/>
                <w:sz w:val="15"/>
                <w:szCs w:val="15"/>
              </w:rPr>
              <w:t>77</w:t>
            </w:r>
            <w:r w:rsidRPr="006F26F5">
              <w:rPr>
                <w:rFonts w:ascii="Courier New" w:hAnsi="Courier New" w:cs="Courier New"/>
                <w:sz w:val="15"/>
                <w:szCs w:val="15"/>
              </w:rPr>
              <w:t xml:space="preserve"> (0.79</w:t>
            </w:r>
            <w:r w:rsidR="00144805" w:rsidRPr="006F26F5">
              <w:rPr>
                <w:rFonts w:ascii="Courier New" w:hAnsi="Courier New" w:cs="Courier New"/>
                <w:sz w:val="15"/>
                <w:szCs w:val="15"/>
              </w:rPr>
              <w:t>4</w:t>
            </w:r>
            <w:r w:rsidRPr="006F26F5">
              <w:rPr>
                <w:rFonts w:ascii="Courier New" w:hAnsi="Courier New" w:cs="Courier New"/>
                <w:sz w:val="15"/>
                <w:szCs w:val="15"/>
              </w:rPr>
              <w:t>–3.9</w:t>
            </w:r>
            <w:r w:rsidR="00144805" w:rsidRPr="006F26F5">
              <w:rPr>
                <w:rFonts w:ascii="Courier New" w:hAnsi="Courier New" w:cs="Courier New"/>
                <w:sz w:val="15"/>
                <w:szCs w:val="15"/>
              </w:rPr>
              <w:t>77</w:t>
            </w:r>
            <w:r w:rsidRPr="006F26F5">
              <w:rPr>
                <w:rFonts w:ascii="Courier New" w:hAnsi="Courier New" w:cs="Courier New"/>
                <w:sz w:val="15"/>
                <w:szCs w:val="15"/>
              </w:rPr>
              <w:t>)</w:t>
            </w:r>
          </w:p>
        </w:tc>
      </w:tr>
      <w:tr w:rsidR="007503DB" w:rsidRPr="006F26F5" w14:paraId="7A1FE9E0" w14:textId="77777777" w:rsidTr="00AA1507">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945991" w14:textId="085461EF" w:rsidR="007503DB" w:rsidRPr="006F26F5" w:rsidRDefault="00246A69" w:rsidP="00D35C22">
            <w:pPr>
              <w:rPr>
                <w:rFonts w:ascii="Courier New" w:hAnsi="Courier New" w:cs="Courier New"/>
                <w:sz w:val="15"/>
                <w:szCs w:val="15"/>
              </w:rPr>
            </w:pPr>
            <w:r w:rsidRPr="006F26F5">
              <w:rPr>
                <w:rFonts w:ascii="Courier New" w:hAnsi="Courier New" w:cs="Courier New"/>
                <w:sz w:val="15"/>
                <w:szCs w:val="15"/>
              </w:rPr>
              <w:t>[</w:t>
            </w:r>
            <w:r w:rsidR="007503DB" w:rsidRPr="006F26F5">
              <w:rPr>
                <w:rFonts w:ascii="Courier New" w:hAnsi="Courier New" w:cs="Courier New"/>
                <w:sz w:val="15"/>
                <w:szCs w:val="15"/>
              </w:rPr>
              <w:t>12–24</w:t>
            </w:r>
            <w:r w:rsidRPr="006F26F5">
              <w:rPr>
                <w:rFonts w:ascii="Courier New" w:hAnsi="Courier New" w:cs="Courier New"/>
                <w:sz w:val="15"/>
                <w:szCs w:val="15"/>
              </w:rPr>
              <w:t>)</w:t>
            </w:r>
          </w:p>
        </w:tc>
        <w:tc>
          <w:tcPr>
            <w:tcW w:w="0" w:type="auto"/>
            <w:shd w:val="clear" w:color="auto" w:fill="auto"/>
            <w:hideMark/>
          </w:tcPr>
          <w:p w14:paraId="303CD356" w14:textId="77777777"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w:t>
            </w:r>
          </w:p>
        </w:tc>
        <w:tc>
          <w:tcPr>
            <w:tcW w:w="0" w:type="auto"/>
            <w:shd w:val="clear" w:color="auto" w:fill="auto"/>
            <w:hideMark/>
          </w:tcPr>
          <w:p w14:paraId="288464E8" w14:textId="3FB48F39" w:rsidR="007503DB" w:rsidRPr="006F26F5" w:rsidRDefault="007503DB"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2.47</w:t>
            </w:r>
            <w:r w:rsidR="00144805" w:rsidRPr="006F26F5">
              <w:rPr>
                <w:rFonts w:ascii="Courier New" w:hAnsi="Courier New" w:cs="Courier New"/>
                <w:sz w:val="15"/>
                <w:szCs w:val="15"/>
              </w:rPr>
              <w:t>0</w:t>
            </w:r>
            <w:r w:rsidRPr="006F26F5">
              <w:rPr>
                <w:rFonts w:ascii="Courier New" w:hAnsi="Courier New" w:cs="Courier New"/>
                <w:sz w:val="15"/>
                <w:szCs w:val="15"/>
              </w:rPr>
              <w:t xml:space="preserve"> (1.11</w:t>
            </w:r>
            <w:r w:rsidR="00144805" w:rsidRPr="006F26F5">
              <w:rPr>
                <w:rFonts w:ascii="Courier New" w:hAnsi="Courier New" w:cs="Courier New"/>
                <w:sz w:val="15"/>
                <w:szCs w:val="15"/>
              </w:rPr>
              <w:t>3</w:t>
            </w:r>
            <w:r w:rsidRPr="006F26F5">
              <w:rPr>
                <w:rFonts w:ascii="Courier New" w:hAnsi="Courier New" w:cs="Courier New"/>
                <w:sz w:val="15"/>
                <w:szCs w:val="15"/>
              </w:rPr>
              <w:t>–5.48</w:t>
            </w:r>
            <w:r w:rsidR="00144805" w:rsidRPr="006F26F5">
              <w:rPr>
                <w:rFonts w:ascii="Courier New" w:hAnsi="Courier New" w:cs="Courier New"/>
                <w:sz w:val="15"/>
                <w:szCs w:val="15"/>
              </w:rPr>
              <w:t>3</w:t>
            </w:r>
            <w:r w:rsidRPr="006F26F5">
              <w:rPr>
                <w:rFonts w:ascii="Courier New" w:hAnsi="Courier New" w:cs="Courier New"/>
                <w:sz w:val="15"/>
                <w:szCs w:val="15"/>
              </w:rPr>
              <w:t>)*</w:t>
            </w:r>
          </w:p>
        </w:tc>
      </w:tr>
      <w:tr w:rsidR="007503DB" w:rsidRPr="006F26F5" w14:paraId="1116E86C" w14:textId="77777777" w:rsidTr="00AA1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55C2F29" w14:textId="2A7FDFDE" w:rsidR="007503DB" w:rsidRPr="006F26F5" w:rsidRDefault="007503DB" w:rsidP="00D35C22">
            <w:pPr>
              <w:rPr>
                <w:rFonts w:ascii="Courier New" w:hAnsi="Courier New" w:cs="Courier New"/>
                <w:sz w:val="15"/>
                <w:szCs w:val="15"/>
              </w:rPr>
            </w:pPr>
            <w:r w:rsidRPr="006F26F5">
              <w:rPr>
                <w:rFonts w:ascii="Courier New" w:hAnsi="Courier New" w:cs="Courier New"/>
                <w:sz w:val="15"/>
                <w:szCs w:val="15"/>
              </w:rPr>
              <w:t>≥ 24</w:t>
            </w:r>
          </w:p>
        </w:tc>
        <w:tc>
          <w:tcPr>
            <w:tcW w:w="0" w:type="auto"/>
            <w:shd w:val="clear" w:color="auto" w:fill="auto"/>
            <w:hideMark/>
          </w:tcPr>
          <w:p w14:paraId="2C8A0A3E" w14:textId="7777777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w:t>
            </w:r>
          </w:p>
        </w:tc>
        <w:tc>
          <w:tcPr>
            <w:tcW w:w="0" w:type="auto"/>
            <w:shd w:val="clear" w:color="auto" w:fill="auto"/>
            <w:hideMark/>
          </w:tcPr>
          <w:p w14:paraId="46B7B7E7" w14:textId="08350687" w:rsidR="007503DB" w:rsidRPr="006F26F5" w:rsidRDefault="007503DB" w:rsidP="00D35C2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7.42</w:t>
            </w:r>
            <w:r w:rsidR="00CE570C" w:rsidRPr="006F26F5">
              <w:rPr>
                <w:rFonts w:ascii="Courier New" w:hAnsi="Courier New" w:cs="Courier New"/>
                <w:sz w:val="15"/>
                <w:szCs w:val="15"/>
              </w:rPr>
              <w:t>3</w:t>
            </w:r>
            <w:r w:rsidRPr="006F26F5">
              <w:rPr>
                <w:rFonts w:ascii="Courier New" w:hAnsi="Courier New" w:cs="Courier New"/>
                <w:sz w:val="15"/>
                <w:szCs w:val="15"/>
              </w:rPr>
              <w:t xml:space="preserve"> (2.9</w:t>
            </w:r>
            <w:r w:rsidR="00CE570C" w:rsidRPr="006F26F5">
              <w:rPr>
                <w:rFonts w:ascii="Courier New" w:hAnsi="Courier New" w:cs="Courier New"/>
                <w:sz w:val="15"/>
                <w:szCs w:val="15"/>
              </w:rPr>
              <w:t>79</w:t>
            </w:r>
            <w:r w:rsidRPr="006F26F5">
              <w:rPr>
                <w:rFonts w:ascii="Courier New" w:hAnsi="Courier New" w:cs="Courier New"/>
                <w:sz w:val="15"/>
                <w:szCs w:val="15"/>
              </w:rPr>
              <w:t>–18.50</w:t>
            </w:r>
            <w:r w:rsidR="00CE570C" w:rsidRPr="006F26F5">
              <w:rPr>
                <w:rFonts w:ascii="Courier New" w:hAnsi="Courier New" w:cs="Courier New"/>
                <w:sz w:val="15"/>
                <w:szCs w:val="15"/>
              </w:rPr>
              <w:t>0</w:t>
            </w:r>
            <w:r w:rsidRPr="006F26F5">
              <w:rPr>
                <w:rFonts w:ascii="Courier New" w:hAnsi="Courier New" w:cs="Courier New"/>
                <w:sz w:val="15"/>
                <w:szCs w:val="15"/>
              </w:rPr>
              <w:t>)***</w:t>
            </w:r>
          </w:p>
        </w:tc>
      </w:tr>
      <w:tr w:rsidR="00D35C22" w:rsidRPr="006F26F5" w14:paraId="45555615" w14:textId="77777777" w:rsidTr="00AA1507">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463FF6F" w14:textId="47C4B3C3" w:rsidR="00D35C22" w:rsidRPr="006F26F5" w:rsidRDefault="00D35C22" w:rsidP="00D35C22">
            <w:pPr>
              <w:rPr>
                <w:rFonts w:ascii="Courier New" w:hAnsi="Courier New" w:cs="Courier New"/>
                <w:sz w:val="15"/>
                <w:szCs w:val="15"/>
              </w:rPr>
            </w:pPr>
            <w:r w:rsidRPr="006F26F5">
              <w:rPr>
                <w:rFonts w:ascii="Courier New" w:hAnsi="Courier New" w:cs="Courier New"/>
                <w:sz w:val="15"/>
                <w:szCs w:val="15"/>
              </w:rPr>
              <w:t>Model fit</w:t>
            </w:r>
          </w:p>
        </w:tc>
        <w:tc>
          <w:tcPr>
            <w:tcW w:w="0" w:type="auto"/>
            <w:shd w:val="clear" w:color="auto" w:fill="auto"/>
          </w:tcPr>
          <w:p w14:paraId="2B4AFECC" w14:textId="05A61547" w:rsidR="00D35C22" w:rsidRPr="006F26F5" w:rsidRDefault="00D35C22"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LL = −673.26; LR χ²(3)=64.56, p&lt;0.001</w:t>
            </w:r>
          </w:p>
        </w:tc>
        <w:tc>
          <w:tcPr>
            <w:tcW w:w="0" w:type="auto"/>
            <w:shd w:val="clear" w:color="auto" w:fill="auto"/>
          </w:tcPr>
          <w:p w14:paraId="771D97CC" w14:textId="6D45FE7B" w:rsidR="00D35C22" w:rsidRPr="006F26F5" w:rsidRDefault="00D35C22" w:rsidP="00D35C2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5"/>
                <w:szCs w:val="15"/>
              </w:rPr>
            </w:pPr>
            <w:r w:rsidRPr="006F26F5">
              <w:rPr>
                <w:rFonts w:ascii="Courier New" w:hAnsi="Courier New" w:cs="Courier New"/>
                <w:sz w:val="15"/>
                <w:szCs w:val="15"/>
              </w:rPr>
              <w:t>LL = −256.59; LR χ²(8)=77.70, p&lt;0.001</w:t>
            </w:r>
          </w:p>
        </w:tc>
      </w:tr>
    </w:tbl>
    <w:p w14:paraId="3FD70F21" w14:textId="41B2585D" w:rsidR="007503DB" w:rsidRPr="009D37FE" w:rsidRDefault="00D91A96" w:rsidP="00040477">
      <w:pPr>
        <w:spacing w:line="480" w:lineRule="auto"/>
        <w:rPr>
          <w:i/>
          <w:iCs/>
          <w:sz w:val="15"/>
          <w:szCs w:val="15"/>
        </w:rPr>
      </w:pPr>
      <w:r w:rsidRPr="009D37FE">
        <w:rPr>
          <w:i/>
          <w:iCs/>
          <w:sz w:val="15"/>
          <w:szCs w:val="15"/>
        </w:rPr>
        <w:t>*P&lt;0.05, **p&lt;0.</w:t>
      </w:r>
      <w:r w:rsidR="006C4874" w:rsidRPr="009D37FE">
        <w:rPr>
          <w:i/>
          <w:iCs/>
          <w:sz w:val="15"/>
          <w:szCs w:val="15"/>
        </w:rPr>
        <w:t>01, ***p&lt;0.001</w:t>
      </w:r>
    </w:p>
    <w:p w14:paraId="4ED89434" w14:textId="77777777" w:rsidR="00260A9C" w:rsidRDefault="00260A9C" w:rsidP="00260A9C">
      <w:pPr>
        <w:pStyle w:val="Heading2"/>
      </w:pPr>
    </w:p>
    <w:p w14:paraId="7CA4D076" w14:textId="3D82A4C0" w:rsidR="00F15FC5" w:rsidRPr="006F26F5" w:rsidRDefault="006F26F5" w:rsidP="006F26F5">
      <w:pPr>
        <w:spacing w:line="480" w:lineRule="auto"/>
        <w:jc w:val="both"/>
        <w:rPr>
          <w:sz w:val="22"/>
          <w:szCs w:val="22"/>
        </w:rPr>
      </w:pPr>
      <w:r>
        <w:rPr>
          <w:sz w:val="22"/>
          <w:szCs w:val="22"/>
        </w:rPr>
        <w:t>T</w:t>
      </w:r>
      <w:r w:rsidR="00E3486D" w:rsidRPr="006F26F5">
        <w:rPr>
          <w:sz w:val="22"/>
          <w:szCs w:val="22"/>
        </w:rPr>
        <w:t xml:space="preserve">able </w:t>
      </w:r>
      <w:r w:rsidRPr="006F26F5">
        <w:rPr>
          <w:sz w:val="22"/>
          <w:szCs w:val="22"/>
        </w:rPr>
        <w:t>08</w:t>
      </w:r>
      <w:r w:rsidR="0069485E">
        <w:rPr>
          <w:sz w:val="22"/>
          <w:szCs w:val="22"/>
        </w:rPr>
        <w:t xml:space="preserve"> summarizes</w:t>
      </w:r>
      <w:r w:rsidR="00E3486D">
        <w:rPr>
          <w:sz w:val="22"/>
          <w:szCs w:val="22"/>
        </w:rPr>
        <w:t xml:space="preserve"> </w:t>
      </w:r>
      <w:r w:rsidR="00FA1B25" w:rsidRPr="006513B1">
        <w:rPr>
          <w:sz w:val="22"/>
          <w:szCs w:val="22"/>
        </w:rPr>
        <w:t>Clinic policy and dosing remain powerful, independent predictors of retention across both modeling frameworks. In the Cox model, attending Clinic 2 confers a 63.6% lower hazard of drop‐out (HR 0.364; 95% CI 0.239–0.555; p &lt; 0.001), while each additional milligram of methadone reduces hazard by 3.5% (HR 0.965; 95% CI 0.953–0.977; p &lt; 0.001). Prior incarceration shows a borderline risk elevation (HR 1.386; 95% CI 0.999–1.924; p ≈ 0.05).</w:t>
      </w:r>
      <w:r w:rsidR="00E3486D">
        <w:rPr>
          <w:sz w:val="22"/>
          <w:szCs w:val="22"/>
        </w:rPr>
        <w:t xml:space="preserve"> </w:t>
      </w:r>
      <w:r w:rsidR="00FA1B25" w:rsidRPr="006513B1">
        <w:rPr>
          <w:sz w:val="22"/>
          <w:szCs w:val="22"/>
        </w:rPr>
        <w:t>The piecewise‐exponential model replicates these core estimates (Clinic 2 HR 0.360; 95% CI 0.236–0.547; dose HR 0.965; 95% CI 0.954–0.977), confirming robustness to baseline hazard specification. Crucially, it reveals that drop‐out risk accelerates dramatically after one year—rising to HR 2.47 (95% CI 1.113–5.483; p = 0.026) in months 12–24 and HR 7.42 (95% CI 2.979–18.500; p &lt; 0.001) thereafter.</w:t>
      </w:r>
      <w:r w:rsidR="00E3486D">
        <w:rPr>
          <w:sz w:val="22"/>
          <w:szCs w:val="22"/>
        </w:rPr>
        <w:t xml:space="preserve"> </w:t>
      </w:r>
      <w:r w:rsidR="00FA1B25" w:rsidRPr="006513B1">
        <w:rPr>
          <w:sz w:val="22"/>
          <w:szCs w:val="22"/>
        </w:rPr>
        <w:t>Finally, the log‐likelihood increases substantially from –673.26 (Cox) to –256.59 (piecewise), reflecting a better‐fitting person‐period representation without altering substantive conclusions. Together, these results demonstrate that a maintenance‐oriented clinic policy and higher dosing consistently enhance retention—and pinpoint precisely when patients become most vulnerable to drop‐out, guiding time‐sensitive intervention planning.</w:t>
      </w:r>
    </w:p>
    <w:p w14:paraId="1BFB58BC" w14:textId="1CC2EA57" w:rsidR="00563394" w:rsidRPr="00355E2D" w:rsidRDefault="00563394" w:rsidP="00563394">
      <w:pPr>
        <w:pStyle w:val="Heading1"/>
      </w:pPr>
      <w:r w:rsidRPr="00355E2D">
        <w:t>Discussion:</w:t>
      </w:r>
    </w:p>
    <w:p w14:paraId="0E939259" w14:textId="77777777" w:rsidR="00A26984" w:rsidRDefault="00A26984" w:rsidP="009428D0">
      <w:pPr>
        <w:spacing w:line="480" w:lineRule="auto"/>
        <w:jc w:val="both"/>
      </w:pPr>
    </w:p>
    <w:p w14:paraId="38E894F6" w14:textId="2F774B61" w:rsidR="009428D0" w:rsidRPr="009428D0" w:rsidRDefault="009428D0" w:rsidP="009428D0">
      <w:pPr>
        <w:spacing w:line="480" w:lineRule="auto"/>
        <w:jc w:val="both"/>
        <w:rPr>
          <w:sz w:val="22"/>
          <w:szCs w:val="22"/>
        </w:rPr>
      </w:pPr>
      <w:r w:rsidRPr="009428D0">
        <w:rPr>
          <w:sz w:val="22"/>
          <w:szCs w:val="22"/>
        </w:rPr>
        <w:t>The analysis of the ADDICTS cohort reveals a powerful, independent influence of clinic policy on methadone‐treatment retention that closely mirrors—and extends—the findings of Caplehorn et al.’s landmark 1991 study. In our primary Cox model, attendance at the maintenance‐oriented clinic was associated with a 63% lower instantaneous risk of drop‐out compared with the abstinence‐oriented clinic</w:t>
      </w:r>
      <w:r w:rsidR="00F15FC5">
        <w:rPr>
          <w:sz w:val="22"/>
          <w:szCs w:val="22"/>
        </w:rPr>
        <w:t>.</w:t>
      </w:r>
      <w:r w:rsidR="00212A9E" w:rsidRPr="001D6B9A">
        <w:rPr>
          <w:sz w:val="22"/>
          <w:szCs w:val="22"/>
        </w:rPr>
        <w:fldChar w:fldCharType="begin"/>
      </w:r>
      <w:r w:rsidR="00676E9A">
        <w:rPr>
          <w:sz w:val="22"/>
          <w:szCs w:val="22"/>
        </w:rPr>
        <w:instrText xml:space="preserve"> ADDIN ZOTERO_ITEM CSL_CITATION {"citationID":"NsUUaK1g","properties":{"formattedCitation":"\\super 10\\nosupersub{}","plainCitation":"10","noteIndex":0},"citationItems":[{"id":3986,"uris":["http://zotero.org/users/12322989/items/86ESRMYA"],"itemData":{"id":3986,"type":"article-journal","abstract":"The history of methadone treatment in Australia has been and continues to be marked by conflict between two competing aims: harm minimisation and abstinence. The two approaches tend to be associated with high dose-long term and low dose-short term treatment, respectively. Most programmes fail to provide adequate ancillary services, often to the detriment of patient outcome. Despite chronic under-funding, a relative lack of staff training and, in some states, the absence of a system of clinical accountability, Australian methadone services have grown significantly in the last decade. Factors influencing the growth of programmes have been described using the New South Wales programme as the example as it represents the largest and most complex programme in the country. Current problems and the impact of the Human Immunodeficiency Virus on policy development are highlighted.","container-title":"Journal of Drug Issues","DOI":"10.1177/002204269202200314","ISSN":"0022-0426","issue":"3","language":"EN","note":"publisher: SAGE Publications Inc","page":"661-678","source":"SAGE Journals","title":"Methadone Maintenance in Australia","volume":"22","author":[{"family":"Caplehorn","given":"John R. M."},{"family":"Batey","given":"Robert G."}],"issued":{"date-parts":[["1992",7,1]]},"citation-key":"caplehornMethadoneMaintenanceAustralia1992"}}],"schema":"https://github.com/citation-style-language/schema/raw/master/csl-citation.json"} </w:instrText>
      </w:r>
      <w:r w:rsidR="00212A9E" w:rsidRPr="001D6B9A">
        <w:rPr>
          <w:sz w:val="22"/>
          <w:szCs w:val="22"/>
        </w:rPr>
        <w:fldChar w:fldCharType="separate"/>
      </w:r>
      <w:r w:rsidR="00676E9A" w:rsidRPr="00676E9A">
        <w:rPr>
          <w:sz w:val="22"/>
          <w:vertAlign w:val="superscript"/>
          <w14:ligatures w14:val="standardContextual"/>
        </w:rPr>
        <w:t>10</w:t>
      </w:r>
      <w:r w:rsidR="00212A9E" w:rsidRPr="001D6B9A">
        <w:rPr>
          <w:sz w:val="22"/>
          <w:szCs w:val="22"/>
        </w:rPr>
        <w:fldChar w:fldCharType="end"/>
      </w:r>
      <w:r w:rsidRPr="009428D0">
        <w:rPr>
          <w:sz w:val="22"/>
          <w:szCs w:val="22"/>
        </w:rPr>
        <w:t xml:space="preserve"> Caplehorn et al. similarly found that, compared with doses &lt; 60 mg, patients receiving 60–79 mg and ≥ 80 mg experienced 53%</w:t>
      </w:r>
      <w:r w:rsidR="00F15FC5">
        <w:rPr>
          <w:sz w:val="22"/>
          <w:szCs w:val="22"/>
        </w:rPr>
        <w:t xml:space="preserve"> </w:t>
      </w:r>
      <w:r w:rsidRPr="009428D0">
        <w:rPr>
          <w:sz w:val="22"/>
          <w:szCs w:val="22"/>
        </w:rPr>
        <w:t>and 79% reductions in risk of drop‐out, underscoring a robust dose–response relationship.</w:t>
      </w:r>
      <w:r w:rsidR="00A81F48" w:rsidRPr="001D6B9A">
        <w:rPr>
          <w:sz w:val="22"/>
          <w:szCs w:val="22"/>
        </w:rPr>
        <w:fldChar w:fldCharType="begin"/>
      </w:r>
      <w:r w:rsidR="00676E9A">
        <w:rPr>
          <w:sz w:val="22"/>
          <w:szCs w:val="22"/>
        </w:rPr>
        <w:instrText xml:space="preserve"> ADDIN ZOTERO_ITEM CSL_CITATION {"citationID":"cZd47Ms7","properties":{"formattedCitation":"\\super 11\\nosupersub{}","plainCitation":"11","noteIndex":0},"citationItems":[{"id":3988,"uris":["http://zotero.org/users/12322989/items/6LCGHJYE"],"itemData":{"id":3988,"type":"webpage","title":"Retention in methadone maintenance and heroin addicts’risk of death - CAPLEHORN - 1994 - Addiction - Wiley Online Library","URL":"https://onlinelibrary.wiley.com/doi/abs/10.1111/j.1360-0443.1994.tb00879.x?utm_source=chatgpt.com","accessed":{"date-parts":[["2025",5,1]]},"citation-key":"RetentionMethadoneMaintenance"}}],"schema":"https://github.com/citation-style-language/schema/raw/master/csl-citation.json"} </w:instrText>
      </w:r>
      <w:r w:rsidR="00A81F48" w:rsidRPr="001D6B9A">
        <w:rPr>
          <w:sz w:val="22"/>
          <w:szCs w:val="22"/>
        </w:rPr>
        <w:fldChar w:fldCharType="separate"/>
      </w:r>
      <w:r w:rsidR="00676E9A" w:rsidRPr="00676E9A">
        <w:rPr>
          <w:sz w:val="22"/>
          <w:vertAlign w:val="superscript"/>
          <w14:ligatures w14:val="standardContextual"/>
        </w:rPr>
        <w:t>11</w:t>
      </w:r>
      <w:r w:rsidR="00A81F48" w:rsidRPr="001D6B9A">
        <w:rPr>
          <w:sz w:val="22"/>
          <w:szCs w:val="22"/>
        </w:rPr>
        <w:fldChar w:fldCharType="end"/>
      </w:r>
      <w:r w:rsidRPr="009428D0">
        <w:rPr>
          <w:sz w:val="22"/>
          <w:szCs w:val="22"/>
        </w:rPr>
        <w:t xml:space="preserve"> Prior imprisonment in our cohort modestly increased the hazard </w:t>
      </w:r>
      <w:r w:rsidR="00FF08D3">
        <w:rPr>
          <w:sz w:val="22"/>
          <w:szCs w:val="22"/>
        </w:rPr>
        <w:t xml:space="preserve">(1.386) </w:t>
      </w:r>
      <w:r w:rsidRPr="009428D0">
        <w:rPr>
          <w:sz w:val="22"/>
          <w:szCs w:val="22"/>
        </w:rPr>
        <w:t>of discontinuation</w:t>
      </w:r>
      <w:r w:rsidR="00FF08D3">
        <w:rPr>
          <w:sz w:val="22"/>
          <w:szCs w:val="22"/>
        </w:rPr>
        <w:t xml:space="preserve"> </w:t>
      </w:r>
      <w:r w:rsidRPr="009428D0">
        <w:rPr>
          <w:sz w:val="22"/>
          <w:szCs w:val="22"/>
        </w:rPr>
        <w:t>consistent with the original finding that a history of incarceration was an independent predictor of attrition.</w:t>
      </w:r>
      <w:r w:rsidR="00324429" w:rsidRPr="001D6B9A">
        <w:rPr>
          <w:sz w:val="22"/>
          <w:szCs w:val="22"/>
        </w:rPr>
        <w:fldChar w:fldCharType="begin"/>
      </w:r>
      <w:r w:rsidR="00676E9A">
        <w:rPr>
          <w:sz w:val="22"/>
          <w:szCs w:val="22"/>
        </w:rPr>
        <w:instrText xml:space="preserve"> ADDIN ZOTERO_ITEM CSL_CITATION {"citationID":"a8qHdE4v","properties":{"formattedCitation":"\\super 10\\nosupersub{}","plainCitation":"10","noteIndex":0},"citationItems":[{"id":3986,"uris":["http://zotero.org/users/12322989/items/86ESRMYA"],"itemData":{"id":3986,"type":"article-journal","abstract":"The history of methadone treatment in Australia has been and continues to be marked by conflict between two competing aims: harm minimisation and abstinence. The two approaches tend to be associated with high dose-long term and low dose-short term treatment, respectively. Most programmes fail to provide adequate ancillary services, often to the detriment of patient outcome. Despite chronic under-funding, a relative lack of staff training and, in some states, the absence of a system of clinical accountability, Australian methadone services have grown significantly in the last decade. Factors influencing the growth of programmes have been described using the New South Wales programme as the example as it represents the largest and most complex programme in the country. Current problems and the impact of the Human Immunodeficiency Virus on policy development are highlighted.","container-title":"Journal of Drug Issues","DOI":"10.1177/002204269202200314","ISSN":"0022-0426","issue":"3","language":"EN","note":"publisher: SAGE Publications Inc","page":"661-678","source":"SAGE Journals","title":"Methadone Maintenance in Australia","volume":"22","author":[{"family":"Caplehorn","given":"John R. M."},{"family":"Batey","given":"Robert G."}],"issued":{"date-parts":[["1992",7,1]]},"citation-key":"caplehornMethadoneMaintenanceAustralia1992"}}],"schema":"https://github.com/citation-style-language/schema/raw/master/csl-citation.json"} </w:instrText>
      </w:r>
      <w:r w:rsidR="00324429" w:rsidRPr="001D6B9A">
        <w:rPr>
          <w:sz w:val="22"/>
          <w:szCs w:val="22"/>
        </w:rPr>
        <w:fldChar w:fldCharType="separate"/>
      </w:r>
      <w:r w:rsidR="00676E9A" w:rsidRPr="00676E9A">
        <w:rPr>
          <w:sz w:val="22"/>
          <w:vertAlign w:val="superscript"/>
          <w14:ligatures w14:val="standardContextual"/>
        </w:rPr>
        <w:t>10</w:t>
      </w:r>
      <w:r w:rsidR="00324429" w:rsidRPr="001D6B9A">
        <w:rPr>
          <w:sz w:val="22"/>
          <w:szCs w:val="22"/>
        </w:rPr>
        <w:fldChar w:fldCharType="end"/>
      </w:r>
    </w:p>
    <w:p w14:paraId="4DA780FA" w14:textId="77777777" w:rsidR="009428D0" w:rsidRPr="009428D0" w:rsidRDefault="009428D0" w:rsidP="009428D0">
      <w:pPr>
        <w:spacing w:line="480" w:lineRule="auto"/>
        <w:jc w:val="both"/>
        <w:rPr>
          <w:sz w:val="22"/>
          <w:szCs w:val="22"/>
        </w:rPr>
      </w:pPr>
    </w:p>
    <w:p w14:paraId="2E0BC7F8" w14:textId="2FF3ED43" w:rsidR="009428D0" w:rsidRPr="009428D0" w:rsidRDefault="009428D0" w:rsidP="009428D0">
      <w:pPr>
        <w:spacing w:line="480" w:lineRule="auto"/>
        <w:jc w:val="both"/>
        <w:rPr>
          <w:sz w:val="22"/>
          <w:szCs w:val="22"/>
        </w:rPr>
      </w:pPr>
      <w:r w:rsidRPr="009428D0">
        <w:rPr>
          <w:sz w:val="22"/>
          <w:szCs w:val="22"/>
        </w:rPr>
        <w:t>The competing piecewise‐exponential model produced virtually identical estimates for clinic and dose effects—underscoring robustness across baseline‐hazard assumptions—and additionally revealed that the underlying hazard of drop‐out more than doubled after one year and rose sevenfold after two years</w:t>
      </w:r>
      <w:r w:rsidR="00BA76BB">
        <w:rPr>
          <w:sz w:val="22"/>
          <w:szCs w:val="22"/>
        </w:rPr>
        <w:t xml:space="preserve">. </w:t>
      </w:r>
      <w:r w:rsidRPr="009428D0">
        <w:rPr>
          <w:sz w:val="22"/>
          <w:szCs w:val="22"/>
        </w:rPr>
        <w:t xml:space="preserve">This time‐varying insight builds on earlier </w:t>
      </w:r>
      <w:proofErr w:type="gramStart"/>
      <w:r w:rsidRPr="009428D0">
        <w:rPr>
          <w:sz w:val="22"/>
          <w:szCs w:val="22"/>
        </w:rPr>
        <w:t>life‐table</w:t>
      </w:r>
      <w:proofErr w:type="gramEnd"/>
      <w:r w:rsidRPr="009428D0">
        <w:rPr>
          <w:sz w:val="22"/>
          <w:szCs w:val="22"/>
        </w:rPr>
        <w:t xml:space="preserve"> approaches by pinpointing when retention support is most critical (i.e., beyond 12 months).</w:t>
      </w:r>
    </w:p>
    <w:p w14:paraId="15034412" w14:textId="77777777" w:rsidR="009428D0" w:rsidRPr="009428D0" w:rsidRDefault="009428D0" w:rsidP="009428D0">
      <w:pPr>
        <w:spacing w:line="480" w:lineRule="auto"/>
        <w:jc w:val="both"/>
        <w:rPr>
          <w:sz w:val="22"/>
          <w:szCs w:val="22"/>
        </w:rPr>
      </w:pPr>
    </w:p>
    <w:p w14:paraId="6022FF61" w14:textId="3C98C844" w:rsidR="009428D0" w:rsidRPr="001D6B9A" w:rsidRDefault="009428D0" w:rsidP="00AA1507">
      <w:pPr>
        <w:spacing w:line="480" w:lineRule="auto"/>
        <w:jc w:val="both"/>
        <w:rPr>
          <w:sz w:val="22"/>
          <w:szCs w:val="22"/>
        </w:rPr>
      </w:pPr>
      <w:r w:rsidRPr="009428D0">
        <w:rPr>
          <w:sz w:val="22"/>
          <w:szCs w:val="22"/>
        </w:rPr>
        <w:t>Our findings align with a later Baltimore multi‐site survival analysis, which demonstrated that methadone doses ≥ 60 mg were significantly associated with longer retention in community programs (HR &gt; 1.0 for dose effect).</w:t>
      </w:r>
      <w:r w:rsidR="00264CE4" w:rsidRPr="001D6B9A">
        <w:rPr>
          <w:sz w:val="22"/>
          <w:szCs w:val="22"/>
        </w:rPr>
        <w:fldChar w:fldCharType="begin"/>
      </w:r>
      <w:r w:rsidR="00676E9A">
        <w:rPr>
          <w:sz w:val="22"/>
          <w:szCs w:val="22"/>
        </w:rPr>
        <w:instrText xml:space="preserve"> ADDIN ZOTERO_ITEM CSL_CITATION {"citationID":"X3VufDDy","properties":{"formattedCitation":"\\super 12\\nosupersub{}","plainCitation":"12","noteIndex":0},"citationItems":[{"id":3993,"uris":["http://zotero.org/users/12322989/items/E8M7EZD3"],"itemData":{"id":3993,"type":"article-journal","abstract":"Background\nLonger tenure in methadone treatment has been associated with positive outcomes such as reductions in drug use and crime, HIV seroconversion, and overdose death.\nMethods\nRetention in treatment was examined for 351 opioid-dependent individuals who had been newly admitted to one of six methadone programs in Baltimore, Maryland. Cox proportional hazards regression was used to predict number of days retained in treatment to 90 days from baseline ASI Composite scores and Treatment Motivation scales. A second analysis predicted days in treatment to 365 days using the same baseline variables plus 3-month Motivation scales, Patient Satisfaction scales, and methadone dose in the 248 individuals who had remained in treatment at least 3 months. Analyses held constant gender, race, age, whether participants had a history of regularly smoking cocaine, whether participants were on parole/probation, and program site.\nResults\nRetention at 90 days was predicted by female gender, and greater baseline Treatment Readiness (p=.005) but lower Desire for Help (p=.010). Retention at 365 days was predicted by higher baseline ASI Medical Composite scores (p=.037) and lower Legal Composite scores (p=.039), higher 3-month Treatment Satisfaction scores (p=.008), and higher dose (p=.046).\nConclusions\nGreater satisfaction with treatment at 3 months was a significant predictor of retention at 12 months, indicating the importance of understanding the role satisfaction plays in determining retention. Greater severity of legal problems was associated with shorter retention, suggesting that program efforts to increase services to criminal justice patients (e.g., legal counseling) may constitute a useful addition to treatment.","container-title":"Drug and Alcohol Dependence","DOI":"10.1016/j.drugalcdep.2011.01.008","ISSN":"0376-8716","issue":"2","journalAbbreviation":"Drug and Alcohol Dependence","page":"170-175","source":"ScienceDirect","title":"Predictors of methadone treatment retention from a multi-site study: A survival analysis","title-short":"Predictors of methadone treatment retention from a multi-site study","volume":"117","author":[{"family":"Kelly","given":"Sharon M."},{"family":"O’Grady","given":"Kevin E."},{"family":"Mitchell","given":"Shannon Gwin"},{"family":"Brown","given":"Barry S."},{"family":"Schwartz","given":"Robert P."}],"issued":{"date-parts":[["2011",9,1]]},"citation-key":"kellyPredictorsMethadoneTreatment2011"}}],"schema":"https://github.com/citation-style-language/schema/raw/master/csl-citation.json"} </w:instrText>
      </w:r>
      <w:r w:rsidR="00264CE4" w:rsidRPr="001D6B9A">
        <w:rPr>
          <w:sz w:val="22"/>
          <w:szCs w:val="22"/>
        </w:rPr>
        <w:fldChar w:fldCharType="separate"/>
      </w:r>
      <w:r w:rsidR="00676E9A" w:rsidRPr="00676E9A">
        <w:rPr>
          <w:sz w:val="22"/>
          <w:vertAlign w:val="superscript"/>
          <w14:ligatures w14:val="standardContextual"/>
        </w:rPr>
        <w:t>12</w:t>
      </w:r>
      <w:r w:rsidR="00264CE4" w:rsidRPr="001D6B9A">
        <w:rPr>
          <w:sz w:val="22"/>
          <w:szCs w:val="22"/>
        </w:rPr>
        <w:fldChar w:fldCharType="end"/>
      </w:r>
      <w:r w:rsidRPr="009428D0">
        <w:rPr>
          <w:sz w:val="22"/>
          <w:szCs w:val="22"/>
        </w:rPr>
        <w:t xml:space="preserve"> Meta‐analytic evidence further supports this dose–retention relationship: higher doses in the recommended 60–120 mg/day range are protective against dropout (pooled HR ≈ 0.45),</w:t>
      </w:r>
      <w:r w:rsidR="00251D8F" w:rsidRPr="001D6B9A">
        <w:rPr>
          <w:sz w:val="22"/>
          <w:szCs w:val="22"/>
        </w:rPr>
        <w:fldChar w:fldCharType="begin"/>
      </w:r>
      <w:r w:rsidR="00676E9A">
        <w:rPr>
          <w:sz w:val="22"/>
          <w:szCs w:val="22"/>
        </w:rPr>
        <w:instrText xml:space="preserve"> ADDIN ZOTERO_ITEM CSL_CITATION {"citationID":"1R8KWSzh","properties":{"formattedCitation":"\\super 13\\nosupersub{}","plainCitation":"13","noteIndex":0},"citationItems":[{"id":3996,"uris":["http://zotero.org/users/12322989/items/PMSPSMK6"],"itemData":{"id":3996,"type":"article-journal","abstract":"Introduction and Aim. The aim of this study is to identify the predictors of early dropout of patients in methadone maintenance treatment (MMT) clinics in Yunnan province, China. Methods. A cohort study was conducted on 218 patients starting treatment in five MMT clinics between 1 March 2008 and 31 August, with follow up to 28 February 2009. Patients were interviewed using a semistructured questionnaire covering socio-demographic characteristics and drug abuse history. Attendance at clinic and daily dose were abstracted from the clinic records. The mean average daily dose per patient in each period was compared across three periods, 0–1, &gt;1–3 and &gt;3–6 months, using analysis of variance and random-intercept mixed linear regression modelling. Cox regression model with time-varying average daily dose within each period was performed to identify factors predicting dropout in the MMT program. Results. Cumulative probability of retention at 1, 3 and 6 months was 94%, 75% and 57%, respectively. There was no relationship between dose and probability of dropout in periods 1 and 2. However, after 3 months higher average daily dose (&gt;60 mg) was associated with lower probability of dropout. Dropout was more likely among the Han ethnic group [hazard ratio (HR) = 1.86, 95% confidence interval (CI): 1.65–3.26], in those who had to spend over 30 min to visit the clinic (HR = 1.63, 95% CI: 1.07–2.49) and in those living with other drug users (HR = 2.71, 95% CI: 1.55–4.74). Discussion and Conclusion. Patients' early dropout was related to ethnicity, clinic accessibility, living with drug users and methadone dose. A higher methadone dose as appropriate for maintenance treatment is recommended.[Che Y, Assanangkornchai S, Mcneil E, Chongsuvivatwong V, Li J, Geater A, You J. Predictors of early dropout in methadone maintenance treatment program in Yunnan province, China. Drug Alcohol Rev 2010]","container-title":"Drug and Alcohol Review","DOI":"10.1111/j.1465-3362.2009.00157.x","ISSN":"1465-3362","issue":"3","language":"en","license":"© 2010 Australasian Professional Society on Alcohol and other Drugs","note":"_eprint: https://onlinelibrary.wiley.com/doi/pdf/10.1111/j.1465-3362.2009.00157.x","page":"263-270","source":"Wiley Online Library","title":"Predictors of early dropout in methadone maintenance treatment program in Yunnan province, China","volume":"29","author":[{"family":"Che","given":"Yanhua"},{"family":"Assanangkornchai","given":"Sawitri"},{"family":"Mcneil","given":"Edward"},{"family":"Chongsuvivatwong","given":"Virasakdi"},{"family":"Li","given":"Jianhua"},{"family":"Geater","given":"Alan"},{"family":"You","given":"Jing"}],"issued":{"date-parts":[["2010"]]},"citation-key":"chePredictorsEarlyDropout2010"}}],"schema":"https://github.com/citation-style-language/schema/raw/master/csl-citation.json"} </w:instrText>
      </w:r>
      <w:r w:rsidR="00251D8F" w:rsidRPr="001D6B9A">
        <w:rPr>
          <w:sz w:val="22"/>
          <w:szCs w:val="22"/>
        </w:rPr>
        <w:fldChar w:fldCharType="separate"/>
      </w:r>
      <w:r w:rsidR="00676E9A" w:rsidRPr="00676E9A">
        <w:rPr>
          <w:sz w:val="22"/>
          <w:vertAlign w:val="superscript"/>
          <w14:ligatures w14:val="standardContextual"/>
        </w:rPr>
        <w:t>13</w:t>
      </w:r>
      <w:r w:rsidR="00251D8F" w:rsidRPr="001D6B9A">
        <w:rPr>
          <w:sz w:val="22"/>
          <w:szCs w:val="22"/>
        </w:rPr>
        <w:fldChar w:fldCharType="end"/>
      </w:r>
      <w:r w:rsidRPr="009428D0">
        <w:rPr>
          <w:sz w:val="22"/>
          <w:szCs w:val="22"/>
        </w:rPr>
        <w:t xml:space="preserve"> and flexible, low‐threshold programs consistently report improved retention when less stringent abstinence requirements are paired with adequate dosing strategies. Similarly, Sorensen and Copeland’s review highlighted that program‐level factors—including counselling intensity and take‐home policies—exert substantial influence on retention beyond patient demographics.</w:t>
      </w:r>
      <w:r w:rsidR="00AA1507" w:rsidRPr="001D6B9A">
        <w:rPr>
          <w:sz w:val="22"/>
          <w:szCs w:val="22"/>
        </w:rPr>
        <w:fldChar w:fldCharType="begin"/>
      </w:r>
      <w:r w:rsidR="00676E9A">
        <w:rPr>
          <w:sz w:val="22"/>
          <w:szCs w:val="22"/>
        </w:rPr>
        <w:instrText xml:space="preserve"> ADDIN ZOTERO_ITEM CSL_CITATION {"citationID":"TYMvc5Va","properties":{"formattedCitation":"\\super 13\\nosupersub{}","plainCitation":"13","noteIndex":0},"citationItems":[{"id":3996,"uris":["http://zotero.org/users/12322989/items/PMSPSMK6"],"itemData":{"id":3996,"type":"article-journal","abstract":"Introduction and Aim. The aim of this study is to identify the predictors of early dropout of patients in methadone maintenance treatment (MMT) clinics in Yunnan province, China. Methods. A cohort study was conducted on 218 patients starting treatment in five MMT clinics between 1 March 2008 and 31 August, with follow up to 28 February 2009. Patients were interviewed using a semistructured questionnaire covering socio-demographic characteristics and drug abuse history. Attendance at clinic and daily dose were abstracted from the clinic records. The mean average daily dose per patient in each period was compared across three periods, 0–1, &gt;1–3 and &gt;3–6 months, using analysis of variance and random-intercept mixed linear regression modelling. Cox regression model with time-varying average daily dose within each period was performed to identify factors predicting dropout in the MMT program. Results. Cumulative probability of retention at 1, 3 and 6 months was 94%, 75% and 57%, respectively. There was no relationship between dose and probability of dropout in periods 1 and 2. However, after 3 months higher average daily dose (&gt;60 mg) was associated with lower probability of dropout. Dropout was more likely among the Han ethnic group [hazard ratio (HR) = 1.86, 95% confidence interval (CI): 1.65–3.26], in those who had to spend over 30 min to visit the clinic (HR = 1.63, 95% CI: 1.07–2.49) and in those living with other drug users (HR = 2.71, 95% CI: 1.55–4.74). Discussion and Conclusion. Patients' early dropout was related to ethnicity, clinic accessibility, living with drug users and methadone dose. A higher methadone dose as appropriate for maintenance treatment is recommended.[Che Y, Assanangkornchai S, Mcneil E, Chongsuvivatwong V, Li J, Geater A, You J. Predictors of early dropout in methadone maintenance treatment program in Yunnan province, China. Drug Alcohol Rev 2010]","container-title":"Drug and Alcohol Review","DOI":"10.1111/j.1465-3362.2009.00157.x","ISSN":"1465-3362","issue":"3","language":"en","license":"© 2010 Australasian Professional Society on Alcohol and other Drugs","note":"_eprint: https://onlinelibrary.wiley.com/doi/pdf/10.1111/j.1465-3362.2009.00157.x","page":"263-270","source":"Wiley Online Library","title":"Predictors of early dropout in methadone maintenance treatment program in Yunnan province, China","volume":"29","author":[{"family":"Che","given":"Yanhua"},{"family":"Assanangkornchai","given":"Sawitri"},{"family":"Mcneil","given":"Edward"},{"family":"Chongsuvivatwong","given":"Virasakdi"},{"family":"Li","given":"Jianhua"},{"family":"Geater","given":"Alan"},{"family":"You","given":"Jing"}],"issued":{"date-parts":[["2010"]]},"citation-key":"chePredictorsEarlyDropout2010"}}],"schema":"https://github.com/citation-style-language/schema/raw/master/csl-citation.json"} </w:instrText>
      </w:r>
      <w:r w:rsidR="00AA1507" w:rsidRPr="001D6B9A">
        <w:rPr>
          <w:sz w:val="22"/>
          <w:szCs w:val="22"/>
        </w:rPr>
        <w:fldChar w:fldCharType="separate"/>
      </w:r>
      <w:r w:rsidR="00676E9A" w:rsidRPr="00676E9A">
        <w:rPr>
          <w:sz w:val="22"/>
          <w:vertAlign w:val="superscript"/>
          <w14:ligatures w14:val="standardContextual"/>
        </w:rPr>
        <w:t>13</w:t>
      </w:r>
      <w:r w:rsidR="00AA1507" w:rsidRPr="001D6B9A">
        <w:rPr>
          <w:sz w:val="22"/>
          <w:szCs w:val="22"/>
        </w:rPr>
        <w:fldChar w:fldCharType="end"/>
      </w:r>
    </w:p>
    <w:p w14:paraId="3084F169" w14:textId="77777777" w:rsidR="00AA1507" w:rsidRPr="001D6B9A" w:rsidRDefault="00AA1507" w:rsidP="00AA1507">
      <w:pPr>
        <w:spacing w:line="480" w:lineRule="auto"/>
        <w:jc w:val="both"/>
        <w:rPr>
          <w:sz w:val="22"/>
          <w:szCs w:val="22"/>
        </w:rPr>
      </w:pPr>
    </w:p>
    <w:p w14:paraId="39AC10DE" w14:textId="52701290" w:rsidR="009428D0" w:rsidRPr="009428D0" w:rsidRDefault="009428D0" w:rsidP="00AA1507">
      <w:pPr>
        <w:spacing w:line="480" w:lineRule="auto"/>
        <w:jc w:val="both"/>
        <w:rPr>
          <w:sz w:val="22"/>
          <w:szCs w:val="22"/>
        </w:rPr>
      </w:pPr>
      <w:r w:rsidRPr="009428D0">
        <w:rPr>
          <w:sz w:val="22"/>
          <w:szCs w:val="22"/>
        </w:rPr>
        <w:t xml:space="preserve">By applying both semi‐parametric and parametric survival models, conducting Schoenfeld residual diagnostics, and testing higher‐order interactions (e.g., clinic × prison × dose), we extend prior work by rigorously validating the proportional‐hazards assumption, probing dose functional form, and characterizing interval‐specific hazard changes. This comprehensive approach not only replicates Caplehorn’s core findings but also deepens understanding of </w:t>
      </w:r>
      <w:r w:rsidRPr="009428D0">
        <w:rPr>
          <w:rFonts w:eastAsiaTheme="majorEastAsia"/>
          <w:sz w:val="22"/>
          <w:szCs w:val="22"/>
        </w:rPr>
        <w:t>when</w:t>
      </w:r>
      <w:r w:rsidRPr="009428D0">
        <w:rPr>
          <w:sz w:val="22"/>
          <w:szCs w:val="22"/>
        </w:rPr>
        <w:t xml:space="preserve"> and </w:t>
      </w:r>
      <w:r w:rsidRPr="009428D0">
        <w:rPr>
          <w:rFonts w:eastAsiaTheme="majorEastAsia"/>
          <w:sz w:val="22"/>
          <w:szCs w:val="22"/>
        </w:rPr>
        <w:t>for whom</w:t>
      </w:r>
      <w:r w:rsidRPr="009428D0">
        <w:rPr>
          <w:sz w:val="22"/>
          <w:szCs w:val="22"/>
        </w:rPr>
        <w:t xml:space="preserve"> maintenance‐oriented policies and optimized dosing yield the greatest retention benefits.</w:t>
      </w:r>
    </w:p>
    <w:p w14:paraId="5A3CDC89" w14:textId="2891C033" w:rsidR="009428D0" w:rsidRDefault="007503DB" w:rsidP="00563394">
      <w:pPr>
        <w:spacing w:before="100" w:beforeAutospacing="1" w:after="100" w:afterAutospacing="1" w:line="480" w:lineRule="auto"/>
        <w:jc w:val="both"/>
        <w:rPr>
          <w:sz w:val="22"/>
          <w:szCs w:val="22"/>
        </w:rPr>
      </w:pPr>
      <w:r w:rsidRPr="001D6B9A">
        <w:rPr>
          <w:sz w:val="22"/>
          <w:szCs w:val="22"/>
        </w:rPr>
        <w:t>Nevertheless, several limitations warrant consideration.  The data are drawn from two Sydney clinics in the late 1980s, limiting generalizability to other regions or contemporary practice environments.  The maximum‐dose measure, while informative, does not capture dose trajectories over time; without repeated dose records, we cannot fully disentangle whether higher doses drive retention or simply reflect longer stays.  Finally, unmeasured confounders—such as psychiatric comorbidity, social supports, or counseling intensity—may partially explain differences in retention, and clinic assignment was not randomized, raising the possibility of selection bias.</w:t>
      </w:r>
      <w:r w:rsidR="00AA1507" w:rsidRPr="001D6B9A">
        <w:rPr>
          <w:sz w:val="22"/>
          <w:szCs w:val="22"/>
        </w:rPr>
        <w:t xml:space="preserve"> </w:t>
      </w:r>
      <w:r w:rsidRPr="001D6B9A">
        <w:rPr>
          <w:sz w:val="22"/>
          <w:szCs w:val="22"/>
        </w:rPr>
        <w:t>Looking ahead, prospective multi‐site studies with randomized or quasi‐randomized clinic assignments and detailed longitudinal data on dosing and psychosocial factors are needed to confirm and extend these findings.  Interventions that implement and rigorously evaluate maintenance‐oriented policies and dose‐optimization protocols could yield actionable guidance for clinics worldwide, ultimately enhancing the effectiveness of methadone maintenance therapy.</w:t>
      </w:r>
    </w:p>
    <w:p w14:paraId="287B1732" w14:textId="77777777" w:rsidR="001D6B9A" w:rsidRDefault="001D6B9A" w:rsidP="00563394">
      <w:pPr>
        <w:spacing w:before="100" w:beforeAutospacing="1" w:after="100" w:afterAutospacing="1" w:line="480" w:lineRule="auto"/>
        <w:jc w:val="both"/>
        <w:rPr>
          <w:sz w:val="22"/>
          <w:szCs w:val="22"/>
        </w:rPr>
      </w:pPr>
    </w:p>
    <w:p w14:paraId="42B77D5F" w14:textId="77777777" w:rsidR="001D6B9A" w:rsidRDefault="001D6B9A" w:rsidP="00563394">
      <w:pPr>
        <w:spacing w:before="100" w:beforeAutospacing="1" w:after="100" w:afterAutospacing="1" w:line="480" w:lineRule="auto"/>
        <w:jc w:val="both"/>
        <w:rPr>
          <w:sz w:val="22"/>
          <w:szCs w:val="22"/>
        </w:rPr>
      </w:pPr>
    </w:p>
    <w:p w14:paraId="143680E4" w14:textId="77777777" w:rsidR="001D6B9A" w:rsidRDefault="001D6B9A" w:rsidP="00563394">
      <w:pPr>
        <w:spacing w:before="100" w:beforeAutospacing="1" w:after="100" w:afterAutospacing="1" w:line="480" w:lineRule="auto"/>
        <w:jc w:val="both"/>
        <w:rPr>
          <w:sz w:val="22"/>
          <w:szCs w:val="22"/>
        </w:rPr>
      </w:pPr>
    </w:p>
    <w:p w14:paraId="15C708E6" w14:textId="77777777" w:rsidR="006F26F5" w:rsidRDefault="006F26F5" w:rsidP="00563394">
      <w:pPr>
        <w:spacing w:before="100" w:beforeAutospacing="1" w:after="100" w:afterAutospacing="1" w:line="480" w:lineRule="auto"/>
        <w:jc w:val="both"/>
        <w:rPr>
          <w:sz w:val="22"/>
          <w:szCs w:val="22"/>
        </w:rPr>
      </w:pPr>
    </w:p>
    <w:p w14:paraId="7FCDF3E8" w14:textId="77777777" w:rsidR="006F26F5" w:rsidRDefault="006F26F5" w:rsidP="00563394">
      <w:pPr>
        <w:spacing w:before="100" w:beforeAutospacing="1" w:after="100" w:afterAutospacing="1" w:line="480" w:lineRule="auto"/>
        <w:jc w:val="both"/>
        <w:rPr>
          <w:sz w:val="22"/>
          <w:szCs w:val="22"/>
        </w:rPr>
      </w:pPr>
    </w:p>
    <w:p w14:paraId="46922FDD" w14:textId="77777777" w:rsidR="006F26F5" w:rsidRDefault="006F26F5" w:rsidP="00563394">
      <w:pPr>
        <w:spacing w:before="100" w:beforeAutospacing="1" w:after="100" w:afterAutospacing="1" w:line="480" w:lineRule="auto"/>
        <w:jc w:val="both"/>
        <w:rPr>
          <w:sz w:val="22"/>
          <w:szCs w:val="22"/>
        </w:rPr>
      </w:pPr>
    </w:p>
    <w:p w14:paraId="331A474A" w14:textId="77777777" w:rsidR="006F26F5" w:rsidRDefault="006F26F5" w:rsidP="00563394">
      <w:pPr>
        <w:spacing w:before="100" w:beforeAutospacing="1" w:after="100" w:afterAutospacing="1" w:line="480" w:lineRule="auto"/>
        <w:jc w:val="both"/>
        <w:rPr>
          <w:sz w:val="22"/>
          <w:szCs w:val="22"/>
        </w:rPr>
      </w:pPr>
    </w:p>
    <w:p w14:paraId="0039B1DD" w14:textId="77777777" w:rsidR="006F26F5" w:rsidRDefault="006F26F5" w:rsidP="00563394">
      <w:pPr>
        <w:spacing w:before="100" w:beforeAutospacing="1" w:after="100" w:afterAutospacing="1" w:line="480" w:lineRule="auto"/>
        <w:jc w:val="both"/>
        <w:rPr>
          <w:sz w:val="22"/>
          <w:szCs w:val="22"/>
        </w:rPr>
      </w:pPr>
    </w:p>
    <w:p w14:paraId="1DB0DACA" w14:textId="77777777" w:rsidR="006F26F5" w:rsidRDefault="006F26F5" w:rsidP="00563394">
      <w:pPr>
        <w:spacing w:before="100" w:beforeAutospacing="1" w:after="100" w:afterAutospacing="1" w:line="480" w:lineRule="auto"/>
        <w:jc w:val="both"/>
        <w:rPr>
          <w:sz w:val="22"/>
          <w:szCs w:val="22"/>
        </w:rPr>
      </w:pPr>
    </w:p>
    <w:p w14:paraId="6338B6A4" w14:textId="77777777" w:rsidR="006F26F5" w:rsidRDefault="006F26F5" w:rsidP="00563394">
      <w:pPr>
        <w:spacing w:before="100" w:beforeAutospacing="1" w:after="100" w:afterAutospacing="1" w:line="480" w:lineRule="auto"/>
        <w:jc w:val="both"/>
        <w:rPr>
          <w:sz w:val="22"/>
          <w:szCs w:val="22"/>
        </w:rPr>
      </w:pPr>
    </w:p>
    <w:p w14:paraId="1926B2BF" w14:textId="77777777" w:rsidR="006F26F5" w:rsidRDefault="006F26F5" w:rsidP="00563394">
      <w:pPr>
        <w:spacing w:before="100" w:beforeAutospacing="1" w:after="100" w:afterAutospacing="1" w:line="480" w:lineRule="auto"/>
        <w:jc w:val="both"/>
        <w:rPr>
          <w:sz w:val="22"/>
          <w:szCs w:val="22"/>
        </w:rPr>
      </w:pPr>
    </w:p>
    <w:p w14:paraId="3E898985" w14:textId="77777777" w:rsidR="006F26F5" w:rsidRDefault="006F26F5" w:rsidP="00563394">
      <w:pPr>
        <w:spacing w:before="100" w:beforeAutospacing="1" w:after="100" w:afterAutospacing="1" w:line="480" w:lineRule="auto"/>
        <w:jc w:val="both"/>
        <w:rPr>
          <w:sz w:val="22"/>
          <w:szCs w:val="22"/>
        </w:rPr>
      </w:pPr>
    </w:p>
    <w:p w14:paraId="2F5702FF" w14:textId="77777777" w:rsidR="006F26F5" w:rsidRDefault="006F26F5" w:rsidP="00563394">
      <w:pPr>
        <w:spacing w:before="100" w:beforeAutospacing="1" w:after="100" w:afterAutospacing="1" w:line="480" w:lineRule="auto"/>
        <w:jc w:val="both"/>
        <w:rPr>
          <w:sz w:val="22"/>
          <w:szCs w:val="22"/>
        </w:rPr>
      </w:pPr>
    </w:p>
    <w:p w14:paraId="75DF471C" w14:textId="77777777" w:rsidR="006F26F5" w:rsidRDefault="006F26F5" w:rsidP="00563394">
      <w:pPr>
        <w:spacing w:before="100" w:beforeAutospacing="1" w:after="100" w:afterAutospacing="1" w:line="480" w:lineRule="auto"/>
        <w:jc w:val="both"/>
        <w:rPr>
          <w:sz w:val="22"/>
          <w:szCs w:val="22"/>
        </w:rPr>
      </w:pPr>
    </w:p>
    <w:p w14:paraId="5BCD8E9E" w14:textId="77777777" w:rsidR="006F26F5" w:rsidRPr="001D6B9A" w:rsidRDefault="006F26F5" w:rsidP="00563394">
      <w:pPr>
        <w:spacing w:before="100" w:beforeAutospacing="1" w:after="100" w:afterAutospacing="1" w:line="480" w:lineRule="auto"/>
        <w:jc w:val="both"/>
        <w:rPr>
          <w:sz w:val="22"/>
          <w:szCs w:val="22"/>
        </w:rPr>
      </w:pPr>
    </w:p>
    <w:p w14:paraId="12148D0B" w14:textId="22512E73" w:rsidR="00FC04FA" w:rsidRDefault="00FC04FA" w:rsidP="00ED0CB0">
      <w:pPr>
        <w:pStyle w:val="Heading1"/>
      </w:pPr>
      <w:r w:rsidRPr="00995660">
        <w:t>References:</w:t>
      </w:r>
    </w:p>
    <w:p w14:paraId="2A3A8B40" w14:textId="77777777" w:rsidR="00ED0CB0" w:rsidRPr="00ED0CB0" w:rsidRDefault="00ED0CB0" w:rsidP="00ED0CB0"/>
    <w:p w14:paraId="34989262" w14:textId="77777777" w:rsidR="00676E9A" w:rsidRPr="00676E9A" w:rsidRDefault="00FC04FA" w:rsidP="00676E9A">
      <w:pPr>
        <w:pStyle w:val="Bibliography"/>
        <w:rPr>
          <w:sz w:val="22"/>
        </w:rPr>
      </w:pPr>
      <w:r w:rsidRPr="00355E2D">
        <w:rPr>
          <w:sz w:val="22"/>
          <w:szCs w:val="22"/>
        </w:rPr>
        <w:fldChar w:fldCharType="begin"/>
      </w:r>
      <w:r w:rsidRPr="00355E2D">
        <w:rPr>
          <w:sz w:val="22"/>
          <w:szCs w:val="22"/>
        </w:rPr>
        <w:instrText xml:space="preserve"> ADDIN ZOTERO_BIBL {"uncited":[],"omitted":[],"custom":[]} CSL_BIBLIOGRAPHY </w:instrText>
      </w:r>
      <w:r w:rsidRPr="00355E2D">
        <w:rPr>
          <w:sz w:val="22"/>
          <w:szCs w:val="22"/>
        </w:rPr>
        <w:fldChar w:fldCharType="separate"/>
      </w:r>
      <w:r w:rsidR="00676E9A" w:rsidRPr="00676E9A">
        <w:rPr>
          <w:sz w:val="22"/>
        </w:rPr>
        <w:t>1.</w:t>
      </w:r>
      <w:r w:rsidR="00676E9A" w:rsidRPr="00676E9A">
        <w:rPr>
          <w:sz w:val="22"/>
        </w:rPr>
        <w:tab/>
        <w:t>Opioid overdose. Accessed May 1, 2025. https://www.who.int/news-room/fact-sheets/detail/opioid-overdose</w:t>
      </w:r>
    </w:p>
    <w:p w14:paraId="5C349AEF" w14:textId="77777777" w:rsidR="00676E9A" w:rsidRPr="00676E9A" w:rsidRDefault="00676E9A" w:rsidP="00676E9A">
      <w:pPr>
        <w:pStyle w:val="Bibliography"/>
        <w:rPr>
          <w:sz w:val="22"/>
        </w:rPr>
      </w:pPr>
      <w:r w:rsidRPr="00676E9A">
        <w:rPr>
          <w:sz w:val="22"/>
        </w:rPr>
        <w:t>2.</w:t>
      </w:r>
      <w:r w:rsidRPr="00676E9A">
        <w:rPr>
          <w:sz w:val="22"/>
        </w:rPr>
        <w:tab/>
        <w:t>Psychiatry.org - Opioid Use Disorder. Accessed May 1, 2025. https://www.psychiatry.org/patients-families/opioid-use-disorder?utm_source=chatgpt.com</w:t>
      </w:r>
    </w:p>
    <w:p w14:paraId="69289ACA" w14:textId="77777777" w:rsidR="00676E9A" w:rsidRPr="00676E9A" w:rsidRDefault="00676E9A" w:rsidP="00676E9A">
      <w:pPr>
        <w:pStyle w:val="Bibliography"/>
        <w:rPr>
          <w:sz w:val="22"/>
        </w:rPr>
      </w:pPr>
      <w:r w:rsidRPr="00676E9A">
        <w:rPr>
          <w:sz w:val="22"/>
        </w:rPr>
        <w:t>3.</w:t>
      </w:r>
      <w:r w:rsidRPr="00676E9A">
        <w:rPr>
          <w:sz w:val="22"/>
        </w:rPr>
        <w:tab/>
        <w:t>U.S. Overdose Deaths Remain Higher Than in Other Countries — Trend-Tracking and Harm-Reduction Policies Could Help. doi:10.26099/ppdk-qy10</w:t>
      </w:r>
    </w:p>
    <w:p w14:paraId="55C71AA9" w14:textId="77777777" w:rsidR="00676E9A" w:rsidRPr="00676E9A" w:rsidRDefault="00676E9A" w:rsidP="00676E9A">
      <w:pPr>
        <w:pStyle w:val="Bibliography"/>
        <w:rPr>
          <w:sz w:val="22"/>
        </w:rPr>
      </w:pPr>
      <w:r w:rsidRPr="00676E9A">
        <w:rPr>
          <w:sz w:val="22"/>
        </w:rPr>
        <w:t>4.</w:t>
      </w:r>
      <w:r w:rsidRPr="00676E9A">
        <w:rPr>
          <w:sz w:val="22"/>
        </w:rPr>
        <w:tab/>
        <w:t>Millman J. Overdose deaths in 2023 fell for the first time since the pandemic. Axios. May 15, 2024. Accessed May 1, 2025. https://www.axios.com/2024/05/15/drug-overdoses-decline-fentanyl</w:t>
      </w:r>
    </w:p>
    <w:p w14:paraId="5256B915" w14:textId="77777777" w:rsidR="00676E9A" w:rsidRPr="00676E9A" w:rsidRDefault="00676E9A" w:rsidP="00676E9A">
      <w:pPr>
        <w:pStyle w:val="Bibliography"/>
        <w:rPr>
          <w:sz w:val="22"/>
        </w:rPr>
      </w:pPr>
      <w:r w:rsidRPr="00676E9A">
        <w:rPr>
          <w:sz w:val="22"/>
        </w:rPr>
        <w:t>5.</w:t>
      </w:r>
      <w:r w:rsidRPr="00676E9A">
        <w:rPr>
          <w:sz w:val="22"/>
        </w:rPr>
        <w:tab/>
        <w:t xml:space="preserve">Sordo L, Barrio G, Bravo MJ, et al. Mortality risk during and after opioid substitution treatment: systematic review and meta-analysis of cohort studies. </w:t>
      </w:r>
      <w:r w:rsidRPr="00676E9A">
        <w:rPr>
          <w:i/>
          <w:iCs/>
          <w:sz w:val="22"/>
        </w:rPr>
        <w:t>BMJ</w:t>
      </w:r>
      <w:r w:rsidRPr="00676E9A">
        <w:rPr>
          <w:sz w:val="22"/>
        </w:rPr>
        <w:t>. 2017;357:j1550. doi:10.1136/bmj.j1550</w:t>
      </w:r>
    </w:p>
    <w:p w14:paraId="640745D9" w14:textId="77777777" w:rsidR="00676E9A" w:rsidRPr="00676E9A" w:rsidRDefault="00676E9A" w:rsidP="00676E9A">
      <w:pPr>
        <w:pStyle w:val="Bibliography"/>
        <w:rPr>
          <w:sz w:val="22"/>
        </w:rPr>
      </w:pPr>
      <w:r w:rsidRPr="00676E9A">
        <w:rPr>
          <w:sz w:val="22"/>
        </w:rPr>
        <w:t>6.</w:t>
      </w:r>
      <w:r w:rsidRPr="00676E9A">
        <w:rPr>
          <w:sz w:val="22"/>
        </w:rPr>
        <w:tab/>
        <w:t>Meta-analysis Confirms Methadone Maintenance Reduces Illicit Opioid Use and Improves Treatment Retention in Patients with Opioid Dependence | Alcohol, Other Drugs, and Health: Current Evidence. Accessed May 1, 2025. https://www.bu.edu/aodhealth/2009/09/01/meta-analysis-confirms-methadone-maintenance-reduces-illicit-opioid-use-and-improves-treatment-retention-in-patients-with-opioid-dependence/?utm_source=chatgpt.com</w:t>
      </w:r>
    </w:p>
    <w:p w14:paraId="060F9344" w14:textId="77777777" w:rsidR="00676E9A" w:rsidRPr="00676E9A" w:rsidRDefault="00676E9A" w:rsidP="00676E9A">
      <w:pPr>
        <w:pStyle w:val="Bibliography"/>
        <w:rPr>
          <w:sz w:val="22"/>
        </w:rPr>
      </w:pPr>
      <w:r w:rsidRPr="00676E9A">
        <w:rPr>
          <w:sz w:val="22"/>
        </w:rPr>
        <w:t>7.</w:t>
      </w:r>
      <w:r w:rsidRPr="00676E9A">
        <w:rPr>
          <w:sz w:val="22"/>
        </w:rPr>
        <w:tab/>
        <w:t xml:space="preserve">Cornish R, Macleod J, Strang J, Vickerman P, Hickman M. Risk of death during and after opiate substitution treatment in primary care: prospective observational study in UK General Practice Research Database. </w:t>
      </w:r>
      <w:r w:rsidRPr="00676E9A">
        <w:rPr>
          <w:i/>
          <w:iCs/>
          <w:sz w:val="22"/>
        </w:rPr>
        <w:t>BMJ</w:t>
      </w:r>
      <w:r w:rsidRPr="00676E9A">
        <w:rPr>
          <w:sz w:val="22"/>
        </w:rPr>
        <w:t>. 2010;341:c5475. doi:10.1136/bmj.c5475</w:t>
      </w:r>
    </w:p>
    <w:p w14:paraId="1E914DBB" w14:textId="77777777" w:rsidR="00676E9A" w:rsidRPr="00676E9A" w:rsidRDefault="00676E9A" w:rsidP="00676E9A">
      <w:pPr>
        <w:pStyle w:val="Bibliography"/>
        <w:rPr>
          <w:sz w:val="22"/>
        </w:rPr>
      </w:pPr>
      <w:r w:rsidRPr="00676E9A">
        <w:rPr>
          <w:sz w:val="22"/>
        </w:rPr>
        <w:t>8.</w:t>
      </w:r>
      <w:r w:rsidRPr="00676E9A">
        <w:rPr>
          <w:sz w:val="22"/>
        </w:rPr>
        <w:tab/>
        <w:t xml:space="preserve">Nazmin F, Nath TS, Limbaña TA, Murugan V, Garcia J, Singareddy S. Systematic Review on Mortality in the Elderly on Methadone Maintenance Treatment. </w:t>
      </w:r>
      <w:r w:rsidRPr="00676E9A">
        <w:rPr>
          <w:i/>
          <w:iCs/>
          <w:sz w:val="22"/>
        </w:rPr>
        <w:t>Cureus</w:t>
      </w:r>
      <w:r w:rsidRPr="00676E9A">
        <w:rPr>
          <w:sz w:val="22"/>
        </w:rPr>
        <w:t>. 2024;16(9):e68910. doi:10.7759/cureus.68910</w:t>
      </w:r>
    </w:p>
    <w:p w14:paraId="475FB0FC" w14:textId="77777777" w:rsidR="00676E9A" w:rsidRPr="00676E9A" w:rsidRDefault="00676E9A" w:rsidP="00676E9A">
      <w:pPr>
        <w:pStyle w:val="Bibliography"/>
        <w:rPr>
          <w:sz w:val="22"/>
        </w:rPr>
      </w:pPr>
      <w:r w:rsidRPr="00676E9A">
        <w:rPr>
          <w:sz w:val="22"/>
        </w:rPr>
        <w:t>9.</w:t>
      </w:r>
      <w:r w:rsidRPr="00676E9A">
        <w:rPr>
          <w:sz w:val="22"/>
        </w:rPr>
        <w:tab/>
        <w:t>Facts &amp; Stats. International Overdose Awareness Day. Accessed May 1, 2025. https://www.overdoseday.com/facts-stats/</w:t>
      </w:r>
    </w:p>
    <w:p w14:paraId="3D159A46" w14:textId="77777777" w:rsidR="00676E9A" w:rsidRPr="00676E9A" w:rsidRDefault="00676E9A" w:rsidP="00676E9A">
      <w:pPr>
        <w:pStyle w:val="Bibliography"/>
        <w:rPr>
          <w:sz w:val="22"/>
        </w:rPr>
      </w:pPr>
      <w:r w:rsidRPr="00676E9A">
        <w:rPr>
          <w:sz w:val="22"/>
        </w:rPr>
        <w:t>10.</w:t>
      </w:r>
      <w:r w:rsidRPr="00676E9A">
        <w:rPr>
          <w:sz w:val="22"/>
        </w:rPr>
        <w:tab/>
        <w:t xml:space="preserve">Caplehorn JRM, Batey RG. Methadone Maintenance in Australia. </w:t>
      </w:r>
      <w:r w:rsidRPr="00676E9A">
        <w:rPr>
          <w:i/>
          <w:iCs/>
          <w:sz w:val="22"/>
        </w:rPr>
        <w:t>Journal of Drug Issues</w:t>
      </w:r>
      <w:r w:rsidRPr="00676E9A">
        <w:rPr>
          <w:sz w:val="22"/>
        </w:rPr>
        <w:t>. 1992;22(3):661-678. doi:10.1177/002204269202200314</w:t>
      </w:r>
    </w:p>
    <w:p w14:paraId="00CC4A66" w14:textId="77777777" w:rsidR="00676E9A" w:rsidRPr="00676E9A" w:rsidRDefault="00676E9A" w:rsidP="00676E9A">
      <w:pPr>
        <w:pStyle w:val="Bibliography"/>
        <w:rPr>
          <w:sz w:val="22"/>
        </w:rPr>
      </w:pPr>
      <w:r w:rsidRPr="00676E9A">
        <w:rPr>
          <w:sz w:val="22"/>
        </w:rPr>
        <w:t>11.</w:t>
      </w:r>
      <w:r w:rsidRPr="00676E9A">
        <w:rPr>
          <w:sz w:val="22"/>
        </w:rPr>
        <w:tab/>
        <w:t xml:space="preserve">Retention in methadone maintenance and heroin </w:t>
      </w:r>
      <w:proofErr w:type="spellStart"/>
      <w:r w:rsidRPr="00676E9A">
        <w:rPr>
          <w:sz w:val="22"/>
        </w:rPr>
        <w:t>addicts’risk</w:t>
      </w:r>
      <w:proofErr w:type="spellEnd"/>
      <w:r w:rsidRPr="00676E9A">
        <w:rPr>
          <w:sz w:val="22"/>
        </w:rPr>
        <w:t xml:space="preserve"> of death - CAPLEHORN - 1994 - Addiction - Wiley Online Library. Accessed May 1, 2025. https://onlinelibrary.wiley.com/doi/abs/10.1111/j.1360-0443.1994.tb00879.x?utm_source=chatgpt.com</w:t>
      </w:r>
    </w:p>
    <w:p w14:paraId="384ECBCD" w14:textId="77777777" w:rsidR="00676E9A" w:rsidRPr="00676E9A" w:rsidRDefault="00676E9A" w:rsidP="00676E9A">
      <w:pPr>
        <w:pStyle w:val="Bibliography"/>
        <w:rPr>
          <w:sz w:val="22"/>
        </w:rPr>
      </w:pPr>
      <w:r w:rsidRPr="00676E9A">
        <w:rPr>
          <w:sz w:val="22"/>
        </w:rPr>
        <w:t>12.</w:t>
      </w:r>
      <w:r w:rsidRPr="00676E9A">
        <w:rPr>
          <w:sz w:val="22"/>
        </w:rPr>
        <w:tab/>
        <w:t xml:space="preserve">Kelly SM, O’Grady KE, Mitchell SG, Brown BS, Schwartz RP. Predictors of methadone treatment retention from a multi-site study: A survival analysis. </w:t>
      </w:r>
      <w:r w:rsidRPr="00676E9A">
        <w:rPr>
          <w:i/>
          <w:iCs/>
          <w:sz w:val="22"/>
        </w:rPr>
        <w:t>Drug and Alcohol Dependence</w:t>
      </w:r>
      <w:r w:rsidRPr="00676E9A">
        <w:rPr>
          <w:sz w:val="22"/>
        </w:rPr>
        <w:t>. 2011;117(2):170-175. doi:10.1016/j.drugalcdep.2011.01.008</w:t>
      </w:r>
    </w:p>
    <w:p w14:paraId="41ED3969" w14:textId="77777777" w:rsidR="00676E9A" w:rsidRPr="00676E9A" w:rsidRDefault="00676E9A" w:rsidP="00676E9A">
      <w:pPr>
        <w:pStyle w:val="Bibliography"/>
        <w:rPr>
          <w:sz w:val="22"/>
        </w:rPr>
      </w:pPr>
      <w:r w:rsidRPr="00676E9A">
        <w:rPr>
          <w:sz w:val="22"/>
        </w:rPr>
        <w:t>13.</w:t>
      </w:r>
      <w:r w:rsidRPr="00676E9A">
        <w:rPr>
          <w:sz w:val="22"/>
        </w:rPr>
        <w:tab/>
        <w:t xml:space="preserve">Che Y, </w:t>
      </w:r>
      <w:proofErr w:type="spellStart"/>
      <w:r w:rsidRPr="00676E9A">
        <w:rPr>
          <w:sz w:val="22"/>
        </w:rPr>
        <w:t>Assanangkornchai</w:t>
      </w:r>
      <w:proofErr w:type="spellEnd"/>
      <w:r w:rsidRPr="00676E9A">
        <w:rPr>
          <w:sz w:val="22"/>
        </w:rPr>
        <w:t xml:space="preserve"> S, </w:t>
      </w:r>
      <w:proofErr w:type="spellStart"/>
      <w:r w:rsidRPr="00676E9A">
        <w:rPr>
          <w:sz w:val="22"/>
        </w:rPr>
        <w:t>Mcneil</w:t>
      </w:r>
      <w:proofErr w:type="spellEnd"/>
      <w:r w:rsidRPr="00676E9A">
        <w:rPr>
          <w:sz w:val="22"/>
        </w:rPr>
        <w:t xml:space="preserve"> E, et al. Predictors of early dropout in methadone maintenance treatment program in Yunnan province, China. </w:t>
      </w:r>
      <w:r w:rsidRPr="00676E9A">
        <w:rPr>
          <w:i/>
          <w:iCs/>
          <w:sz w:val="22"/>
        </w:rPr>
        <w:t>Drug and Alcohol Review</w:t>
      </w:r>
      <w:r w:rsidRPr="00676E9A">
        <w:rPr>
          <w:sz w:val="22"/>
        </w:rPr>
        <w:t>. 2010;29(3):263-270. doi:10.1111/j.1465-3362.2009.00157.x</w:t>
      </w:r>
    </w:p>
    <w:p w14:paraId="0BA2B026" w14:textId="44C05074" w:rsidR="007503DB" w:rsidRDefault="00FC04FA" w:rsidP="00676E9A">
      <w:pPr>
        <w:pStyle w:val="Bibliography"/>
        <w:jc w:val="both"/>
        <w:rPr>
          <w:sz w:val="22"/>
          <w:szCs w:val="22"/>
        </w:rPr>
      </w:pPr>
      <w:r w:rsidRPr="00355E2D">
        <w:rPr>
          <w:sz w:val="22"/>
          <w:szCs w:val="22"/>
        </w:rPr>
        <w:fldChar w:fldCharType="end"/>
      </w:r>
    </w:p>
    <w:p w14:paraId="59D83D4A" w14:textId="7AA89AE4" w:rsidR="00C47CA2" w:rsidRDefault="00C47CA2" w:rsidP="00C47CA2">
      <w:pPr>
        <w:pStyle w:val="Heading1"/>
      </w:pPr>
      <w:r>
        <w:t>Appendix</w:t>
      </w:r>
      <w:r w:rsidR="007C5584">
        <w:t xml:space="preserve"> - Syntax</w:t>
      </w:r>
      <w:r>
        <w:t>:</w:t>
      </w:r>
    </w:p>
    <w:p w14:paraId="282CFE86" w14:textId="77777777" w:rsidR="007C5584" w:rsidRDefault="007C5584" w:rsidP="007C5584"/>
    <w:p w14:paraId="16C23BB3"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clear</w:t>
      </w:r>
    </w:p>
    <w:p w14:paraId="3478F26F"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use "/Users/ray/Library/</w:t>
      </w:r>
      <w:proofErr w:type="spellStart"/>
      <w:r w:rsidRPr="007C5584">
        <w:rPr>
          <w:rFonts w:ascii="Courier New" w:hAnsi="Courier New" w:cs="Courier New"/>
          <w:sz w:val="15"/>
          <w:szCs w:val="15"/>
        </w:rPr>
        <w:t>CloudStorage</w:t>
      </w:r>
      <w:proofErr w:type="spellEnd"/>
      <w:r w:rsidRPr="007C5584">
        <w:rPr>
          <w:rFonts w:ascii="Courier New" w:hAnsi="Courier New" w:cs="Courier New"/>
          <w:sz w:val="15"/>
          <w:szCs w:val="15"/>
        </w:rPr>
        <w:t>/Box-Box/2024/WASHU/MPH Year 2/Semester 2/Survival Analysis/Assignments/Final/addicts.dta"</w:t>
      </w:r>
    </w:p>
    <w:p w14:paraId="1EF94CD7"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use addicts.dta, clear</w:t>
      </w:r>
    </w:p>
    <w:p w14:paraId="5D0596A4"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gen survt_mo = survt / 30.4375</w:t>
      </w:r>
    </w:p>
    <w:p w14:paraId="3A70F6CF"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replace survt_mo = 1 if survt == 0</w:t>
      </w:r>
    </w:p>
    <w:p w14:paraId="1AB925E3" w14:textId="77777777" w:rsidR="007C5584" w:rsidRDefault="007C5584" w:rsidP="007C5584">
      <w:pPr>
        <w:rPr>
          <w:rFonts w:ascii="Courier New" w:hAnsi="Courier New" w:cs="Courier New"/>
          <w:sz w:val="15"/>
          <w:szCs w:val="15"/>
        </w:rPr>
      </w:pPr>
      <w:r w:rsidRPr="007C5584">
        <w:rPr>
          <w:rFonts w:ascii="Courier New" w:hAnsi="Courier New" w:cs="Courier New"/>
          <w:sz w:val="15"/>
          <w:szCs w:val="15"/>
        </w:rPr>
        <w:t>stset survt_mo, failure(status ==1) id(id)</w:t>
      </w:r>
    </w:p>
    <w:p w14:paraId="335BC0DC" w14:textId="77777777" w:rsidR="007C5584" w:rsidRPr="007C5584" w:rsidRDefault="007C5584" w:rsidP="007C5584">
      <w:pPr>
        <w:rPr>
          <w:rFonts w:ascii="Courier New" w:hAnsi="Courier New" w:cs="Courier New"/>
          <w:sz w:val="15"/>
          <w:szCs w:val="15"/>
        </w:rPr>
      </w:pPr>
    </w:p>
    <w:p w14:paraId="4BEF4244"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w:t>
      </w:r>
    </w:p>
    <w:p w14:paraId="34CE0B83" w14:textId="77777777" w:rsidR="007C5584" w:rsidRPr="007C5584" w:rsidRDefault="007C5584" w:rsidP="007C5584">
      <w:pPr>
        <w:rPr>
          <w:rFonts w:ascii="Courier New" w:hAnsi="Courier New" w:cs="Courier New"/>
          <w:sz w:val="15"/>
          <w:szCs w:val="15"/>
        </w:rPr>
      </w:pPr>
    </w:p>
    <w:p w14:paraId="5F9C6E24"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Descriptives</w:t>
      </w:r>
    </w:p>
    <w:p w14:paraId="0F3A34D8" w14:textId="77777777" w:rsidR="007C5584" w:rsidRPr="007C5584" w:rsidRDefault="007C5584" w:rsidP="007C5584">
      <w:pPr>
        <w:rPr>
          <w:rFonts w:ascii="Courier New" w:hAnsi="Courier New" w:cs="Courier New"/>
          <w:sz w:val="15"/>
          <w:szCs w:val="15"/>
        </w:rPr>
      </w:pPr>
    </w:p>
    <w:p w14:paraId="470A0D2C"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ltable survt_mo status, interval(1) by(clinic)</w:t>
      </w:r>
    </w:p>
    <w:p w14:paraId="67A82E7E"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sts graph, by(clinic)</w:t>
      </w:r>
    </w:p>
    <w:p w14:paraId="3A0C8BFD"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xml:space="preserve">sts test clinic </w:t>
      </w:r>
    </w:p>
    <w:p w14:paraId="0E633830"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stci, by(clinic) p(50)</w:t>
      </w:r>
    </w:p>
    <w:p w14:paraId="0F6F43A9" w14:textId="77777777" w:rsidR="007C5584" w:rsidRPr="007C5584" w:rsidRDefault="007C5584" w:rsidP="007C5584">
      <w:pPr>
        <w:rPr>
          <w:rFonts w:ascii="Courier New" w:hAnsi="Courier New" w:cs="Courier New"/>
          <w:sz w:val="15"/>
          <w:szCs w:val="15"/>
        </w:rPr>
      </w:pPr>
    </w:p>
    <w:p w14:paraId="3A83630A"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w:t>
      </w:r>
    </w:p>
    <w:p w14:paraId="5272E6F2" w14:textId="77777777" w:rsidR="007C5584" w:rsidRDefault="007C5584" w:rsidP="007C5584">
      <w:pPr>
        <w:rPr>
          <w:rFonts w:ascii="Courier New" w:hAnsi="Courier New" w:cs="Courier New"/>
          <w:sz w:val="15"/>
          <w:szCs w:val="15"/>
        </w:rPr>
      </w:pPr>
    </w:p>
    <w:p w14:paraId="1B9C9595" w14:textId="58F213C2" w:rsidR="00ED0CB0" w:rsidRPr="007C5584" w:rsidRDefault="00ED0CB0" w:rsidP="00ED0CB0">
      <w:pPr>
        <w:rPr>
          <w:rFonts w:ascii="Courier New" w:hAnsi="Courier New" w:cs="Courier New"/>
          <w:sz w:val="15"/>
          <w:szCs w:val="15"/>
        </w:rPr>
      </w:pPr>
      <w:r w:rsidRPr="007C5584">
        <w:rPr>
          <w:rFonts w:ascii="Courier New" w:hAnsi="Courier New" w:cs="Courier New"/>
          <w:sz w:val="15"/>
          <w:szCs w:val="15"/>
        </w:rPr>
        <w:t xml:space="preserve">** </w:t>
      </w:r>
      <w:r>
        <w:rPr>
          <w:rFonts w:ascii="Courier New" w:hAnsi="Courier New" w:cs="Courier New"/>
          <w:sz w:val="15"/>
          <w:szCs w:val="15"/>
        </w:rPr>
        <w:t>Cox-regression</w:t>
      </w:r>
    </w:p>
    <w:p w14:paraId="3C29688C" w14:textId="77777777" w:rsidR="00ED0CB0" w:rsidRPr="007C5584" w:rsidRDefault="00ED0CB0" w:rsidP="007C5584">
      <w:pPr>
        <w:rPr>
          <w:rFonts w:ascii="Courier New" w:hAnsi="Courier New" w:cs="Courier New"/>
          <w:sz w:val="15"/>
          <w:szCs w:val="15"/>
        </w:rPr>
      </w:pPr>
    </w:p>
    <w:p w14:paraId="1D12B738"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stcox i.clinic prison dose, efron</w:t>
      </w:r>
    </w:p>
    <w:p w14:paraId="720BA8FF" w14:textId="77777777" w:rsidR="007C5584" w:rsidRPr="007C5584" w:rsidRDefault="007C5584" w:rsidP="007C5584">
      <w:pPr>
        <w:rPr>
          <w:rFonts w:ascii="Courier New" w:hAnsi="Courier New" w:cs="Courier New"/>
          <w:sz w:val="15"/>
          <w:szCs w:val="15"/>
        </w:rPr>
      </w:pPr>
    </w:p>
    <w:p w14:paraId="445F2DAE"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Testing assumptions:</w:t>
      </w:r>
    </w:p>
    <w:p w14:paraId="12684D65" w14:textId="77777777" w:rsidR="007C5584" w:rsidRPr="007C5584" w:rsidRDefault="007C5584" w:rsidP="007C5584">
      <w:pPr>
        <w:rPr>
          <w:rFonts w:ascii="Courier New" w:hAnsi="Courier New" w:cs="Courier New"/>
          <w:sz w:val="15"/>
          <w:szCs w:val="15"/>
        </w:rPr>
      </w:pPr>
    </w:p>
    <w:p w14:paraId="466DE5B8"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estat phtest, detail</w:t>
      </w:r>
    </w:p>
    <w:p w14:paraId="0112AF5F" w14:textId="77777777" w:rsidR="007C5584" w:rsidRPr="007C5584" w:rsidRDefault="007C5584" w:rsidP="007C5584">
      <w:pPr>
        <w:rPr>
          <w:rFonts w:ascii="Courier New" w:hAnsi="Courier New" w:cs="Courier New"/>
          <w:sz w:val="15"/>
          <w:szCs w:val="15"/>
        </w:rPr>
      </w:pPr>
    </w:p>
    <w:p w14:paraId="44DE75BA"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w:t>
      </w:r>
    </w:p>
    <w:p w14:paraId="25572C7A" w14:textId="77777777" w:rsidR="007C5584" w:rsidRPr="007C5584" w:rsidRDefault="007C5584" w:rsidP="007C5584">
      <w:pPr>
        <w:rPr>
          <w:rFonts w:ascii="Courier New" w:hAnsi="Courier New" w:cs="Courier New"/>
          <w:sz w:val="15"/>
          <w:szCs w:val="15"/>
        </w:rPr>
      </w:pPr>
    </w:p>
    <w:p w14:paraId="1C520356"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Piecewise exponential model</w:t>
      </w:r>
    </w:p>
    <w:p w14:paraId="1156CADE" w14:textId="77777777" w:rsidR="007C5584" w:rsidRPr="007C5584" w:rsidRDefault="007C5584" w:rsidP="007C5584">
      <w:pPr>
        <w:rPr>
          <w:rFonts w:ascii="Courier New" w:hAnsi="Courier New" w:cs="Courier New"/>
          <w:sz w:val="15"/>
          <w:szCs w:val="15"/>
        </w:rPr>
      </w:pPr>
    </w:p>
    <w:p w14:paraId="49B16B35"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stsplit period, at(1 3 6 12 24 36)</w:t>
      </w:r>
    </w:p>
    <w:p w14:paraId="366AB1D0"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streg i.clinic prison dose i.period, distribution(exponential)</w:t>
      </w:r>
    </w:p>
    <w:p w14:paraId="36343F12" w14:textId="77777777" w:rsidR="007C5584" w:rsidRPr="007C5584" w:rsidRDefault="007C5584" w:rsidP="007C5584">
      <w:pPr>
        <w:rPr>
          <w:rFonts w:ascii="Courier New" w:hAnsi="Courier New" w:cs="Courier New"/>
          <w:sz w:val="15"/>
          <w:szCs w:val="15"/>
        </w:rPr>
      </w:pPr>
    </w:p>
    <w:p w14:paraId="0D646C76"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xml:space="preserve">** Testing </w:t>
      </w:r>
      <w:proofErr w:type="spellStart"/>
      <w:r w:rsidRPr="007C5584">
        <w:rPr>
          <w:rFonts w:ascii="Courier New" w:hAnsi="Courier New" w:cs="Courier New"/>
          <w:sz w:val="15"/>
          <w:szCs w:val="15"/>
        </w:rPr>
        <w:t>interraction</w:t>
      </w:r>
      <w:proofErr w:type="spellEnd"/>
      <w:r w:rsidRPr="007C5584">
        <w:rPr>
          <w:rFonts w:ascii="Courier New" w:hAnsi="Courier New" w:cs="Courier New"/>
          <w:sz w:val="15"/>
          <w:szCs w:val="15"/>
        </w:rPr>
        <w:t xml:space="preserve"> terms</w:t>
      </w:r>
    </w:p>
    <w:p w14:paraId="60A192F4" w14:textId="77777777" w:rsidR="007C5584" w:rsidRPr="007C5584" w:rsidRDefault="007C5584" w:rsidP="007C5584">
      <w:pPr>
        <w:rPr>
          <w:rFonts w:ascii="Courier New" w:hAnsi="Courier New" w:cs="Courier New"/>
          <w:sz w:val="15"/>
          <w:szCs w:val="15"/>
        </w:rPr>
      </w:pPr>
    </w:p>
    <w:p w14:paraId="318F7B4D"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ab/>
        <w:t>* Centering dose</w:t>
      </w:r>
    </w:p>
    <w:p w14:paraId="6879F896" w14:textId="77777777" w:rsidR="007C5584" w:rsidRPr="007C5584" w:rsidRDefault="007C5584" w:rsidP="007C5584">
      <w:pPr>
        <w:rPr>
          <w:rFonts w:ascii="Courier New" w:hAnsi="Courier New" w:cs="Courier New"/>
          <w:sz w:val="15"/>
          <w:szCs w:val="15"/>
        </w:rPr>
      </w:pPr>
    </w:p>
    <w:p w14:paraId="2A427480"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summarize dose</w:t>
      </w:r>
    </w:p>
    <w:p w14:paraId="527C1C74"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local m = r(mean)</w:t>
      </w:r>
    </w:p>
    <w:p w14:paraId="7E5C72B1"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gen dose_c = dose - `m'</w:t>
      </w:r>
    </w:p>
    <w:p w14:paraId="3BA8E75D" w14:textId="77777777" w:rsidR="007C5584" w:rsidRPr="007C5584" w:rsidRDefault="007C5584" w:rsidP="007C5584">
      <w:pPr>
        <w:rPr>
          <w:rFonts w:ascii="Courier New" w:hAnsi="Courier New" w:cs="Courier New"/>
          <w:sz w:val="15"/>
          <w:szCs w:val="15"/>
        </w:rPr>
      </w:pPr>
    </w:p>
    <w:p w14:paraId="59C0A663"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ab/>
        <w:t>* Three-way interaction terms</w:t>
      </w:r>
    </w:p>
    <w:p w14:paraId="4EBC085E" w14:textId="77777777" w:rsidR="007C5584" w:rsidRPr="007C5584" w:rsidRDefault="007C5584" w:rsidP="007C5584">
      <w:pPr>
        <w:rPr>
          <w:rFonts w:ascii="Courier New" w:hAnsi="Courier New" w:cs="Courier New"/>
          <w:sz w:val="15"/>
          <w:szCs w:val="15"/>
        </w:rPr>
      </w:pPr>
    </w:p>
    <w:p w14:paraId="1E99E746"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stcox i.clinic##i.prison##c.dose_c, efron</w:t>
      </w:r>
    </w:p>
    <w:p w14:paraId="114A3C34" w14:textId="77777777" w:rsidR="007C5584" w:rsidRPr="007C5584" w:rsidRDefault="007C5584" w:rsidP="007C5584">
      <w:pPr>
        <w:rPr>
          <w:rFonts w:ascii="Courier New" w:hAnsi="Courier New" w:cs="Courier New"/>
          <w:sz w:val="15"/>
          <w:szCs w:val="15"/>
        </w:rPr>
      </w:pPr>
    </w:p>
    <w:p w14:paraId="67F44D36"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 Test interactions one at a time</w:t>
      </w:r>
    </w:p>
    <w:p w14:paraId="224304E8"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testparm i.clinic#c.dose_c</w:t>
      </w:r>
    </w:p>
    <w:p w14:paraId="00200E87"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testparm i.prison#c.dose_c</w:t>
      </w:r>
    </w:p>
    <w:p w14:paraId="68DA0724" w14:textId="77777777"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testparm i.clinic#i.prison</w:t>
      </w:r>
    </w:p>
    <w:p w14:paraId="0F50CF77" w14:textId="77777777" w:rsidR="007C5584" w:rsidRPr="007C5584" w:rsidRDefault="007C5584" w:rsidP="007C5584">
      <w:pPr>
        <w:rPr>
          <w:rFonts w:ascii="Courier New" w:hAnsi="Courier New" w:cs="Courier New"/>
          <w:sz w:val="15"/>
          <w:szCs w:val="15"/>
        </w:rPr>
      </w:pPr>
    </w:p>
    <w:p w14:paraId="18DE0232" w14:textId="2A33D2DC" w:rsidR="007C5584" w:rsidRPr="007C5584" w:rsidRDefault="007C5584" w:rsidP="007C5584">
      <w:pPr>
        <w:rPr>
          <w:rFonts w:ascii="Courier New" w:hAnsi="Courier New" w:cs="Courier New"/>
          <w:sz w:val="15"/>
          <w:szCs w:val="15"/>
        </w:rPr>
      </w:pPr>
      <w:r w:rsidRPr="007C5584">
        <w:rPr>
          <w:rFonts w:ascii="Courier New" w:hAnsi="Courier New" w:cs="Courier New"/>
          <w:sz w:val="15"/>
          <w:szCs w:val="15"/>
        </w:rPr>
        <w:t>stcurve, survival at1(clinic=1 prison=0 dose_c=0) at2(clinic=2 prison=0 dose_c=0) title("Predicted Retention by Clinic") xlabel(0(6)36) legend(order(1 "Clinic 1" 2 "Clinic 2"))</w:t>
      </w:r>
    </w:p>
    <w:p w14:paraId="498D63E3" w14:textId="77777777" w:rsidR="00C47CA2" w:rsidRPr="007C5584" w:rsidRDefault="00C47CA2" w:rsidP="00C47CA2">
      <w:pPr>
        <w:rPr>
          <w:rFonts w:ascii="Courier New" w:hAnsi="Courier New" w:cs="Courier New"/>
          <w:sz w:val="15"/>
          <w:szCs w:val="15"/>
        </w:rPr>
      </w:pPr>
    </w:p>
    <w:p w14:paraId="71044DCC" w14:textId="797871B0" w:rsidR="00C47CA2" w:rsidRPr="00C47CA2" w:rsidRDefault="00C47CA2" w:rsidP="00C47CA2"/>
    <w:sectPr w:rsidR="00C47CA2" w:rsidRPr="00C47CA2">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EF6D" w14:textId="77777777" w:rsidR="00A90AF2" w:rsidRDefault="00A90AF2" w:rsidP="00A90AF2">
      <w:r>
        <w:separator/>
      </w:r>
    </w:p>
  </w:endnote>
  <w:endnote w:type="continuationSeparator" w:id="0">
    <w:p w14:paraId="3DE9C621" w14:textId="77777777" w:rsidR="00A90AF2" w:rsidRDefault="00A90AF2" w:rsidP="00A90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406986"/>
      <w:docPartObj>
        <w:docPartGallery w:val="Page Numbers (Bottom of Page)"/>
        <w:docPartUnique/>
      </w:docPartObj>
    </w:sdtPr>
    <w:sdtEndPr>
      <w:rPr>
        <w:rStyle w:val="PageNumber"/>
      </w:rPr>
    </w:sdtEndPr>
    <w:sdtContent>
      <w:p w14:paraId="3557CF5D" w14:textId="1066E6BF" w:rsidR="00A90AF2" w:rsidRDefault="00A90AF2" w:rsidP="008E4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8EAB8C" w14:textId="77777777" w:rsidR="00A90AF2" w:rsidRDefault="00A90AF2" w:rsidP="00A90A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994914"/>
      <w:docPartObj>
        <w:docPartGallery w:val="Page Numbers (Bottom of Page)"/>
        <w:docPartUnique/>
      </w:docPartObj>
    </w:sdtPr>
    <w:sdtEndPr>
      <w:rPr>
        <w:rStyle w:val="PageNumber"/>
      </w:rPr>
    </w:sdtEndPr>
    <w:sdtContent>
      <w:p w14:paraId="480B3BCD" w14:textId="07392B6E" w:rsidR="00A90AF2" w:rsidRDefault="00A90AF2" w:rsidP="008E4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BC7618" w14:textId="77777777" w:rsidR="00A90AF2" w:rsidRDefault="00A90AF2" w:rsidP="00A90A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AD07" w14:textId="77777777" w:rsidR="00A90AF2" w:rsidRDefault="00A90AF2" w:rsidP="00A90AF2">
      <w:r>
        <w:separator/>
      </w:r>
    </w:p>
  </w:footnote>
  <w:footnote w:type="continuationSeparator" w:id="0">
    <w:p w14:paraId="40183D1D" w14:textId="77777777" w:rsidR="00A90AF2" w:rsidRDefault="00A90AF2" w:rsidP="00A90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CA7"/>
    <w:multiLevelType w:val="multilevel"/>
    <w:tmpl w:val="D6A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169E"/>
    <w:multiLevelType w:val="multilevel"/>
    <w:tmpl w:val="C284DE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BDF1027"/>
    <w:multiLevelType w:val="hybridMultilevel"/>
    <w:tmpl w:val="AE28A764"/>
    <w:lvl w:ilvl="0" w:tplc="A18880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C3FEB"/>
    <w:multiLevelType w:val="hybridMultilevel"/>
    <w:tmpl w:val="1646F5A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E394F93"/>
    <w:multiLevelType w:val="hybridMultilevel"/>
    <w:tmpl w:val="F724B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A7F28"/>
    <w:multiLevelType w:val="multilevel"/>
    <w:tmpl w:val="489865DA"/>
    <w:lvl w:ilvl="0">
      <w:start w:val="1"/>
      <w:numFmt w:val="lowerRoman"/>
      <w:lvlText w:val="%1."/>
      <w:lvlJc w:val="right"/>
      <w:pPr>
        <w:ind w:left="540" w:hanging="18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06E9"/>
    <w:multiLevelType w:val="multilevel"/>
    <w:tmpl w:val="7B1C8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3DE5D10"/>
    <w:multiLevelType w:val="multilevel"/>
    <w:tmpl w:val="F23A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E3100"/>
    <w:multiLevelType w:val="multilevel"/>
    <w:tmpl w:val="1D546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541E9"/>
    <w:multiLevelType w:val="multilevel"/>
    <w:tmpl w:val="9496A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20B71"/>
    <w:multiLevelType w:val="hybridMultilevel"/>
    <w:tmpl w:val="3B9C2080"/>
    <w:lvl w:ilvl="0" w:tplc="95600B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77D8D"/>
    <w:multiLevelType w:val="multilevel"/>
    <w:tmpl w:val="B92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221FA"/>
    <w:multiLevelType w:val="multilevel"/>
    <w:tmpl w:val="129C48F2"/>
    <w:styleLink w:val="CurrentList2"/>
    <w:lvl w:ilvl="0">
      <w:start w:val="1"/>
      <w:numFmt w:val="decimal"/>
      <w:lvlText w:val="%1."/>
      <w:lvlJc w:val="left"/>
      <w:pPr>
        <w:ind w:left="720" w:hanging="360"/>
      </w:pPr>
      <w:rPr>
        <w:rFonts w:eastAsiaTheme="majorEastAsia" w:cstheme="majorBidi" w:hint="default"/>
        <w:color w:val="000000" w:themeColor="text1"/>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2E2211"/>
    <w:multiLevelType w:val="hybridMultilevel"/>
    <w:tmpl w:val="F29AAB86"/>
    <w:lvl w:ilvl="0" w:tplc="815E8B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E52FBA"/>
    <w:multiLevelType w:val="hybridMultilevel"/>
    <w:tmpl w:val="40125716"/>
    <w:lvl w:ilvl="0" w:tplc="E842B25E">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425412"/>
    <w:multiLevelType w:val="multilevel"/>
    <w:tmpl w:val="E40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06C1"/>
    <w:multiLevelType w:val="hybridMultilevel"/>
    <w:tmpl w:val="129C48F2"/>
    <w:lvl w:ilvl="0" w:tplc="FD66F502">
      <w:start w:val="1"/>
      <w:numFmt w:val="decimal"/>
      <w:lvlText w:val="%1."/>
      <w:lvlJc w:val="left"/>
      <w:pPr>
        <w:ind w:left="720" w:hanging="360"/>
      </w:pPr>
      <w:rPr>
        <w:rFonts w:eastAsiaTheme="majorEastAsia" w:cstheme="majorBidi" w:hint="default"/>
        <w:color w:val="000000" w:themeColor="text1"/>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D87405"/>
    <w:multiLevelType w:val="multilevel"/>
    <w:tmpl w:val="4698AE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70F3BDE"/>
    <w:multiLevelType w:val="multilevel"/>
    <w:tmpl w:val="C472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143CB"/>
    <w:multiLevelType w:val="multilevel"/>
    <w:tmpl w:val="30ACBC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7F954CA"/>
    <w:multiLevelType w:val="multilevel"/>
    <w:tmpl w:val="3354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E3C30"/>
    <w:multiLevelType w:val="hybridMultilevel"/>
    <w:tmpl w:val="771AC43C"/>
    <w:lvl w:ilvl="0" w:tplc="E842B25E">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782898"/>
    <w:multiLevelType w:val="hybridMultilevel"/>
    <w:tmpl w:val="EF3C600E"/>
    <w:lvl w:ilvl="0" w:tplc="36A6FAE2">
      <w:start w:val="1"/>
      <w:numFmt w:val="decimal"/>
      <w:pStyle w:val="Heading1"/>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D44940"/>
    <w:multiLevelType w:val="multilevel"/>
    <w:tmpl w:val="CD4C82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54102AFA"/>
    <w:multiLevelType w:val="multilevel"/>
    <w:tmpl w:val="C80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36CB2"/>
    <w:multiLevelType w:val="multilevel"/>
    <w:tmpl w:val="5D10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8D6073"/>
    <w:multiLevelType w:val="hybridMultilevel"/>
    <w:tmpl w:val="C5F6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AE7D1B"/>
    <w:multiLevelType w:val="multilevel"/>
    <w:tmpl w:val="9D7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E22FF"/>
    <w:multiLevelType w:val="hybridMultilevel"/>
    <w:tmpl w:val="1646F5A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DA8435A"/>
    <w:multiLevelType w:val="hybridMultilevel"/>
    <w:tmpl w:val="1C74E9A8"/>
    <w:lvl w:ilvl="0" w:tplc="E842B25E">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C93C43"/>
    <w:multiLevelType w:val="hybridMultilevel"/>
    <w:tmpl w:val="46A4978A"/>
    <w:lvl w:ilvl="0" w:tplc="2FF2B8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35302"/>
    <w:multiLevelType w:val="multilevel"/>
    <w:tmpl w:val="4ECEAE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6C9E256F"/>
    <w:multiLevelType w:val="hybridMultilevel"/>
    <w:tmpl w:val="9EF4752A"/>
    <w:lvl w:ilvl="0" w:tplc="F94C70F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BE384C"/>
    <w:multiLevelType w:val="multilevel"/>
    <w:tmpl w:val="EE2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60098"/>
    <w:multiLevelType w:val="multilevel"/>
    <w:tmpl w:val="4698AEB4"/>
    <w:styleLink w:val="CurrentList1"/>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9046086">
    <w:abstractNumId w:val="16"/>
  </w:num>
  <w:num w:numId="2" w16cid:durableId="1184128816">
    <w:abstractNumId w:val="19"/>
  </w:num>
  <w:num w:numId="3" w16cid:durableId="547032933">
    <w:abstractNumId w:val="30"/>
  </w:num>
  <w:num w:numId="4" w16cid:durableId="121851208">
    <w:abstractNumId w:val="13"/>
  </w:num>
  <w:num w:numId="5" w16cid:durableId="1130320661">
    <w:abstractNumId w:val="6"/>
  </w:num>
  <w:num w:numId="6" w16cid:durableId="3409387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159750">
    <w:abstractNumId w:val="29"/>
  </w:num>
  <w:num w:numId="8" w16cid:durableId="415133745">
    <w:abstractNumId w:val="23"/>
  </w:num>
  <w:num w:numId="9" w16cid:durableId="850605935">
    <w:abstractNumId w:val="2"/>
  </w:num>
  <w:num w:numId="10" w16cid:durableId="1017275879">
    <w:abstractNumId w:val="1"/>
  </w:num>
  <w:num w:numId="11" w16cid:durableId="1730374843">
    <w:abstractNumId w:val="32"/>
  </w:num>
  <w:num w:numId="12" w16cid:durableId="1694528236">
    <w:abstractNumId w:val="5"/>
  </w:num>
  <w:num w:numId="13" w16cid:durableId="1391729227">
    <w:abstractNumId w:val="17"/>
  </w:num>
  <w:num w:numId="14" w16cid:durableId="821967182">
    <w:abstractNumId w:val="7"/>
  </w:num>
  <w:num w:numId="15" w16cid:durableId="2103606734">
    <w:abstractNumId w:val="27"/>
  </w:num>
  <w:num w:numId="16" w16cid:durableId="1204826406">
    <w:abstractNumId w:val="11"/>
  </w:num>
  <w:num w:numId="17" w16cid:durableId="112137374">
    <w:abstractNumId w:val="31"/>
  </w:num>
  <w:num w:numId="18" w16cid:durableId="655065018">
    <w:abstractNumId w:val="21"/>
  </w:num>
  <w:num w:numId="19" w16cid:durableId="48578693">
    <w:abstractNumId w:val="34"/>
  </w:num>
  <w:num w:numId="20" w16cid:durableId="2086954095">
    <w:abstractNumId w:val="14"/>
  </w:num>
  <w:num w:numId="21" w16cid:durableId="435909537">
    <w:abstractNumId w:val="10"/>
  </w:num>
  <w:num w:numId="22" w16cid:durableId="708183383">
    <w:abstractNumId w:val="8"/>
  </w:num>
  <w:num w:numId="23" w16cid:durableId="1385790159">
    <w:abstractNumId w:val="9"/>
  </w:num>
  <w:num w:numId="24" w16cid:durableId="349453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48974343">
    <w:abstractNumId w:val="12"/>
  </w:num>
  <w:num w:numId="26" w16cid:durableId="523057399">
    <w:abstractNumId w:val="28"/>
  </w:num>
  <w:num w:numId="27" w16cid:durableId="1506021158">
    <w:abstractNumId w:val="15"/>
  </w:num>
  <w:num w:numId="28" w16cid:durableId="1716199080">
    <w:abstractNumId w:val="18"/>
  </w:num>
  <w:num w:numId="29" w16cid:durableId="32266212">
    <w:abstractNumId w:val="24"/>
  </w:num>
  <w:num w:numId="30" w16cid:durableId="612133724">
    <w:abstractNumId w:val="0"/>
  </w:num>
  <w:num w:numId="31" w16cid:durableId="1475829834">
    <w:abstractNumId w:val="3"/>
  </w:num>
  <w:num w:numId="32" w16cid:durableId="812336918">
    <w:abstractNumId w:val="25"/>
  </w:num>
  <w:num w:numId="33" w16cid:durableId="1638073107">
    <w:abstractNumId w:val="20"/>
  </w:num>
  <w:num w:numId="34" w16cid:durableId="1877113097">
    <w:abstractNumId w:val="4"/>
  </w:num>
  <w:num w:numId="35" w16cid:durableId="1168638036">
    <w:abstractNumId w:val="26"/>
  </w:num>
  <w:num w:numId="36" w16cid:durableId="1833835763">
    <w:abstractNumId w:val="33"/>
  </w:num>
  <w:num w:numId="37" w16cid:durableId="8217018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92"/>
    <w:rsid w:val="00032DF0"/>
    <w:rsid w:val="00040477"/>
    <w:rsid w:val="0004552C"/>
    <w:rsid w:val="000C28F7"/>
    <w:rsid w:val="000C5694"/>
    <w:rsid w:val="000C60D9"/>
    <w:rsid w:val="000F0239"/>
    <w:rsid w:val="000F45A7"/>
    <w:rsid w:val="00103615"/>
    <w:rsid w:val="00110784"/>
    <w:rsid w:val="00127FA0"/>
    <w:rsid w:val="00136E16"/>
    <w:rsid w:val="001377A1"/>
    <w:rsid w:val="00144805"/>
    <w:rsid w:val="0019023B"/>
    <w:rsid w:val="001B3F1A"/>
    <w:rsid w:val="001C7DBF"/>
    <w:rsid w:val="001D6B9A"/>
    <w:rsid w:val="001F169F"/>
    <w:rsid w:val="001F69A8"/>
    <w:rsid w:val="00206196"/>
    <w:rsid w:val="00212A9E"/>
    <w:rsid w:val="00215752"/>
    <w:rsid w:val="0022634E"/>
    <w:rsid w:val="0023636E"/>
    <w:rsid w:val="00246A69"/>
    <w:rsid w:val="00251B63"/>
    <w:rsid w:val="00251D8F"/>
    <w:rsid w:val="00260A9C"/>
    <w:rsid w:val="00264CE4"/>
    <w:rsid w:val="002776BD"/>
    <w:rsid w:val="00281339"/>
    <w:rsid w:val="0029366C"/>
    <w:rsid w:val="00294747"/>
    <w:rsid w:val="002B4B84"/>
    <w:rsid w:val="002C350A"/>
    <w:rsid w:val="002E0B4E"/>
    <w:rsid w:val="002E7121"/>
    <w:rsid w:val="00310E04"/>
    <w:rsid w:val="00313F2B"/>
    <w:rsid w:val="00317749"/>
    <w:rsid w:val="00324429"/>
    <w:rsid w:val="003305DB"/>
    <w:rsid w:val="00333B09"/>
    <w:rsid w:val="00355E2D"/>
    <w:rsid w:val="003574E1"/>
    <w:rsid w:val="00364A43"/>
    <w:rsid w:val="00375571"/>
    <w:rsid w:val="00383FAA"/>
    <w:rsid w:val="003922CD"/>
    <w:rsid w:val="00396878"/>
    <w:rsid w:val="003A0682"/>
    <w:rsid w:val="003A7FAD"/>
    <w:rsid w:val="003B6788"/>
    <w:rsid w:val="003C2A64"/>
    <w:rsid w:val="003C5AC9"/>
    <w:rsid w:val="003D098B"/>
    <w:rsid w:val="003E525F"/>
    <w:rsid w:val="003F3063"/>
    <w:rsid w:val="004066CC"/>
    <w:rsid w:val="00436921"/>
    <w:rsid w:val="00441D64"/>
    <w:rsid w:val="00450DB2"/>
    <w:rsid w:val="004602DB"/>
    <w:rsid w:val="00472273"/>
    <w:rsid w:val="00497B56"/>
    <w:rsid w:val="004A225E"/>
    <w:rsid w:val="004E1A17"/>
    <w:rsid w:val="004E1A56"/>
    <w:rsid w:val="004F5F1E"/>
    <w:rsid w:val="00502373"/>
    <w:rsid w:val="00502E30"/>
    <w:rsid w:val="005225ED"/>
    <w:rsid w:val="0055684E"/>
    <w:rsid w:val="00563394"/>
    <w:rsid w:val="00566A42"/>
    <w:rsid w:val="00570DDB"/>
    <w:rsid w:val="00582904"/>
    <w:rsid w:val="005E589C"/>
    <w:rsid w:val="005F66E6"/>
    <w:rsid w:val="0060387B"/>
    <w:rsid w:val="00611643"/>
    <w:rsid w:val="00612797"/>
    <w:rsid w:val="006163EE"/>
    <w:rsid w:val="00617225"/>
    <w:rsid w:val="00620F70"/>
    <w:rsid w:val="0062449D"/>
    <w:rsid w:val="00636142"/>
    <w:rsid w:val="006374FD"/>
    <w:rsid w:val="00645E03"/>
    <w:rsid w:val="006513B1"/>
    <w:rsid w:val="00652015"/>
    <w:rsid w:val="00674C2E"/>
    <w:rsid w:val="00676E9A"/>
    <w:rsid w:val="00690E80"/>
    <w:rsid w:val="0069485E"/>
    <w:rsid w:val="0069588A"/>
    <w:rsid w:val="006C0263"/>
    <w:rsid w:val="006C10DE"/>
    <w:rsid w:val="006C4874"/>
    <w:rsid w:val="006D1929"/>
    <w:rsid w:val="006E1AC3"/>
    <w:rsid w:val="006F26F5"/>
    <w:rsid w:val="00705B8A"/>
    <w:rsid w:val="00710D2F"/>
    <w:rsid w:val="0071623B"/>
    <w:rsid w:val="00716379"/>
    <w:rsid w:val="00723229"/>
    <w:rsid w:val="007503DB"/>
    <w:rsid w:val="00761A1C"/>
    <w:rsid w:val="007628F5"/>
    <w:rsid w:val="00765E9D"/>
    <w:rsid w:val="007670E8"/>
    <w:rsid w:val="00777A78"/>
    <w:rsid w:val="00777DD1"/>
    <w:rsid w:val="0078560B"/>
    <w:rsid w:val="007871F8"/>
    <w:rsid w:val="007B51DF"/>
    <w:rsid w:val="007C5584"/>
    <w:rsid w:val="007C6F5A"/>
    <w:rsid w:val="007D2F23"/>
    <w:rsid w:val="0081523B"/>
    <w:rsid w:val="00821D61"/>
    <w:rsid w:val="00824778"/>
    <w:rsid w:val="00824F9F"/>
    <w:rsid w:val="008322B3"/>
    <w:rsid w:val="00845AA9"/>
    <w:rsid w:val="00845C8F"/>
    <w:rsid w:val="008509B1"/>
    <w:rsid w:val="00865E58"/>
    <w:rsid w:val="00881C58"/>
    <w:rsid w:val="008A3CB6"/>
    <w:rsid w:val="008C55DE"/>
    <w:rsid w:val="008D1421"/>
    <w:rsid w:val="008D53CF"/>
    <w:rsid w:val="008E12E8"/>
    <w:rsid w:val="008F009C"/>
    <w:rsid w:val="00904B60"/>
    <w:rsid w:val="009354FE"/>
    <w:rsid w:val="009408D4"/>
    <w:rsid w:val="009428D0"/>
    <w:rsid w:val="00954AE5"/>
    <w:rsid w:val="00954DB4"/>
    <w:rsid w:val="009936CD"/>
    <w:rsid w:val="00995660"/>
    <w:rsid w:val="0099582D"/>
    <w:rsid w:val="009B075B"/>
    <w:rsid w:val="009B4206"/>
    <w:rsid w:val="009C15A0"/>
    <w:rsid w:val="009C5FED"/>
    <w:rsid w:val="009C6F63"/>
    <w:rsid w:val="009D37FE"/>
    <w:rsid w:val="009E258B"/>
    <w:rsid w:val="009F2497"/>
    <w:rsid w:val="00A17D99"/>
    <w:rsid w:val="00A26984"/>
    <w:rsid w:val="00A40CD2"/>
    <w:rsid w:val="00A52B3B"/>
    <w:rsid w:val="00A55A4C"/>
    <w:rsid w:val="00A63CE5"/>
    <w:rsid w:val="00A81F48"/>
    <w:rsid w:val="00A81F6C"/>
    <w:rsid w:val="00A90AF2"/>
    <w:rsid w:val="00AA1507"/>
    <w:rsid w:val="00AA1B42"/>
    <w:rsid w:val="00AB3BFF"/>
    <w:rsid w:val="00AE13EA"/>
    <w:rsid w:val="00AF6C5E"/>
    <w:rsid w:val="00B203F3"/>
    <w:rsid w:val="00B25B97"/>
    <w:rsid w:val="00B36A44"/>
    <w:rsid w:val="00B54F44"/>
    <w:rsid w:val="00B87F46"/>
    <w:rsid w:val="00B91420"/>
    <w:rsid w:val="00B96D34"/>
    <w:rsid w:val="00BA76BB"/>
    <w:rsid w:val="00BB64D3"/>
    <w:rsid w:val="00BC6288"/>
    <w:rsid w:val="00BD4F78"/>
    <w:rsid w:val="00C019C5"/>
    <w:rsid w:val="00C1037E"/>
    <w:rsid w:val="00C15762"/>
    <w:rsid w:val="00C207D8"/>
    <w:rsid w:val="00C47CA2"/>
    <w:rsid w:val="00C505BD"/>
    <w:rsid w:val="00C50B92"/>
    <w:rsid w:val="00C55355"/>
    <w:rsid w:val="00C8010C"/>
    <w:rsid w:val="00CA5197"/>
    <w:rsid w:val="00CC676B"/>
    <w:rsid w:val="00CD294C"/>
    <w:rsid w:val="00CD350E"/>
    <w:rsid w:val="00CE570C"/>
    <w:rsid w:val="00CE78CB"/>
    <w:rsid w:val="00CF1348"/>
    <w:rsid w:val="00D318C8"/>
    <w:rsid w:val="00D35C22"/>
    <w:rsid w:val="00D45855"/>
    <w:rsid w:val="00D6042E"/>
    <w:rsid w:val="00D87EB8"/>
    <w:rsid w:val="00D91A96"/>
    <w:rsid w:val="00E316D8"/>
    <w:rsid w:val="00E32AF7"/>
    <w:rsid w:val="00E3486D"/>
    <w:rsid w:val="00E34976"/>
    <w:rsid w:val="00E451F7"/>
    <w:rsid w:val="00E54FA7"/>
    <w:rsid w:val="00E55703"/>
    <w:rsid w:val="00E602FA"/>
    <w:rsid w:val="00E62362"/>
    <w:rsid w:val="00E66FBA"/>
    <w:rsid w:val="00E701E8"/>
    <w:rsid w:val="00E76C10"/>
    <w:rsid w:val="00E8051C"/>
    <w:rsid w:val="00E83F8A"/>
    <w:rsid w:val="00EA2B63"/>
    <w:rsid w:val="00EA4B91"/>
    <w:rsid w:val="00EA71F2"/>
    <w:rsid w:val="00EB0B76"/>
    <w:rsid w:val="00ED0CB0"/>
    <w:rsid w:val="00ED2804"/>
    <w:rsid w:val="00EE07B5"/>
    <w:rsid w:val="00F15FC5"/>
    <w:rsid w:val="00F31506"/>
    <w:rsid w:val="00F547B1"/>
    <w:rsid w:val="00F647B1"/>
    <w:rsid w:val="00F67469"/>
    <w:rsid w:val="00FA07F7"/>
    <w:rsid w:val="00FA19B6"/>
    <w:rsid w:val="00FA1B25"/>
    <w:rsid w:val="00FB699B"/>
    <w:rsid w:val="00FC04FA"/>
    <w:rsid w:val="00FD6065"/>
    <w:rsid w:val="00FE7080"/>
    <w:rsid w:val="00FF08D3"/>
    <w:rsid w:val="00FF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35FF"/>
  <w15:chartTrackingRefBased/>
  <w15:docId w15:val="{D8729A3D-5EFD-9C47-8B23-EA1F338A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B42"/>
    <w:rPr>
      <w:rFonts w:ascii="Times New Roman" w:hAnsi="Times New Roman" w:cs="Times New Roman"/>
      <w:kern w:val="0"/>
      <w14:ligatures w14:val="none"/>
    </w:rPr>
  </w:style>
  <w:style w:type="paragraph" w:styleId="Heading1">
    <w:name w:val="heading 1"/>
    <w:basedOn w:val="Normal"/>
    <w:next w:val="Normal"/>
    <w:link w:val="Heading1Char"/>
    <w:autoRedefine/>
    <w:uiPriority w:val="9"/>
    <w:qFormat/>
    <w:rsid w:val="00ED0CB0"/>
    <w:pPr>
      <w:keepNext/>
      <w:keepLines/>
      <w:numPr>
        <w:numId w:val="37"/>
      </w:numPr>
      <w:spacing w:before="240"/>
      <w:jc w:val="both"/>
      <w:outlineLvl w:val="0"/>
    </w:pPr>
    <w:rPr>
      <w:rFonts w:eastAsiaTheme="majorEastAsia"/>
      <w:b/>
      <w:bCs/>
      <w:color w:val="000000" w:themeColor="text1"/>
      <w:sz w:val="22"/>
      <w:szCs w:val="22"/>
    </w:rPr>
  </w:style>
  <w:style w:type="paragraph" w:styleId="Heading2">
    <w:name w:val="heading 2"/>
    <w:basedOn w:val="Normal"/>
    <w:next w:val="Normal"/>
    <w:link w:val="Heading2Char"/>
    <w:autoRedefine/>
    <w:uiPriority w:val="9"/>
    <w:unhideWhenUsed/>
    <w:qFormat/>
    <w:rsid w:val="00D318C8"/>
    <w:pPr>
      <w:keepNext/>
      <w:keepLines/>
      <w:spacing w:before="40"/>
      <w:jc w:val="both"/>
      <w:outlineLvl w:val="1"/>
    </w:pPr>
    <w:rPr>
      <w:rFonts w:eastAsiaTheme="majorEastAsia"/>
      <w:b/>
      <w:color w:val="000000" w:themeColor="text1"/>
      <w:sz w:val="22"/>
      <w:szCs w:val="20"/>
    </w:rPr>
  </w:style>
  <w:style w:type="paragraph" w:styleId="Heading3">
    <w:name w:val="heading 3"/>
    <w:basedOn w:val="Normal"/>
    <w:next w:val="Normal"/>
    <w:link w:val="Heading3Char"/>
    <w:autoRedefine/>
    <w:uiPriority w:val="9"/>
    <w:unhideWhenUsed/>
    <w:qFormat/>
    <w:rsid w:val="007503DB"/>
    <w:pPr>
      <w:keepNext/>
      <w:keepLines/>
      <w:spacing w:before="160" w:after="80"/>
      <w:outlineLvl w:val="2"/>
    </w:pPr>
    <w:rPr>
      <w:rFonts w:eastAsiaTheme="majorEastAsia" w:cstheme="majorBidi"/>
      <w:b/>
      <w:color w:val="FF0000"/>
      <w:sz w:val="20"/>
      <w:szCs w:val="28"/>
    </w:rPr>
  </w:style>
  <w:style w:type="paragraph" w:styleId="Heading4">
    <w:name w:val="heading 4"/>
    <w:basedOn w:val="Normal"/>
    <w:next w:val="Normal"/>
    <w:link w:val="Heading4Char"/>
    <w:uiPriority w:val="9"/>
    <w:semiHidden/>
    <w:unhideWhenUsed/>
    <w:qFormat/>
    <w:rsid w:val="00C50B92"/>
    <w:pPr>
      <w:keepNext/>
      <w:keepLines/>
      <w:spacing w:before="80" w:after="40"/>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C50B92"/>
    <w:pPr>
      <w:keepNext/>
      <w:keepLines/>
      <w:spacing w:before="80" w:after="40"/>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C50B92"/>
    <w:pPr>
      <w:keepNext/>
      <w:keepLines/>
      <w:spacing w:before="40"/>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C50B92"/>
    <w:pPr>
      <w:keepNext/>
      <w:keepLines/>
      <w:spacing w:before="40"/>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C50B92"/>
    <w:pPr>
      <w:keepNext/>
      <w:keepLines/>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C50B92"/>
    <w:pPr>
      <w:keepNext/>
      <w:keepLines/>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B0"/>
    <w:rPr>
      <w:rFonts w:ascii="Times New Roman" w:eastAsiaTheme="majorEastAsia" w:hAnsi="Times New Roman" w:cs="Times New Roman"/>
      <w:b/>
      <w:bCs/>
      <w:color w:val="000000" w:themeColor="text1"/>
      <w:kern w:val="0"/>
      <w:sz w:val="22"/>
      <w:szCs w:val="22"/>
      <w14:ligatures w14:val="none"/>
    </w:rPr>
  </w:style>
  <w:style w:type="character" w:customStyle="1" w:styleId="Heading2Char">
    <w:name w:val="Heading 2 Char"/>
    <w:basedOn w:val="DefaultParagraphFont"/>
    <w:link w:val="Heading2"/>
    <w:uiPriority w:val="9"/>
    <w:rsid w:val="00D318C8"/>
    <w:rPr>
      <w:rFonts w:ascii="Times New Roman" w:eastAsiaTheme="majorEastAsia" w:hAnsi="Times New Roman" w:cs="Times New Roman"/>
      <w:b/>
      <w:color w:val="000000" w:themeColor="text1"/>
      <w:kern w:val="0"/>
      <w:sz w:val="22"/>
      <w:szCs w:val="20"/>
      <w14:ligatures w14:val="none"/>
    </w:rPr>
  </w:style>
  <w:style w:type="character" w:customStyle="1" w:styleId="Heading3Char">
    <w:name w:val="Heading 3 Char"/>
    <w:basedOn w:val="DefaultParagraphFont"/>
    <w:link w:val="Heading3"/>
    <w:uiPriority w:val="9"/>
    <w:rsid w:val="007503DB"/>
    <w:rPr>
      <w:rFonts w:ascii="Times New Roman" w:eastAsiaTheme="majorEastAsia" w:hAnsi="Times New Roman" w:cstheme="majorBidi"/>
      <w:b/>
      <w:color w:val="FF0000"/>
      <w:kern w:val="0"/>
      <w:sz w:val="20"/>
      <w:szCs w:val="28"/>
      <w14:ligatures w14:val="none"/>
    </w:rPr>
  </w:style>
  <w:style w:type="character" w:customStyle="1" w:styleId="Heading4Char">
    <w:name w:val="Heading 4 Char"/>
    <w:basedOn w:val="DefaultParagraphFont"/>
    <w:link w:val="Heading4"/>
    <w:uiPriority w:val="9"/>
    <w:semiHidden/>
    <w:rsid w:val="00C50B92"/>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C50B92"/>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C50B92"/>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C50B92"/>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C50B92"/>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C50B92"/>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C50B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9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50B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9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50B92"/>
    <w:pPr>
      <w:spacing w:before="160" w:after="160"/>
      <w:jc w:val="center"/>
    </w:pPr>
    <w:rPr>
      <w:i/>
      <w:iCs/>
      <w:color w:val="404040" w:themeColor="text1" w:themeTint="BF"/>
      <w:sz w:val="22"/>
    </w:rPr>
  </w:style>
  <w:style w:type="character" w:customStyle="1" w:styleId="QuoteChar">
    <w:name w:val="Quote Char"/>
    <w:basedOn w:val="DefaultParagraphFont"/>
    <w:link w:val="Quote"/>
    <w:uiPriority w:val="29"/>
    <w:rsid w:val="00C50B92"/>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C50B92"/>
    <w:pPr>
      <w:ind w:left="720"/>
      <w:contextualSpacing/>
    </w:pPr>
    <w:rPr>
      <w:sz w:val="22"/>
    </w:rPr>
  </w:style>
  <w:style w:type="character" w:styleId="IntenseEmphasis">
    <w:name w:val="Intense Emphasis"/>
    <w:basedOn w:val="DefaultParagraphFont"/>
    <w:uiPriority w:val="21"/>
    <w:qFormat/>
    <w:rsid w:val="00C50B92"/>
    <w:rPr>
      <w:i/>
      <w:iCs/>
      <w:color w:val="0F4761" w:themeColor="accent1" w:themeShade="BF"/>
    </w:rPr>
  </w:style>
  <w:style w:type="paragraph" w:styleId="IntenseQuote">
    <w:name w:val="Intense Quote"/>
    <w:basedOn w:val="Normal"/>
    <w:next w:val="Normal"/>
    <w:link w:val="IntenseQuoteChar"/>
    <w:uiPriority w:val="30"/>
    <w:qFormat/>
    <w:rsid w:val="00C50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2"/>
    </w:rPr>
  </w:style>
  <w:style w:type="character" w:customStyle="1" w:styleId="IntenseQuoteChar">
    <w:name w:val="Intense Quote Char"/>
    <w:basedOn w:val="DefaultParagraphFont"/>
    <w:link w:val="IntenseQuote"/>
    <w:uiPriority w:val="30"/>
    <w:rsid w:val="00C50B92"/>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C50B92"/>
    <w:rPr>
      <w:b/>
      <w:bCs/>
      <w:smallCaps/>
      <w:color w:val="0F4761" w:themeColor="accent1" w:themeShade="BF"/>
      <w:spacing w:val="5"/>
    </w:rPr>
  </w:style>
  <w:style w:type="paragraph" w:customStyle="1" w:styleId="p1">
    <w:name w:val="p1"/>
    <w:basedOn w:val="Normal"/>
    <w:rsid w:val="00C50B92"/>
    <w:pPr>
      <w:spacing w:before="100" w:beforeAutospacing="1" w:after="100" w:afterAutospacing="1"/>
    </w:pPr>
    <w:rPr>
      <w:sz w:val="22"/>
    </w:rPr>
  </w:style>
  <w:style w:type="character" w:customStyle="1" w:styleId="s1">
    <w:name w:val="s1"/>
    <w:basedOn w:val="DefaultParagraphFont"/>
    <w:rsid w:val="00C50B92"/>
  </w:style>
  <w:style w:type="character" w:customStyle="1" w:styleId="s2">
    <w:name w:val="s2"/>
    <w:basedOn w:val="DefaultParagraphFont"/>
    <w:rsid w:val="00C50B92"/>
  </w:style>
  <w:style w:type="paragraph" w:customStyle="1" w:styleId="p3">
    <w:name w:val="p3"/>
    <w:basedOn w:val="Normal"/>
    <w:rsid w:val="00C50B92"/>
    <w:pPr>
      <w:spacing w:before="100" w:beforeAutospacing="1" w:after="100" w:afterAutospacing="1"/>
    </w:pPr>
    <w:rPr>
      <w:sz w:val="22"/>
    </w:rPr>
  </w:style>
  <w:style w:type="paragraph" w:customStyle="1" w:styleId="p4">
    <w:name w:val="p4"/>
    <w:basedOn w:val="Normal"/>
    <w:rsid w:val="00C50B92"/>
    <w:pPr>
      <w:spacing w:before="100" w:beforeAutospacing="1" w:after="100" w:afterAutospacing="1"/>
    </w:pPr>
    <w:rPr>
      <w:sz w:val="22"/>
    </w:rPr>
  </w:style>
  <w:style w:type="paragraph" w:customStyle="1" w:styleId="p2">
    <w:name w:val="p2"/>
    <w:basedOn w:val="Normal"/>
    <w:rsid w:val="00C50B92"/>
    <w:pPr>
      <w:spacing w:before="100" w:beforeAutospacing="1" w:after="100" w:afterAutospacing="1"/>
    </w:pPr>
    <w:rPr>
      <w:sz w:val="22"/>
    </w:rPr>
  </w:style>
  <w:style w:type="numbering" w:customStyle="1" w:styleId="CurrentList1">
    <w:name w:val="Current List1"/>
    <w:uiPriority w:val="99"/>
    <w:rsid w:val="00C50B92"/>
    <w:pPr>
      <w:numPr>
        <w:numId w:val="19"/>
      </w:numPr>
    </w:pPr>
  </w:style>
  <w:style w:type="character" w:customStyle="1" w:styleId="s3">
    <w:name w:val="s3"/>
    <w:basedOn w:val="DefaultParagraphFont"/>
    <w:rsid w:val="00D318C8"/>
  </w:style>
  <w:style w:type="numbering" w:customStyle="1" w:styleId="CurrentList2">
    <w:name w:val="Current List2"/>
    <w:uiPriority w:val="99"/>
    <w:rsid w:val="00D318C8"/>
    <w:pPr>
      <w:numPr>
        <w:numId w:val="25"/>
      </w:numPr>
    </w:pPr>
  </w:style>
  <w:style w:type="character" w:customStyle="1" w:styleId="apple-tab-span">
    <w:name w:val="apple-tab-span"/>
    <w:basedOn w:val="DefaultParagraphFont"/>
    <w:rsid w:val="008322B3"/>
  </w:style>
  <w:style w:type="table" w:styleId="GridTable6Colorful">
    <w:name w:val="Grid Table 6 Colorful"/>
    <w:basedOn w:val="TableNormal"/>
    <w:uiPriority w:val="51"/>
    <w:rsid w:val="007503D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7503DB"/>
  </w:style>
  <w:style w:type="paragraph" w:styleId="Footer">
    <w:name w:val="footer"/>
    <w:basedOn w:val="Normal"/>
    <w:link w:val="FooterChar"/>
    <w:uiPriority w:val="99"/>
    <w:unhideWhenUsed/>
    <w:rsid w:val="00A90AF2"/>
    <w:pPr>
      <w:tabs>
        <w:tab w:val="center" w:pos="4680"/>
        <w:tab w:val="right" w:pos="9360"/>
      </w:tabs>
    </w:pPr>
    <w:rPr>
      <w:sz w:val="22"/>
    </w:rPr>
  </w:style>
  <w:style w:type="character" w:customStyle="1" w:styleId="FooterChar">
    <w:name w:val="Footer Char"/>
    <w:basedOn w:val="DefaultParagraphFont"/>
    <w:link w:val="Footer"/>
    <w:uiPriority w:val="99"/>
    <w:rsid w:val="00A90AF2"/>
    <w:rPr>
      <w:rFonts w:ascii="Times New Roman" w:hAnsi="Times New Roman" w:cs="Times New Roman"/>
      <w:kern w:val="0"/>
      <w:sz w:val="22"/>
      <w14:ligatures w14:val="none"/>
    </w:rPr>
  </w:style>
  <w:style w:type="character" w:styleId="PageNumber">
    <w:name w:val="page number"/>
    <w:basedOn w:val="DefaultParagraphFont"/>
    <w:uiPriority w:val="99"/>
    <w:semiHidden/>
    <w:unhideWhenUsed/>
    <w:rsid w:val="00A90AF2"/>
  </w:style>
  <w:style w:type="paragraph" w:styleId="Bibliography">
    <w:name w:val="Bibliography"/>
    <w:basedOn w:val="Normal"/>
    <w:next w:val="Normal"/>
    <w:uiPriority w:val="37"/>
    <w:unhideWhenUsed/>
    <w:rsid w:val="00FC04FA"/>
    <w:pPr>
      <w:tabs>
        <w:tab w:val="left" w:pos="260"/>
      </w:tabs>
      <w:spacing w:after="240"/>
      <w:ind w:left="264" w:hanging="264"/>
    </w:pPr>
  </w:style>
  <w:style w:type="paragraph" w:styleId="Caption">
    <w:name w:val="caption"/>
    <w:basedOn w:val="Normal"/>
    <w:next w:val="Normal"/>
    <w:uiPriority w:val="35"/>
    <w:unhideWhenUsed/>
    <w:qFormat/>
    <w:rsid w:val="00A63CE5"/>
    <w:pPr>
      <w:spacing w:after="200"/>
    </w:pPr>
    <w:rPr>
      <w:i/>
      <w:iCs/>
      <w:color w:val="0E2841" w:themeColor="text2"/>
      <w:sz w:val="18"/>
      <w:szCs w:val="18"/>
    </w:rPr>
  </w:style>
  <w:style w:type="table" w:styleId="TableGrid">
    <w:name w:val="Table Grid"/>
    <w:basedOn w:val="TableNormal"/>
    <w:uiPriority w:val="39"/>
    <w:rsid w:val="00441D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F69A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F69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94">
      <w:bodyDiv w:val="1"/>
      <w:marLeft w:val="0"/>
      <w:marRight w:val="0"/>
      <w:marTop w:val="0"/>
      <w:marBottom w:val="0"/>
      <w:divBdr>
        <w:top w:val="none" w:sz="0" w:space="0" w:color="auto"/>
        <w:left w:val="none" w:sz="0" w:space="0" w:color="auto"/>
        <w:bottom w:val="none" w:sz="0" w:space="0" w:color="auto"/>
        <w:right w:val="none" w:sz="0" w:space="0" w:color="auto"/>
      </w:divBdr>
    </w:div>
    <w:div w:id="86733769">
      <w:bodyDiv w:val="1"/>
      <w:marLeft w:val="0"/>
      <w:marRight w:val="0"/>
      <w:marTop w:val="0"/>
      <w:marBottom w:val="0"/>
      <w:divBdr>
        <w:top w:val="none" w:sz="0" w:space="0" w:color="auto"/>
        <w:left w:val="none" w:sz="0" w:space="0" w:color="auto"/>
        <w:bottom w:val="none" w:sz="0" w:space="0" w:color="auto"/>
        <w:right w:val="none" w:sz="0" w:space="0" w:color="auto"/>
      </w:divBdr>
    </w:div>
    <w:div w:id="93213464">
      <w:bodyDiv w:val="1"/>
      <w:marLeft w:val="0"/>
      <w:marRight w:val="0"/>
      <w:marTop w:val="0"/>
      <w:marBottom w:val="0"/>
      <w:divBdr>
        <w:top w:val="none" w:sz="0" w:space="0" w:color="auto"/>
        <w:left w:val="none" w:sz="0" w:space="0" w:color="auto"/>
        <w:bottom w:val="none" w:sz="0" w:space="0" w:color="auto"/>
        <w:right w:val="none" w:sz="0" w:space="0" w:color="auto"/>
      </w:divBdr>
    </w:div>
    <w:div w:id="94445877">
      <w:bodyDiv w:val="1"/>
      <w:marLeft w:val="0"/>
      <w:marRight w:val="0"/>
      <w:marTop w:val="0"/>
      <w:marBottom w:val="0"/>
      <w:divBdr>
        <w:top w:val="none" w:sz="0" w:space="0" w:color="auto"/>
        <w:left w:val="none" w:sz="0" w:space="0" w:color="auto"/>
        <w:bottom w:val="none" w:sz="0" w:space="0" w:color="auto"/>
        <w:right w:val="none" w:sz="0" w:space="0" w:color="auto"/>
      </w:divBdr>
    </w:div>
    <w:div w:id="159080724">
      <w:bodyDiv w:val="1"/>
      <w:marLeft w:val="0"/>
      <w:marRight w:val="0"/>
      <w:marTop w:val="0"/>
      <w:marBottom w:val="0"/>
      <w:divBdr>
        <w:top w:val="none" w:sz="0" w:space="0" w:color="auto"/>
        <w:left w:val="none" w:sz="0" w:space="0" w:color="auto"/>
        <w:bottom w:val="none" w:sz="0" w:space="0" w:color="auto"/>
        <w:right w:val="none" w:sz="0" w:space="0" w:color="auto"/>
      </w:divBdr>
      <w:divsChild>
        <w:div w:id="11855118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659716">
      <w:bodyDiv w:val="1"/>
      <w:marLeft w:val="0"/>
      <w:marRight w:val="0"/>
      <w:marTop w:val="0"/>
      <w:marBottom w:val="0"/>
      <w:divBdr>
        <w:top w:val="none" w:sz="0" w:space="0" w:color="auto"/>
        <w:left w:val="none" w:sz="0" w:space="0" w:color="auto"/>
        <w:bottom w:val="none" w:sz="0" w:space="0" w:color="auto"/>
        <w:right w:val="none" w:sz="0" w:space="0" w:color="auto"/>
      </w:divBdr>
    </w:div>
    <w:div w:id="209534935">
      <w:bodyDiv w:val="1"/>
      <w:marLeft w:val="0"/>
      <w:marRight w:val="0"/>
      <w:marTop w:val="0"/>
      <w:marBottom w:val="0"/>
      <w:divBdr>
        <w:top w:val="none" w:sz="0" w:space="0" w:color="auto"/>
        <w:left w:val="none" w:sz="0" w:space="0" w:color="auto"/>
        <w:bottom w:val="none" w:sz="0" w:space="0" w:color="auto"/>
        <w:right w:val="none" w:sz="0" w:space="0" w:color="auto"/>
      </w:divBdr>
    </w:div>
    <w:div w:id="231896611">
      <w:bodyDiv w:val="1"/>
      <w:marLeft w:val="0"/>
      <w:marRight w:val="0"/>
      <w:marTop w:val="0"/>
      <w:marBottom w:val="0"/>
      <w:divBdr>
        <w:top w:val="none" w:sz="0" w:space="0" w:color="auto"/>
        <w:left w:val="none" w:sz="0" w:space="0" w:color="auto"/>
        <w:bottom w:val="none" w:sz="0" w:space="0" w:color="auto"/>
        <w:right w:val="none" w:sz="0" w:space="0" w:color="auto"/>
      </w:divBdr>
    </w:div>
    <w:div w:id="275407730">
      <w:bodyDiv w:val="1"/>
      <w:marLeft w:val="0"/>
      <w:marRight w:val="0"/>
      <w:marTop w:val="0"/>
      <w:marBottom w:val="0"/>
      <w:divBdr>
        <w:top w:val="none" w:sz="0" w:space="0" w:color="auto"/>
        <w:left w:val="none" w:sz="0" w:space="0" w:color="auto"/>
        <w:bottom w:val="none" w:sz="0" w:space="0" w:color="auto"/>
        <w:right w:val="none" w:sz="0" w:space="0" w:color="auto"/>
      </w:divBdr>
    </w:div>
    <w:div w:id="280840340">
      <w:bodyDiv w:val="1"/>
      <w:marLeft w:val="0"/>
      <w:marRight w:val="0"/>
      <w:marTop w:val="0"/>
      <w:marBottom w:val="0"/>
      <w:divBdr>
        <w:top w:val="none" w:sz="0" w:space="0" w:color="auto"/>
        <w:left w:val="none" w:sz="0" w:space="0" w:color="auto"/>
        <w:bottom w:val="none" w:sz="0" w:space="0" w:color="auto"/>
        <w:right w:val="none" w:sz="0" w:space="0" w:color="auto"/>
      </w:divBdr>
    </w:div>
    <w:div w:id="290866671">
      <w:bodyDiv w:val="1"/>
      <w:marLeft w:val="0"/>
      <w:marRight w:val="0"/>
      <w:marTop w:val="0"/>
      <w:marBottom w:val="0"/>
      <w:divBdr>
        <w:top w:val="none" w:sz="0" w:space="0" w:color="auto"/>
        <w:left w:val="none" w:sz="0" w:space="0" w:color="auto"/>
        <w:bottom w:val="none" w:sz="0" w:space="0" w:color="auto"/>
        <w:right w:val="none" w:sz="0" w:space="0" w:color="auto"/>
      </w:divBdr>
    </w:div>
    <w:div w:id="301927671">
      <w:bodyDiv w:val="1"/>
      <w:marLeft w:val="0"/>
      <w:marRight w:val="0"/>
      <w:marTop w:val="0"/>
      <w:marBottom w:val="0"/>
      <w:divBdr>
        <w:top w:val="none" w:sz="0" w:space="0" w:color="auto"/>
        <w:left w:val="none" w:sz="0" w:space="0" w:color="auto"/>
        <w:bottom w:val="none" w:sz="0" w:space="0" w:color="auto"/>
        <w:right w:val="none" w:sz="0" w:space="0" w:color="auto"/>
      </w:divBdr>
    </w:div>
    <w:div w:id="307826013">
      <w:bodyDiv w:val="1"/>
      <w:marLeft w:val="0"/>
      <w:marRight w:val="0"/>
      <w:marTop w:val="0"/>
      <w:marBottom w:val="0"/>
      <w:divBdr>
        <w:top w:val="none" w:sz="0" w:space="0" w:color="auto"/>
        <w:left w:val="none" w:sz="0" w:space="0" w:color="auto"/>
        <w:bottom w:val="none" w:sz="0" w:space="0" w:color="auto"/>
        <w:right w:val="none" w:sz="0" w:space="0" w:color="auto"/>
      </w:divBdr>
    </w:div>
    <w:div w:id="370153456">
      <w:bodyDiv w:val="1"/>
      <w:marLeft w:val="0"/>
      <w:marRight w:val="0"/>
      <w:marTop w:val="0"/>
      <w:marBottom w:val="0"/>
      <w:divBdr>
        <w:top w:val="none" w:sz="0" w:space="0" w:color="auto"/>
        <w:left w:val="none" w:sz="0" w:space="0" w:color="auto"/>
        <w:bottom w:val="none" w:sz="0" w:space="0" w:color="auto"/>
        <w:right w:val="none" w:sz="0" w:space="0" w:color="auto"/>
      </w:divBdr>
    </w:div>
    <w:div w:id="407003490">
      <w:bodyDiv w:val="1"/>
      <w:marLeft w:val="0"/>
      <w:marRight w:val="0"/>
      <w:marTop w:val="0"/>
      <w:marBottom w:val="0"/>
      <w:divBdr>
        <w:top w:val="none" w:sz="0" w:space="0" w:color="auto"/>
        <w:left w:val="none" w:sz="0" w:space="0" w:color="auto"/>
        <w:bottom w:val="none" w:sz="0" w:space="0" w:color="auto"/>
        <w:right w:val="none" w:sz="0" w:space="0" w:color="auto"/>
      </w:divBdr>
    </w:div>
    <w:div w:id="476187667">
      <w:bodyDiv w:val="1"/>
      <w:marLeft w:val="0"/>
      <w:marRight w:val="0"/>
      <w:marTop w:val="0"/>
      <w:marBottom w:val="0"/>
      <w:divBdr>
        <w:top w:val="none" w:sz="0" w:space="0" w:color="auto"/>
        <w:left w:val="none" w:sz="0" w:space="0" w:color="auto"/>
        <w:bottom w:val="none" w:sz="0" w:space="0" w:color="auto"/>
        <w:right w:val="none" w:sz="0" w:space="0" w:color="auto"/>
      </w:divBdr>
    </w:div>
    <w:div w:id="477962738">
      <w:bodyDiv w:val="1"/>
      <w:marLeft w:val="0"/>
      <w:marRight w:val="0"/>
      <w:marTop w:val="0"/>
      <w:marBottom w:val="0"/>
      <w:divBdr>
        <w:top w:val="none" w:sz="0" w:space="0" w:color="auto"/>
        <w:left w:val="none" w:sz="0" w:space="0" w:color="auto"/>
        <w:bottom w:val="none" w:sz="0" w:space="0" w:color="auto"/>
        <w:right w:val="none" w:sz="0" w:space="0" w:color="auto"/>
      </w:divBdr>
    </w:div>
    <w:div w:id="489054928">
      <w:bodyDiv w:val="1"/>
      <w:marLeft w:val="0"/>
      <w:marRight w:val="0"/>
      <w:marTop w:val="0"/>
      <w:marBottom w:val="0"/>
      <w:divBdr>
        <w:top w:val="none" w:sz="0" w:space="0" w:color="auto"/>
        <w:left w:val="none" w:sz="0" w:space="0" w:color="auto"/>
        <w:bottom w:val="none" w:sz="0" w:space="0" w:color="auto"/>
        <w:right w:val="none" w:sz="0" w:space="0" w:color="auto"/>
      </w:divBdr>
    </w:div>
    <w:div w:id="557782590">
      <w:bodyDiv w:val="1"/>
      <w:marLeft w:val="0"/>
      <w:marRight w:val="0"/>
      <w:marTop w:val="0"/>
      <w:marBottom w:val="0"/>
      <w:divBdr>
        <w:top w:val="none" w:sz="0" w:space="0" w:color="auto"/>
        <w:left w:val="none" w:sz="0" w:space="0" w:color="auto"/>
        <w:bottom w:val="none" w:sz="0" w:space="0" w:color="auto"/>
        <w:right w:val="none" w:sz="0" w:space="0" w:color="auto"/>
      </w:divBdr>
    </w:div>
    <w:div w:id="595945782">
      <w:bodyDiv w:val="1"/>
      <w:marLeft w:val="0"/>
      <w:marRight w:val="0"/>
      <w:marTop w:val="0"/>
      <w:marBottom w:val="0"/>
      <w:divBdr>
        <w:top w:val="none" w:sz="0" w:space="0" w:color="auto"/>
        <w:left w:val="none" w:sz="0" w:space="0" w:color="auto"/>
        <w:bottom w:val="none" w:sz="0" w:space="0" w:color="auto"/>
        <w:right w:val="none" w:sz="0" w:space="0" w:color="auto"/>
      </w:divBdr>
    </w:div>
    <w:div w:id="600604671">
      <w:bodyDiv w:val="1"/>
      <w:marLeft w:val="0"/>
      <w:marRight w:val="0"/>
      <w:marTop w:val="0"/>
      <w:marBottom w:val="0"/>
      <w:divBdr>
        <w:top w:val="none" w:sz="0" w:space="0" w:color="auto"/>
        <w:left w:val="none" w:sz="0" w:space="0" w:color="auto"/>
        <w:bottom w:val="none" w:sz="0" w:space="0" w:color="auto"/>
        <w:right w:val="none" w:sz="0" w:space="0" w:color="auto"/>
      </w:divBdr>
    </w:div>
    <w:div w:id="646906057">
      <w:bodyDiv w:val="1"/>
      <w:marLeft w:val="0"/>
      <w:marRight w:val="0"/>
      <w:marTop w:val="0"/>
      <w:marBottom w:val="0"/>
      <w:divBdr>
        <w:top w:val="none" w:sz="0" w:space="0" w:color="auto"/>
        <w:left w:val="none" w:sz="0" w:space="0" w:color="auto"/>
        <w:bottom w:val="none" w:sz="0" w:space="0" w:color="auto"/>
        <w:right w:val="none" w:sz="0" w:space="0" w:color="auto"/>
      </w:divBdr>
    </w:div>
    <w:div w:id="695271473">
      <w:bodyDiv w:val="1"/>
      <w:marLeft w:val="0"/>
      <w:marRight w:val="0"/>
      <w:marTop w:val="0"/>
      <w:marBottom w:val="0"/>
      <w:divBdr>
        <w:top w:val="none" w:sz="0" w:space="0" w:color="auto"/>
        <w:left w:val="none" w:sz="0" w:space="0" w:color="auto"/>
        <w:bottom w:val="none" w:sz="0" w:space="0" w:color="auto"/>
        <w:right w:val="none" w:sz="0" w:space="0" w:color="auto"/>
      </w:divBdr>
    </w:div>
    <w:div w:id="752702937">
      <w:bodyDiv w:val="1"/>
      <w:marLeft w:val="0"/>
      <w:marRight w:val="0"/>
      <w:marTop w:val="0"/>
      <w:marBottom w:val="0"/>
      <w:divBdr>
        <w:top w:val="none" w:sz="0" w:space="0" w:color="auto"/>
        <w:left w:val="none" w:sz="0" w:space="0" w:color="auto"/>
        <w:bottom w:val="none" w:sz="0" w:space="0" w:color="auto"/>
        <w:right w:val="none" w:sz="0" w:space="0" w:color="auto"/>
      </w:divBdr>
    </w:div>
    <w:div w:id="838732595">
      <w:bodyDiv w:val="1"/>
      <w:marLeft w:val="0"/>
      <w:marRight w:val="0"/>
      <w:marTop w:val="0"/>
      <w:marBottom w:val="0"/>
      <w:divBdr>
        <w:top w:val="none" w:sz="0" w:space="0" w:color="auto"/>
        <w:left w:val="none" w:sz="0" w:space="0" w:color="auto"/>
        <w:bottom w:val="none" w:sz="0" w:space="0" w:color="auto"/>
        <w:right w:val="none" w:sz="0" w:space="0" w:color="auto"/>
      </w:divBdr>
    </w:div>
    <w:div w:id="842286242">
      <w:bodyDiv w:val="1"/>
      <w:marLeft w:val="0"/>
      <w:marRight w:val="0"/>
      <w:marTop w:val="0"/>
      <w:marBottom w:val="0"/>
      <w:divBdr>
        <w:top w:val="none" w:sz="0" w:space="0" w:color="auto"/>
        <w:left w:val="none" w:sz="0" w:space="0" w:color="auto"/>
        <w:bottom w:val="none" w:sz="0" w:space="0" w:color="auto"/>
        <w:right w:val="none" w:sz="0" w:space="0" w:color="auto"/>
      </w:divBdr>
    </w:div>
    <w:div w:id="870453476">
      <w:bodyDiv w:val="1"/>
      <w:marLeft w:val="0"/>
      <w:marRight w:val="0"/>
      <w:marTop w:val="0"/>
      <w:marBottom w:val="0"/>
      <w:divBdr>
        <w:top w:val="none" w:sz="0" w:space="0" w:color="auto"/>
        <w:left w:val="none" w:sz="0" w:space="0" w:color="auto"/>
        <w:bottom w:val="none" w:sz="0" w:space="0" w:color="auto"/>
        <w:right w:val="none" w:sz="0" w:space="0" w:color="auto"/>
      </w:divBdr>
    </w:div>
    <w:div w:id="884369765">
      <w:bodyDiv w:val="1"/>
      <w:marLeft w:val="0"/>
      <w:marRight w:val="0"/>
      <w:marTop w:val="0"/>
      <w:marBottom w:val="0"/>
      <w:divBdr>
        <w:top w:val="none" w:sz="0" w:space="0" w:color="auto"/>
        <w:left w:val="none" w:sz="0" w:space="0" w:color="auto"/>
        <w:bottom w:val="none" w:sz="0" w:space="0" w:color="auto"/>
        <w:right w:val="none" w:sz="0" w:space="0" w:color="auto"/>
      </w:divBdr>
    </w:div>
    <w:div w:id="918441334">
      <w:bodyDiv w:val="1"/>
      <w:marLeft w:val="0"/>
      <w:marRight w:val="0"/>
      <w:marTop w:val="0"/>
      <w:marBottom w:val="0"/>
      <w:divBdr>
        <w:top w:val="none" w:sz="0" w:space="0" w:color="auto"/>
        <w:left w:val="none" w:sz="0" w:space="0" w:color="auto"/>
        <w:bottom w:val="none" w:sz="0" w:space="0" w:color="auto"/>
        <w:right w:val="none" w:sz="0" w:space="0" w:color="auto"/>
      </w:divBdr>
      <w:divsChild>
        <w:div w:id="1709986559">
          <w:marLeft w:val="0"/>
          <w:marRight w:val="0"/>
          <w:marTop w:val="0"/>
          <w:marBottom w:val="150"/>
          <w:divBdr>
            <w:top w:val="none" w:sz="0" w:space="0" w:color="auto"/>
            <w:left w:val="none" w:sz="0" w:space="0" w:color="auto"/>
            <w:bottom w:val="none" w:sz="0" w:space="0" w:color="auto"/>
            <w:right w:val="none" w:sz="0" w:space="0" w:color="auto"/>
          </w:divBdr>
          <w:divsChild>
            <w:div w:id="134415806">
              <w:marLeft w:val="0"/>
              <w:marRight w:val="0"/>
              <w:marTop w:val="0"/>
              <w:marBottom w:val="0"/>
              <w:divBdr>
                <w:top w:val="none" w:sz="0" w:space="0" w:color="auto"/>
                <w:left w:val="none" w:sz="0" w:space="0" w:color="auto"/>
                <w:bottom w:val="none" w:sz="0" w:space="0" w:color="auto"/>
                <w:right w:val="none" w:sz="0" w:space="0" w:color="auto"/>
              </w:divBdr>
              <w:divsChild>
                <w:div w:id="1081218280">
                  <w:marLeft w:val="0"/>
                  <w:marRight w:val="0"/>
                  <w:marTop w:val="0"/>
                  <w:marBottom w:val="0"/>
                  <w:divBdr>
                    <w:top w:val="none" w:sz="0" w:space="0" w:color="auto"/>
                    <w:left w:val="none" w:sz="0" w:space="0" w:color="auto"/>
                    <w:bottom w:val="none" w:sz="0" w:space="0" w:color="auto"/>
                    <w:right w:val="none" w:sz="0" w:space="0" w:color="auto"/>
                  </w:divBdr>
                  <w:divsChild>
                    <w:div w:id="15847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610288">
          <w:marLeft w:val="0"/>
          <w:marRight w:val="0"/>
          <w:marTop w:val="0"/>
          <w:marBottom w:val="0"/>
          <w:divBdr>
            <w:top w:val="none" w:sz="0" w:space="0" w:color="auto"/>
            <w:left w:val="none" w:sz="0" w:space="0" w:color="auto"/>
            <w:bottom w:val="none" w:sz="0" w:space="0" w:color="auto"/>
            <w:right w:val="none" w:sz="0" w:space="0" w:color="auto"/>
          </w:divBdr>
          <w:divsChild>
            <w:div w:id="1498379393">
              <w:marLeft w:val="0"/>
              <w:marRight w:val="345"/>
              <w:marTop w:val="0"/>
              <w:marBottom w:val="0"/>
              <w:divBdr>
                <w:top w:val="none" w:sz="0" w:space="0" w:color="auto"/>
                <w:left w:val="none" w:sz="0" w:space="0" w:color="auto"/>
                <w:bottom w:val="none" w:sz="0" w:space="0" w:color="auto"/>
                <w:right w:val="none" w:sz="0" w:space="0" w:color="auto"/>
              </w:divBdr>
              <w:divsChild>
                <w:div w:id="1225220082">
                  <w:marLeft w:val="0"/>
                  <w:marRight w:val="0"/>
                  <w:marTop w:val="0"/>
                  <w:marBottom w:val="0"/>
                  <w:divBdr>
                    <w:top w:val="none" w:sz="0" w:space="0" w:color="auto"/>
                    <w:left w:val="none" w:sz="0" w:space="0" w:color="auto"/>
                    <w:bottom w:val="none" w:sz="0" w:space="0" w:color="auto"/>
                    <w:right w:val="none" w:sz="0" w:space="0" w:color="auto"/>
                  </w:divBdr>
                  <w:divsChild>
                    <w:div w:id="1940603884">
                      <w:marLeft w:val="0"/>
                      <w:marRight w:val="0"/>
                      <w:marTop w:val="0"/>
                      <w:marBottom w:val="0"/>
                      <w:divBdr>
                        <w:top w:val="none" w:sz="0" w:space="0" w:color="auto"/>
                        <w:left w:val="none" w:sz="0" w:space="0" w:color="auto"/>
                        <w:bottom w:val="none" w:sz="0" w:space="0" w:color="auto"/>
                        <w:right w:val="none" w:sz="0" w:space="0" w:color="auto"/>
                      </w:divBdr>
                      <w:divsChild>
                        <w:div w:id="7655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291259">
      <w:bodyDiv w:val="1"/>
      <w:marLeft w:val="0"/>
      <w:marRight w:val="0"/>
      <w:marTop w:val="0"/>
      <w:marBottom w:val="0"/>
      <w:divBdr>
        <w:top w:val="none" w:sz="0" w:space="0" w:color="auto"/>
        <w:left w:val="none" w:sz="0" w:space="0" w:color="auto"/>
        <w:bottom w:val="none" w:sz="0" w:space="0" w:color="auto"/>
        <w:right w:val="none" w:sz="0" w:space="0" w:color="auto"/>
      </w:divBdr>
    </w:div>
    <w:div w:id="1035230550">
      <w:bodyDiv w:val="1"/>
      <w:marLeft w:val="0"/>
      <w:marRight w:val="0"/>
      <w:marTop w:val="0"/>
      <w:marBottom w:val="0"/>
      <w:divBdr>
        <w:top w:val="none" w:sz="0" w:space="0" w:color="auto"/>
        <w:left w:val="none" w:sz="0" w:space="0" w:color="auto"/>
        <w:bottom w:val="none" w:sz="0" w:space="0" w:color="auto"/>
        <w:right w:val="none" w:sz="0" w:space="0" w:color="auto"/>
      </w:divBdr>
    </w:div>
    <w:div w:id="1051923106">
      <w:bodyDiv w:val="1"/>
      <w:marLeft w:val="0"/>
      <w:marRight w:val="0"/>
      <w:marTop w:val="0"/>
      <w:marBottom w:val="0"/>
      <w:divBdr>
        <w:top w:val="none" w:sz="0" w:space="0" w:color="auto"/>
        <w:left w:val="none" w:sz="0" w:space="0" w:color="auto"/>
        <w:bottom w:val="none" w:sz="0" w:space="0" w:color="auto"/>
        <w:right w:val="none" w:sz="0" w:space="0" w:color="auto"/>
      </w:divBdr>
    </w:div>
    <w:div w:id="1116366380">
      <w:bodyDiv w:val="1"/>
      <w:marLeft w:val="0"/>
      <w:marRight w:val="0"/>
      <w:marTop w:val="0"/>
      <w:marBottom w:val="0"/>
      <w:divBdr>
        <w:top w:val="none" w:sz="0" w:space="0" w:color="auto"/>
        <w:left w:val="none" w:sz="0" w:space="0" w:color="auto"/>
        <w:bottom w:val="none" w:sz="0" w:space="0" w:color="auto"/>
        <w:right w:val="none" w:sz="0" w:space="0" w:color="auto"/>
      </w:divBdr>
    </w:div>
    <w:div w:id="1218511234">
      <w:bodyDiv w:val="1"/>
      <w:marLeft w:val="0"/>
      <w:marRight w:val="0"/>
      <w:marTop w:val="0"/>
      <w:marBottom w:val="0"/>
      <w:divBdr>
        <w:top w:val="none" w:sz="0" w:space="0" w:color="auto"/>
        <w:left w:val="none" w:sz="0" w:space="0" w:color="auto"/>
        <w:bottom w:val="none" w:sz="0" w:space="0" w:color="auto"/>
        <w:right w:val="none" w:sz="0" w:space="0" w:color="auto"/>
      </w:divBdr>
    </w:div>
    <w:div w:id="1241256781">
      <w:bodyDiv w:val="1"/>
      <w:marLeft w:val="0"/>
      <w:marRight w:val="0"/>
      <w:marTop w:val="0"/>
      <w:marBottom w:val="0"/>
      <w:divBdr>
        <w:top w:val="none" w:sz="0" w:space="0" w:color="auto"/>
        <w:left w:val="none" w:sz="0" w:space="0" w:color="auto"/>
        <w:bottom w:val="none" w:sz="0" w:space="0" w:color="auto"/>
        <w:right w:val="none" w:sz="0" w:space="0" w:color="auto"/>
      </w:divBdr>
    </w:div>
    <w:div w:id="1246761116">
      <w:bodyDiv w:val="1"/>
      <w:marLeft w:val="0"/>
      <w:marRight w:val="0"/>
      <w:marTop w:val="0"/>
      <w:marBottom w:val="0"/>
      <w:divBdr>
        <w:top w:val="none" w:sz="0" w:space="0" w:color="auto"/>
        <w:left w:val="none" w:sz="0" w:space="0" w:color="auto"/>
        <w:bottom w:val="none" w:sz="0" w:space="0" w:color="auto"/>
        <w:right w:val="none" w:sz="0" w:space="0" w:color="auto"/>
      </w:divBdr>
    </w:div>
    <w:div w:id="1275675542">
      <w:bodyDiv w:val="1"/>
      <w:marLeft w:val="0"/>
      <w:marRight w:val="0"/>
      <w:marTop w:val="0"/>
      <w:marBottom w:val="0"/>
      <w:divBdr>
        <w:top w:val="none" w:sz="0" w:space="0" w:color="auto"/>
        <w:left w:val="none" w:sz="0" w:space="0" w:color="auto"/>
        <w:bottom w:val="none" w:sz="0" w:space="0" w:color="auto"/>
        <w:right w:val="none" w:sz="0" w:space="0" w:color="auto"/>
      </w:divBdr>
    </w:div>
    <w:div w:id="1314718304">
      <w:bodyDiv w:val="1"/>
      <w:marLeft w:val="0"/>
      <w:marRight w:val="0"/>
      <w:marTop w:val="0"/>
      <w:marBottom w:val="0"/>
      <w:divBdr>
        <w:top w:val="none" w:sz="0" w:space="0" w:color="auto"/>
        <w:left w:val="none" w:sz="0" w:space="0" w:color="auto"/>
        <w:bottom w:val="none" w:sz="0" w:space="0" w:color="auto"/>
        <w:right w:val="none" w:sz="0" w:space="0" w:color="auto"/>
      </w:divBdr>
      <w:divsChild>
        <w:div w:id="959335119">
          <w:blockQuote w:val="1"/>
          <w:marLeft w:val="225"/>
          <w:marRight w:val="0"/>
          <w:marTop w:val="0"/>
          <w:marBottom w:val="0"/>
          <w:divBdr>
            <w:top w:val="none" w:sz="0" w:space="0" w:color="auto"/>
            <w:left w:val="none" w:sz="0" w:space="0" w:color="auto"/>
            <w:bottom w:val="none" w:sz="0" w:space="0" w:color="auto"/>
            <w:right w:val="none" w:sz="0" w:space="0" w:color="auto"/>
          </w:divBdr>
        </w:div>
        <w:div w:id="1760132021">
          <w:blockQuote w:val="1"/>
          <w:marLeft w:val="225"/>
          <w:marRight w:val="0"/>
          <w:marTop w:val="0"/>
          <w:marBottom w:val="0"/>
          <w:divBdr>
            <w:top w:val="none" w:sz="0" w:space="0" w:color="auto"/>
            <w:left w:val="none" w:sz="0" w:space="0" w:color="auto"/>
            <w:bottom w:val="none" w:sz="0" w:space="0" w:color="auto"/>
            <w:right w:val="none" w:sz="0" w:space="0" w:color="auto"/>
          </w:divBdr>
        </w:div>
        <w:div w:id="2083093851">
          <w:blockQuote w:val="1"/>
          <w:marLeft w:val="225"/>
          <w:marRight w:val="0"/>
          <w:marTop w:val="0"/>
          <w:marBottom w:val="0"/>
          <w:divBdr>
            <w:top w:val="none" w:sz="0" w:space="0" w:color="auto"/>
            <w:left w:val="none" w:sz="0" w:space="0" w:color="auto"/>
            <w:bottom w:val="none" w:sz="0" w:space="0" w:color="auto"/>
            <w:right w:val="none" w:sz="0" w:space="0" w:color="auto"/>
          </w:divBdr>
        </w:div>
        <w:div w:id="1018315957">
          <w:blockQuote w:val="1"/>
          <w:marLeft w:val="225"/>
          <w:marRight w:val="0"/>
          <w:marTop w:val="0"/>
          <w:marBottom w:val="0"/>
          <w:divBdr>
            <w:top w:val="none" w:sz="0" w:space="0" w:color="auto"/>
            <w:left w:val="none" w:sz="0" w:space="0" w:color="auto"/>
            <w:bottom w:val="none" w:sz="0" w:space="0" w:color="auto"/>
            <w:right w:val="none" w:sz="0" w:space="0" w:color="auto"/>
          </w:divBdr>
        </w:div>
        <w:div w:id="17359303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4542781">
      <w:bodyDiv w:val="1"/>
      <w:marLeft w:val="0"/>
      <w:marRight w:val="0"/>
      <w:marTop w:val="0"/>
      <w:marBottom w:val="0"/>
      <w:divBdr>
        <w:top w:val="none" w:sz="0" w:space="0" w:color="auto"/>
        <w:left w:val="none" w:sz="0" w:space="0" w:color="auto"/>
        <w:bottom w:val="none" w:sz="0" w:space="0" w:color="auto"/>
        <w:right w:val="none" w:sz="0" w:space="0" w:color="auto"/>
      </w:divBdr>
    </w:div>
    <w:div w:id="1476288925">
      <w:bodyDiv w:val="1"/>
      <w:marLeft w:val="0"/>
      <w:marRight w:val="0"/>
      <w:marTop w:val="0"/>
      <w:marBottom w:val="0"/>
      <w:divBdr>
        <w:top w:val="none" w:sz="0" w:space="0" w:color="auto"/>
        <w:left w:val="none" w:sz="0" w:space="0" w:color="auto"/>
        <w:bottom w:val="none" w:sz="0" w:space="0" w:color="auto"/>
        <w:right w:val="none" w:sz="0" w:space="0" w:color="auto"/>
      </w:divBdr>
    </w:div>
    <w:div w:id="1521117860">
      <w:bodyDiv w:val="1"/>
      <w:marLeft w:val="0"/>
      <w:marRight w:val="0"/>
      <w:marTop w:val="0"/>
      <w:marBottom w:val="0"/>
      <w:divBdr>
        <w:top w:val="none" w:sz="0" w:space="0" w:color="auto"/>
        <w:left w:val="none" w:sz="0" w:space="0" w:color="auto"/>
        <w:bottom w:val="none" w:sz="0" w:space="0" w:color="auto"/>
        <w:right w:val="none" w:sz="0" w:space="0" w:color="auto"/>
      </w:divBdr>
    </w:div>
    <w:div w:id="1537963336">
      <w:bodyDiv w:val="1"/>
      <w:marLeft w:val="0"/>
      <w:marRight w:val="0"/>
      <w:marTop w:val="0"/>
      <w:marBottom w:val="0"/>
      <w:divBdr>
        <w:top w:val="none" w:sz="0" w:space="0" w:color="auto"/>
        <w:left w:val="none" w:sz="0" w:space="0" w:color="auto"/>
        <w:bottom w:val="none" w:sz="0" w:space="0" w:color="auto"/>
        <w:right w:val="none" w:sz="0" w:space="0" w:color="auto"/>
      </w:divBdr>
    </w:div>
    <w:div w:id="1616982455">
      <w:bodyDiv w:val="1"/>
      <w:marLeft w:val="0"/>
      <w:marRight w:val="0"/>
      <w:marTop w:val="0"/>
      <w:marBottom w:val="0"/>
      <w:divBdr>
        <w:top w:val="none" w:sz="0" w:space="0" w:color="auto"/>
        <w:left w:val="none" w:sz="0" w:space="0" w:color="auto"/>
        <w:bottom w:val="none" w:sz="0" w:space="0" w:color="auto"/>
        <w:right w:val="none" w:sz="0" w:space="0" w:color="auto"/>
      </w:divBdr>
    </w:div>
    <w:div w:id="1634629790">
      <w:bodyDiv w:val="1"/>
      <w:marLeft w:val="0"/>
      <w:marRight w:val="0"/>
      <w:marTop w:val="0"/>
      <w:marBottom w:val="0"/>
      <w:divBdr>
        <w:top w:val="none" w:sz="0" w:space="0" w:color="auto"/>
        <w:left w:val="none" w:sz="0" w:space="0" w:color="auto"/>
        <w:bottom w:val="none" w:sz="0" w:space="0" w:color="auto"/>
        <w:right w:val="none" w:sz="0" w:space="0" w:color="auto"/>
      </w:divBdr>
    </w:div>
    <w:div w:id="1673028203">
      <w:bodyDiv w:val="1"/>
      <w:marLeft w:val="0"/>
      <w:marRight w:val="0"/>
      <w:marTop w:val="0"/>
      <w:marBottom w:val="0"/>
      <w:divBdr>
        <w:top w:val="none" w:sz="0" w:space="0" w:color="auto"/>
        <w:left w:val="none" w:sz="0" w:space="0" w:color="auto"/>
        <w:bottom w:val="none" w:sz="0" w:space="0" w:color="auto"/>
        <w:right w:val="none" w:sz="0" w:space="0" w:color="auto"/>
      </w:divBdr>
    </w:div>
    <w:div w:id="1680156984">
      <w:bodyDiv w:val="1"/>
      <w:marLeft w:val="0"/>
      <w:marRight w:val="0"/>
      <w:marTop w:val="0"/>
      <w:marBottom w:val="0"/>
      <w:divBdr>
        <w:top w:val="none" w:sz="0" w:space="0" w:color="auto"/>
        <w:left w:val="none" w:sz="0" w:space="0" w:color="auto"/>
        <w:bottom w:val="none" w:sz="0" w:space="0" w:color="auto"/>
        <w:right w:val="none" w:sz="0" w:space="0" w:color="auto"/>
      </w:divBdr>
    </w:div>
    <w:div w:id="1732925203">
      <w:bodyDiv w:val="1"/>
      <w:marLeft w:val="0"/>
      <w:marRight w:val="0"/>
      <w:marTop w:val="0"/>
      <w:marBottom w:val="0"/>
      <w:divBdr>
        <w:top w:val="none" w:sz="0" w:space="0" w:color="auto"/>
        <w:left w:val="none" w:sz="0" w:space="0" w:color="auto"/>
        <w:bottom w:val="none" w:sz="0" w:space="0" w:color="auto"/>
        <w:right w:val="none" w:sz="0" w:space="0" w:color="auto"/>
      </w:divBdr>
    </w:div>
    <w:div w:id="1754546408">
      <w:bodyDiv w:val="1"/>
      <w:marLeft w:val="0"/>
      <w:marRight w:val="0"/>
      <w:marTop w:val="0"/>
      <w:marBottom w:val="0"/>
      <w:divBdr>
        <w:top w:val="none" w:sz="0" w:space="0" w:color="auto"/>
        <w:left w:val="none" w:sz="0" w:space="0" w:color="auto"/>
        <w:bottom w:val="none" w:sz="0" w:space="0" w:color="auto"/>
        <w:right w:val="none" w:sz="0" w:space="0" w:color="auto"/>
      </w:divBdr>
    </w:div>
    <w:div w:id="1815904026">
      <w:bodyDiv w:val="1"/>
      <w:marLeft w:val="0"/>
      <w:marRight w:val="0"/>
      <w:marTop w:val="0"/>
      <w:marBottom w:val="0"/>
      <w:divBdr>
        <w:top w:val="none" w:sz="0" w:space="0" w:color="auto"/>
        <w:left w:val="none" w:sz="0" w:space="0" w:color="auto"/>
        <w:bottom w:val="none" w:sz="0" w:space="0" w:color="auto"/>
        <w:right w:val="none" w:sz="0" w:space="0" w:color="auto"/>
      </w:divBdr>
    </w:div>
    <w:div w:id="1878539431">
      <w:bodyDiv w:val="1"/>
      <w:marLeft w:val="0"/>
      <w:marRight w:val="0"/>
      <w:marTop w:val="0"/>
      <w:marBottom w:val="0"/>
      <w:divBdr>
        <w:top w:val="none" w:sz="0" w:space="0" w:color="auto"/>
        <w:left w:val="none" w:sz="0" w:space="0" w:color="auto"/>
        <w:bottom w:val="none" w:sz="0" w:space="0" w:color="auto"/>
        <w:right w:val="none" w:sz="0" w:space="0" w:color="auto"/>
      </w:divBdr>
    </w:div>
    <w:div w:id="1932620012">
      <w:bodyDiv w:val="1"/>
      <w:marLeft w:val="0"/>
      <w:marRight w:val="0"/>
      <w:marTop w:val="0"/>
      <w:marBottom w:val="0"/>
      <w:divBdr>
        <w:top w:val="none" w:sz="0" w:space="0" w:color="auto"/>
        <w:left w:val="none" w:sz="0" w:space="0" w:color="auto"/>
        <w:bottom w:val="none" w:sz="0" w:space="0" w:color="auto"/>
        <w:right w:val="none" w:sz="0" w:space="0" w:color="auto"/>
      </w:divBdr>
    </w:div>
    <w:div w:id="1962375716">
      <w:bodyDiv w:val="1"/>
      <w:marLeft w:val="0"/>
      <w:marRight w:val="0"/>
      <w:marTop w:val="0"/>
      <w:marBottom w:val="0"/>
      <w:divBdr>
        <w:top w:val="none" w:sz="0" w:space="0" w:color="auto"/>
        <w:left w:val="none" w:sz="0" w:space="0" w:color="auto"/>
        <w:bottom w:val="none" w:sz="0" w:space="0" w:color="auto"/>
        <w:right w:val="none" w:sz="0" w:space="0" w:color="auto"/>
      </w:divBdr>
    </w:div>
    <w:div w:id="2027439421">
      <w:bodyDiv w:val="1"/>
      <w:marLeft w:val="0"/>
      <w:marRight w:val="0"/>
      <w:marTop w:val="0"/>
      <w:marBottom w:val="0"/>
      <w:divBdr>
        <w:top w:val="none" w:sz="0" w:space="0" w:color="auto"/>
        <w:left w:val="none" w:sz="0" w:space="0" w:color="auto"/>
        <w:bottom w:val="none" w:sz="0" w:space="0" w:color="auto"/>
        <w:right w:val="none" w:sz="0" w:space="0" w:color="auto"/>
      </w:divBdr>
    </w:div>
    <w:div w:id="2043239672">
      <w:bodyDiv w:val="1"/>
      <w:marLeft w:val="0"/>
      <w:marRight w:val="0"/>
      <w:marTop w:val="0"/>
      <w:marBottom w:val="0"/>
      <w:divBdr>
        <w:top w:val="none" w:sz="0" w:space="0" w:color="auto"/>
        <w:left w:val="none" w:sz="0" w:space="0" w:color="auto"/>
        <w:bottom w:val="none" w:sz="0" w:space="0" w:color="auto"/>
        <w:right w:val="none" w:sz="0" w:space="0" w:color="auto"/>
      </w:divBdr>
    </w:div>
    <w:div w:id="2044555370">
      <w:bodyDiv w:val="1"/>
      <w:marLeft w:val="0"/>
      <w:marRight w:val="0"/>
      <w:marTop w:val="0"/>
      <w:marBottom w:val="0"/>
      <w:divBdr>
        <w:top w:val="none" w:sz="0" w:space="0" w:color="auto"/>
        <w:left w:val="none" w:sz="0" w:space="0" w:color="auto"/>
        <w:bottom w:val="none" w:sz="0" w:space="0" w:color="auto"/>
        <w:right w:val="none" w:sz="0" w:space="0" w:color="auto"/>
      </w:divBdr>
    </w:div>
    <w:div w:id="208024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14</Pages>
  <Words>8889</Words>
  <Characters>50671</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Atwebembere, Raymond</dc:creator>
  <cp:keywords/>
  <dc:description/>
  <cp:lastModifiedBy>Atwebembere, Raymond</cp:lastModifiedBy>
  <cp:revision>199</cp:revision>
  <dcterms:created xsi:type="dcterms:W3CDTF">2025-04-28T23:30:00Z</dcterms:created>
  <dcterms:modified xsi:type="dcterms:W3CDTF">2025-05-02T19:20:00Z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id="RCd7NS71"/&gt;&lt;style id="http://www.zotero.org/styles/american-medical-association" hasBibliography="1" bibliographyStyleHasBeenSet="1"/&gt;&lt;prefs&gt;&lt;pref name="fieldType" value="Field"/&gt;&lt;/prefs&gt;&lt;/data&gt;</vt:lpwstr>
  </property>
</Properties>
</file>