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4E79"/>
          <w:sz w:val="56"/>
          <w:szCs w:val="56"/>
        </w:rPr>
        <w:t xml:space="preserve">S&amp;P 500 STOCK MARKET</w:t>
      </w:r>
    </w:p>
    <w:p>
      <w:pPr>
        <w:spacing w:after="80"/>
        <w:jc w:val="center"/>
      </w:pPr>
      <w:r>
        <w:rPr>
          <w:rFonts w:ascii="Arial" w:cs="Arial" w:eastAsia="Arial" w:hAnsi="Arial"/>
          <w:b/>
          <w:bCs/>
          <w:color w:val="2E75B6"/>
          <w:sz w:val="48"/>
          <w:szCs w:val="48"/>
        </w:rPr>
        <w:t xml:space="preserve">BIG DATA ANALYSIS PROJECT</w:t>
      </w:r>
    </w:p>
    <w:p>
      <w:pPr>
        <w:spacing w:after="120"/>
      </w:pPr>
      <w:r>
        <w:t xml:space="preserve"/>
      </w:r>
    </w:p>
    <w:p>
      <w:pPr>
        <w:spacing w:after="640"/>
        <w:jc w:val="center"/>
      </w:pPr>
      <w:r>
        <w:rPr>
          <w:rFonts w:ascii="Arial" w:cs="Arial" w:eastAsia="Arial" w:hAnsi="Arial"/>
          <w:i/>
          <w:iCs/>
          <w:color w:val="444444"/>
          <w:sz w:val="26"/>
          <w:szCs w:val="26"/>
        </w:rPr>
        <w:t xml:space="preserve">End-to-End Big Data Exploitation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Student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Atzin Eduardo Cruz Briones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Big 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Professor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Alfredo Marquez Martinez</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Submission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April 14,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Institution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Universidad Panamericana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S&amp;P 500 Historical Stock Data (Kaggle)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Total Records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1,238,080 rows across 505 tickers</w:t>
            </w:r>
          </w:p>
        </w:tc>
      </w:tr>
    </w:tbl>
    <w:p>
      <w:pPr>
        <w:spacing w:after="120"/>
      </w:pPr>
      <w:r>
        <w:t xml:space="preserve"/>
      </w:r>
    </w:p>
    <w:p>
      <w:r>
        <w:br w:type="page"/>
      </w:r>
    </w:p>
    <w:p>
      <w:pPr>
        <w:pStyle w:val="Heading1"/>
        <w:spacing w:after="160" w:before="320"/>
      </w:pPr>
      <w:r>
        <w:rPr>
          <w:rFonts w:ascii="Arial" w:cs="Arial" w:eastAsia="Arial" w:hAnsi="Arial"/>
          <w:b/>
          <w:bCs/>
          <w:color w:val="1F4E79"/>
          <w:sz w:val="28"/>
          <w:szCs w:val="28"/>
        </w:rPr>
        <w:t xml:space="preserve">1. Problem Definition</w:t>
      </w:r>
    </w:p>
    <w:p>
      <w:pPr>
        <w:spacing w:after="160"/>
      </w:pPr>
      <w:r>
        <w:rPr>
          <w:rFonts w:ascii="Arial" w:cs="Arial" w:eastAsia="Arial" w:hAnsi="Arial"/>
          <w:sz w:val="22"/>
          <w:szCs w:val="22"/>
        </w:rPr>
        <w:t xml:space="preserve">The stock market generates millions of data points every trading day. Understanding the behavior of stocks — their volatility, price trends, and future movements — is critical for investors, financial analysts, and portfolio managers. Processing and analyzing this data at scale requires a robust big data infrastructure capable of ingesting, transforming, storing, and modeling large datasets efficiently.</w:t>
      </w:r>
    </w:p>
    <w:p>
      <w:pPr>
        <w:spacing w:after="120"/>
      </w:pPr>
      <w:r>
        <w:t xml:space="preserve"/>
      </w:r>
    </w:p>
    <w:p>
      <w:pPr>
        <w:spacing w:after="160"/>
      </w:pPr>
      <w:r>
        <w:rPr>
          <w:rFonts w:ascii="Arial" w:cs="Arial" w:eastAsia="Arial" w:hAnsi="Arial"/>
          <w:sz w:val="22"/>
          <w:szCs w:val="22"/>
        </w:rPr>
        <w:t xml:space="preserve">This project addresses the following analytical question:</w:t>
      </w:r>
    </w:p>
    <w:p>
      <w:pPr>
        <w:spacing w:after="160"/>
      </w:pPr>
      <w:r>
        <w:rPr>
          <w:rFonts w:ascii="Arial" w:cs="Arial" w:eastAsia="Arial" w:hAnsi="Arial"/>
          <w:i/>
          <w:iCs/>
          <w:color w:val="1F4E79"/>
          <w:sz w:val="22"/>
          <w:szCs w:val="22"/>
        </w:rPr>
        <w:t xml:space="preserve">"How can we analyze 5 years of S&amp;P 500 historical stock data to identify volatility patterns across market sectors, detect high-risk equities, and forecast short-term price movements using scalable big data technologies?"</w:t>
      </w:r>
    </w:p>
    <w:p>
      <w:pPr>
        <w:spacing w:after="120"/>
      </w:pPr>
      <w:r>
        <w:t xml:space="preserve"/>
      </w:r>
    </w:p>
    <w:p>
      <w:pPr>
        <w:pStyle w:val="Heading2"/>
        <w:spacing w:after="120" w:before="240"/>
      </w:pPr>
      <w:r>
        <w:rPr>
          <w:rFonts w:ascii="Arial" w:cs="Arial" w:eastAsia="Arial" w:hAnsi="Arial"/>
          <w:b/>
          <w:bCs/>
          <w:color w:val="2E75B6"/>
          <w:sz w:val="24"/>
          <w:szCs w:val="24"/>
        </w:rPr>
        <w:t xml:space="preserve">1.1 Objectives</w:t>
      </w:r>
    </w:p>
    <w:p>
      <w:pPr>
        <w:pStyle w:val="ListParagraph"/>
        <w:numPr>
          <w:ilvl w:val="0"/>
          <w:numId w:val="2"/>
        </w:numPr>
        <w:spacing w:after="80"/>
      </w:pPr>
      <w:r>
        <w:rPr>
          <w:rFonts w:ascii="Arial" w:cs="Arial" w:eastAsia="Arial" w:hAnsi="Arial"/>
          <w:sz w:val="22"/>
          <w:szCs w:val="22"/>
        </w:rPr>
        <w:t xml:space="preserve">Ingest and store 1,238,080 stock records in a multi-layer cloud architecture on Oracle Cloud Infrastructure (OCI).</w:t>
      </w:r>
    </w:p>
    <w:p>
      <w:pPr>
        <w:pStyle w:val="ListParagraph"/>
        <w:numPr>
          <w:ilvl w:val="0"/>
          <w:numId w:val="2"/>
        </w:numPr>
        <w:spacing w:after="80"/>
      </w:pPr>
      <w:r>
        <w:rPr>
          <w:rFonts w:ascii="Arial" w:cs="Arial" w:eastAsia="Arial" w:hAnsi="Arial"/>
          <w:sz w:val="22"/>
          <w:szCs w:val="22"/>
        </w:rPr>
        <w:t xml:space="preserve">Process raw data using Apache Spark (PySpark) with cleaning, transformation, JOIN operations, and aggregations.</w:t>
      </w:r>
    </w:p>
    <w:p>
      <w:pPr>
        <w:pStyle w:val="ListParagraph"/>
        <w:numPr>
          <w:ilvl w:val="0"/>
          <w:numId w:val="2"/>
        </w:numPr>
        <w:spacing w:after="80"/>
      </w:pPr>
      <w:r>
        <w:rPr>
          <w:rFonts w:ascii="Arial" w:cs="Arial" w:eastAsia="Arial" w:hAnsi="Arial"/>
          <w:sz w:val="22"/>
          <w:szCs w:val="22"/>
        </w:rPr>
        <w:t xml:space="preserve">Simulate real-time streaming of stock data using Spark Structured Streaming with micro-batch processing.</w:t>
      </w:r>
    </w:p>
    <w:p>
      <w:pPr>
        <w:pStyle w:val="ListParagraph"/>
        <w:numPr>
          <w:ilvl w:val="0"/>
          <w:numId w:val="2"/>
        </w:numPr>
        <w:spacing w:after="80"/>
      </w:pPr>
      <w:r>
        <w:rPr>
          <w:rFonts w:ascii="Arial" w:cs="Arial" w:eastAsia="Arial" w:hAnsi="Arial"/>
          <w:sz w:val="22"/>
          <w:szCs w:val="22"/>
        </w:rPr>
        <w:t xml:space="preserve">Build a star schema analytical model in SQLite with 5 tables for reporting and querying.</w:t>
      </w:r>
    </w:p>
    <w:p>
      <w:pPr>
        <w:pStyle w:val="ListParagraph"/>
        <w:numPr>
          <w:ilvl w:val="0"/>
          <w:numId w:val="2"/>
        </w:numPr>
        <w:spacing w:after="80"/>
      </w:pPr>
      <w:r>
        <w:rPr>
          <w:rFonts w:ascii="Arial" w:cs="Arial" w:eastAsia="Arial" w:hAnsi="Arial"/>
          <w:sz w:val="22"/>
          <w:szCs w:val="22"/>
        </w:rPr>
        <w:t xml:space="preserve">Perform sector-level analysis using PySpark JOINs to enrich stock data with industry metadata.</w:t>
      </w:r>
    </w:p>
    <w:p>
      <w:pPr>
        <w:pStyle w:val="ListParagraph"/>
        <w:numPr>
          <w:ilvl w:val="0"/>
          <w:numId w:val="2"/>
        </w:numPr>
        <w:spacing w:after="80"/>
      </w:pPr>
      <w:r>
        <w:rPr>
          <w:rFonts w:ascii="Arial" w:cs="Arial" w:eastAsia="Arial" w:hAnsi="Arial"/>
          <w:sz w:val="22"/>
          <w:szCs w:val="22"/>
        </w:rPr>
        <w:t xml:space="preserve">Generate actionable insights and visualizations about stock market volatility and sector behavior.</w:t>
      </w:r>
    </w:p>
    <w:p>
      <w:pPr>
        <w:pStyle w:val="ListParagraph"/>
        <w:numPr>
          <w:ilvl w:val="0"/>
          <w:numId w:val="2"/>
        </w:numPr>
        <w:spacing w:after="80"/>
      </w:pPr>
      <w:r>
        <w:rPr>
          <w:rFonts w:ascii="Arial" w:cs="Arial" w:eastAsia="Arial" w:hAnsi="Arial"/>
          <w:sz w:val="22"/>
          <w:szCs w:val="22"/>
        </w:rPr>
        <w:t xml:space="preserve">Apply Facebook Prophet machine learning model to forecast 30-day price trajectories for 5 key tickers.</w:t>
      </w:r>
    </w:p>
    <w:p>
      <w:pPr>
        <w:spacing w:after="120"/>
      </w:pPr>
      <w:r>
        <w:t xml:space="preserve"/>
      </w:r>
    </w:p>
    <w:p>
      <w:pPr>
        <w:pStyle w:val="Heading2"/>
        <w:spacing w:after="120" w:before="240"/>
      </w:pPr>
      <w:r>
        <w:rPr>
          <w:rFonts w:ascii="Arial" w:cs="Arial" w:eastAsia="Arial" w:hAnsi="Arial"/>
          <w:b/>
          <w:bCs/>
          <w:color w:val="2E75B6"/>
          <w:sz w:val="24"/>
          <w:szCs w:val="24"/>
        </w:rPr>
        <w:t xml:space="preserve">1.2 Domain Justification</w:t>
      </w:r>
    </w:p>
    <w:p>
      <w:pPr>
        <w:spacing w:after="160"/>
      </w:pPr>
      <w:r>
        <w:rPr>
          <w:rFonts w:ascii="Arial" w:cs="Arial" w:eastAsia="Arial" w:hAnsi="Arial"/>
          <w:sz w:val="22"/>
          <w:szCs w:val="22"/>
        </w:rPr>
        <w:t xml:space="preserve">The finance and stock market domain is one of the most data-intensive sectors in the world. Real-time and historical price analysis directly drives investment decisions worth trillions of dollars daily. This project simulates a real-world financial analytics platform that hedge funds, investment banks, and fintech startups use to gain competitive advantages through data-driven decision making. The S&amp;P 500 dataset provides genuine market complexity — 500 companies across 11 sectors with 5 years of daily price history — making it ideal for demonstrating the full spectrum of big data capabilities.</w:t>
      </w:r>
    </w:p>
    <w:p>
      <w:r>
        <w:br w:type="page"/>
      </w:r>
    </w:p>
    <w:p>
      <w:pPr>
        <w:pStyle w:val="Heading1"/>
        <w:spacing w:after="160" w:before="320"/>
      </w:pPr>
      <w:r>
        <w:rPr>
          <w:rFonts w:ascii="Arial" w:cs="Arial" w:eastAsia="Arial" w:hAnsi="Arial"/>
          <w:b/>
          <w:bCs/>
          <w:color w:val="1F4E79"/>
          <w:sz w:val="28"/>
          <w:szCs w:val="28"/>
        </w:rPr>
        <w:t xml:space="preserve">2. Data Sources</w:t>
      </w:r>
    </w:p>
    <w:p>
      <w:pPr>
        <w:spacing w:after="160"/>
      </w:pPr>
      <w:r>
        <w:rPr>
          <w:rFonts w:ascii="Arial" w:cs="Arial" w:eastAsia="Arial" w:hAnsi="Arial"/>
          <w:sz w:val="22"/>
          <w:szCs w:val="22"/>
        </w:rPr>
        <w:t xml:space="preserve">The project uses the S&amp;P 500 Stock Data dataset from Kaggle, covering daily OHLCV (Open, High, Low, Close, Volume) price history for all 500 companies in the index from February 2013 to February 2018. The dataset is split into two complementary files that together exceed 1.2 million records, satisfying the large-volume requirement.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760"/>
        <w:gridCol w:w="280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all_stocks_5yr.csv</w:t>
            </w:r>
          </w:p>
        </w:tc>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CSV</w:t>
            </w:r>
          </w:p>
        </w:tc>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 file</w:t>
            </w:r>
          </w:p>
        </w:tc>
        <w:tc>
          <w:tcPr>
            <w:tcW w:type="dxa" w:w="1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619,040 rows</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Kaggle — S&amp;P 500 Stock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individual_stocks_5yr/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505 files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619,040 rows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 S&amp;P 500 Stock Data</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Combined pipeline total</w:t>
            </w:r>
          </w:p>
        </w:tc>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506 files</w:t>
            </w:r>
          </w:p>
        </w:tc>
        <w:tc>
          <w:tcPr>
            <w:tcW w:type="dxa" w:w="17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1,238,080 rows</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Both sources processed by Spark</w:t>
            </w:r>
          </w:p>
        </w:tc>
      </w:tr>
    </w:tbl>
    <w:p>
      <w:pPr>
        <w:spacing w:after="120"/>
      </w:pPr>
      <w:r>
        <w:t xml:space="preserve"/>
      </w:r>
    </w:p>
    <w:p>
      <w:pPr>
        <w:spacing w:after="80" w:before="160"/>
        <w:jc w:val="center"/>
      </w:pPr>
      <w:r>
        <w:drawing>
          <wp:inline distT="0" distB="0" distL="0" distR="0">
            <wp:extent cx="4572000" cy="762000"/>
            <wp:effectExtent t="0" r="0" b="0" l="0"/>
            <wp:docPr id="1" name="Figure 1 — Data volume verification output (1,238,080 total records)" descr="Figure 1 — Data volume verification output (1,238,080 total records)" title="Figure 1 — Data volume verification output (1,238,080 total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762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 Data volume verification output (1,238,080 total records)</w:t>
      </w:r>
    </w:p>
    <w:p>
      <w:pPr>
        <w:pStyle w:val="Heading2"/>
        <w:spacing w:after="120" w:before="240"/>
      </w:pPr>
      <w:r>
        <w:rPr>
          <w:rFonts w:ascii="Arial" w:cs="Arial" w:eastAsia="Arial" w:hAnsi="Arial"/>
          <w:b/>
          <w:bCs/>
          <w:color w:val="2E75B6"/>
          <w:sz w:val="24"/>
          <w:szCs w:val="24"/>
        </w:rPr>
        <w:t xml:space="preserve">2.1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date</w:t>
            </w:r>
          </w:p>
        </w:tc>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Trading date (YYYY-MM-DD format)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 price of the stock</w:t>
            </w:r>
          </w:p>
        </w:tc>
      </w:tr>
      <w:tr>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Highest intraday price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intraday price</w:t>
            </w:r>
          </w:p>
        </w:tc>
      </w:tr>
      <w:tr>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close</w:t>
            </w:r>
          </w:p>
        </w:tc>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Double</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Closing price of the stock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shares traded during the day</w:t>
            </w:r>
          </w:p>
        </w:tc>
      </w:tr>
      <w:tr>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String</w:t>
            </w:r>
          </w:p>
        </w:tc>
        <w:tc>
          <w:tcPr>
            <w:tcW w:type="dxa" w:w="6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Stock ticker symbol (e.g. AAPL, MSFT, BAC)</w:t>
            </w:r>
          </w:p>
        </w:tc>
      </w:tr>
    </w:tbl>
    <w:p>
      <w:r>
        <w:br w:type="page"/>
      </w:r>
    </w:p>
    <w:p>
      <w:pPr>
        <w:pStyle w:val="Heading1"/>
        <w:spacing w:after="160" w:before="320"/>
      </w:pPr>
      <w:r>
        <w:rPr>
          <w:rFonts w:ascii="Arial" w:cs="Arial" w:eastAsia="Arial" w:hAnsi="Arial"/>
          <w:b/>
          <w:bCs/>
          <w:color w:val="1F4E79"/>
          <w:sz w:val="28"/>
          <w:szCs w:val="28"/>
        </w:rPr>
        <w:t xml:space="preserve">3. Architecture Diagram</w:t>
      </w:r>
    </w:p>
    <w:p>
      <w:pPr>
        <w:spacing w:after="160"/>
      </w:pPr>
      <w:r>
        <w:rPr>
          <w:rFonts w:ascii="Arial" w:cs="Arial" w:eastAsia="Arial" w:hAnsi="Arial"/>
          <w:sz w:val="22"/>
          <w:szCs w:val="22"/>
        </w:rPr>
        <w:t xml:space="preserve">The following diagram illustrates the complete end-to-end big data pipeline, showing all layers from data sources through ingestion, batch processing, streaming, storage, machine learning, and visualization.</w:t>
      </w:r>
    </w:p>
    <w:p>
      <w:pPr>
        <w:spacing w:after="120"/>
      </w:pPr>
      <w:r>
        <w:t xml:space="preserve"/>
      </w:r>
    </w:p>
    <w:p>
      <w:pPr>
        <w:spacing w:after="80" w:before="160"/>
        <w:jc w:val="center"/>
      </w:pPr>
      <w:r>
        <w:drawing>
          <wp:inline distT="0" distB="0" distL="0" distR="0">
            <wp:extent cx="5334000" cy="4000500"/>
            <wp:effectExtent t="0" r="0" b="0" l="0"/>
            <wp:docPr id="1" name="Figure 2 — End-to-end pipeline architecture (OCI + PySpark + Prophet)" descr="Figure 2 — End-to-end pipeline architecture (OCI + PySpark + Prophet)" title="Figure 2 — End-to-end pipeline architecture (OCI + PySpark + Proph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End-to-end pipeline architecture (OCI + PySpark + Prophet)</w:t>
      </w:r>
    </w:p>
    <w:p>
      <w:pPr>
        <w:pStyle w:val="Heading2"/>
        <w:spacing w:after="120" w:before="240"/>
      </w:pPr>
      <w:r>
        <w:rPr>
          <w:rFonts w:ascii="Arial" w:cs="Arial" w:eastAsia="Arial" w:hAnsi="Arial"/>
          <w:b/>
          <w:bCs/>
          <w:color w:val="2E75B6"/>
          <w:sz w:val="24"/>
          <w:szCs w:val="24"/>
        </w:rPr>
        <w:t xml:space="preserve">3.1 Architecture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Data Sources</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Kaggle S&amp;P 500 CSV</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1,238,080 rows of historical OHLCV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OCI Object Storage (raw/)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Unprocessed original files — immutable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Batch Processing</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Apache Spark / PySpark</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Clean, transform, join, aggregate, feature gen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Structured Streaming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Micro-batch incremental processing simulation</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Processed Storage</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OCI Object Storage (proc/)</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Parquet files + charts from Spark 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schema — 5 analytical tables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Curated Storage</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OCI Object Storage (cur/)</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Final SQLite database and curated CSVs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 Prophet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30-day price forecasting for 5 tickers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Matplotlib</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4-chart dashboard + forecast visualizations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Platform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Cloud (OCI)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 + MySQL HeatWave provisioned</w:t>
            </w:r>
          </w:p>
        </w:tc>
      </w:tr>
    </w:tbl>
    <w:p>
      <w:r>
        <w:br w:type="page"/>
      </w:r>
    </w:p>
    <w:p>
      <w:pPr>
        <w:pStyle w:val="Heading1"/>
        <w:spacing w:after="160" w:before="320"/>
      </w:pPr>
      <w:r>
        <w:rPr>
          <w:rFonts w:ascii="Arial" w:cs="Arial" w:eastAsia="Arial" w:hAnsi="Arial"/>
          <w:b/>
          <w:bCs/>
          <w:color w:val="1F4E79"/>
          <w:sz w:val="28"/>
          <w:szCs w:val="28"/>
        </w:rPr>
        <w:t xml:space="preserve">4. Data Ingestion</w:t>
      </w:r>
    </w:p>
    <w:p>
      <w:pPr>
        <w:spacing w:after="160"/>
      </w:pPr>
      <w:r>
        <w:rPr>
          <w:rFonts w:ascii="Arial" w:cs="Arial" w:eastAsia="Arial" w:hAnsi="Arial"/>
          <w:sz w:val="22"/>
          <w:szCs w:val="22"/>
        </w:rPr>
        <w:t xml:space="preserve">Raw data was downloaded from Kaggle and uploaded directly to Oracle Cloud Infrastructure (OCI) Object Storage without any preprocessing, preserving the original files in the raw layer as required. An ingestion log was generated to document the collection process, timestamps, and data sources.</w:t>
      </w:r>
    </w:p>
    <w:p>
      <w:pPr>
        <w:spacing w:after="120"/>
      </w:pPr>
      <w:r>
        <w:t xml:space="preserve"/>
      </w:r>
    </w:p>
    <w:p>
      <w:pPr>
        <w:pStyle w:val="Heading2"/>
        <w:spacing w:after="120" w:before="240"/>
      </w:pPr>
      <w:r>
        <w:rPr>
          <w:rFonts w:ascii="Arial" w:cs="Arial" w:eastAsia="Arial" w:hAnsi="Arial"/>
          <w:b/>
          <w:bCs/>
          <w:color w:val="2E75B6"/>
          <w:sz w:val="24"/>
          <w:szCs w:val="24"/>
        </w:rPr>
        <w:t xml:space="preserve">4.1 Ingestion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raw/</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Original Kaggle CSV files — untouched</w:t>
            </w:r>
          </w:p>
        </w:tc>
        <w:tc>
          <w:tcPr>
            <w:tcW w:type="dxa" w:w="3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all_stocks_5yr.csv + 505 ticker CSVs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Spark output: parquet + charts + SQLite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stocks_clean.parquet, monthly_aggregated.parquet</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curated/</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Final database ready for querying</w:t>
            </w:r>
          </w:p>
        </w:tc>
        <w:tc>
          <w:tcPr>
            <w:tcW w:type="dxa" w:w="3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stocks_db.sqlite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streaming/stream_input/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Micro-batch input CSV files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batch_001.csv to batch_005.csv</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streaming/stream_output/</w:t>
            </w:r>
          </w:p>
        </w:tc>
        <w:tc>
          <w:tcPr>
            <w:tcW w:type="dxa" w:w="4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Spark Structured Streaming output</w:t>
            </w:r>
          </w:p>
        </w:tc>
        <w:tc>
          <w:tcPr>
            <w:tcW w:type="dxa" w:w="3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part-00000 to part-00007 CSV files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audit trail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ingestion_log.txt</w:t>
            </w:r>
          </w:p>
        </w:tc>
      </w:tr>
    </w:tbl>
    <w:p>
      <w:r>
        <w:br w:type="page"/>
      </w:r>
    </w:p>
    <w:p>
      <w:pPr>
        <w:pStyle w:val="Heading1"/>
        <w:spacing w:after="160" w:before="320"/>
      </w:pPr>
      <w:r>
        <w:rPr>
          <w:rFonts w:ascii="Arial" w:cs="Arial" w:eastAsia="Arial" w:hAnsi="Arial"/>
          <w:b/>
          <w:bCs/>
          <w:color w:val="1F4E79"/>
          <w:sz w:val="28"/>
          <w:szCs w:val="28"/>
        </w:rPr>
        <w:t xml:space="preserve">5. Storage Architecture</w:t>
      </w:r>
    </w:p>
    <w:p>
      <w:pPr>
        <w:spacing w:after="160"/>
      </w:pPr>
      <w:r>
        <w:rPr>
          <w:rFonts w:ascii="Arial" w:cs="Arial" w:eastAsia="Arial" w:hAnsi="Arial"/>
          <w:sz w:val="22"/>
          <w:szCs w:val="22"/>
        </w:rPr>
        <w:t xml:space="preserve">The solution implements a three-layer storage architecture following the medallion pattern (Raw → Processed → Curated) using two distinct storage technologies fulfilling the dual-storage requirement.</w:t>
      </w:r>
    </w:p>
    <w:p>
      <w:pPr>
        <w:spacing w:after="120"/>
      </w:pPr>
      <w:r>
        <w:t xml:space="preserve"/>
      </w:r>
    </w:p>
    <w:p>
      <w:pPr>
        <w:pStyle w:val="Heading2"/>
        <w:spacing w:after="120" w:before="240"/>
      </w:pPr>
      <w:r>
        <w:rPr>
          <w:rFonts w:ascii="Arial" w:cs="Arial" w:eastAsia="Arial" w:hAnsi="Arial"/>
          <w:b/>
          <w:bCs/>
          <w:color w:val="2E75B6"/>
          <w:sz w:val="24"/>
          <w:szCs w:val="24"/>
        </w:rPr>
        <w:t xml:space="preserve">5.1 OCI Object Storage (Data Lake)</w:t>
      </w:r>
    </w:p>
    <w:p>
      <w:pPr>
        <w:spacing w:after="160"/>
      </w:pPr>
      <w:r>
        <w:rPr>
          <w:rFonts w:ascii="Arial" w:cs="Arial" w:eastAsia="Arial" w:hAnsi="Arial"/>
          <w:sz w:val="22"/>
          <w:szCs w:val="22"/>
        </w:rPr>
        <w:t xml:space="preserve">Oracle Cloud Infrastructure Object Storage serves as the primary data lake. This scalable, non-relational storage layer handles both raw CSV files and processed Parquet outputs from Spark, organized into logical layers via folder prefixes within the stocks-bigdata-project bucket.</w:t>
      </w:r>
    </w:p>
    <w:p>
      <w:pPr>
        <w:spacing w:after="120"/>
      </w:pPr>
      <w:r>
        <w:t xml:space="preserve"/>
      </w:r>
    </w:p>
    <w:p>
      <w:pPr>
        <w:pStyle w:val="Heading2"/>
        <w:spacing w:after="120" w:before="240"/>
      </w:pPr>
      <w:r>
        <w:rPr>
          <w:rFonts w:ascii="Arial" w:cs="Arial" w:eastAsia="Arial" w:hAnsi="Arial"/>
          <w:b/>
          <w:bCs/>
          <w:color w:val="2E75B6"/>
          <w:sz w:val="24"/>
          <w:szCs w:val="24"/>
        </w:rPr>
        <w:t xml:space="preserve">5.2 SQLite Relational Database (Analytical Layer)</w:t>
      </w:r>
    </w:p>
    <w:p>
      <w:pPr>
        <w:spacing w:after="160"/>
      </w:pPr>
      <w:r>
        <w:rPr>
          <w:rFonts w:ascii="Arial" w:cs="Arial" w:eastAsia="Arial" w:hAnsi="Arial"/>
          <w:sz w:val="22"/>
          <w:szCs w:val="22"/>
        </w:rPr>
        <w:t xml:space="preserve">SQLite serves as the relational analytical layer. It is a fully ACID-compliant relational database supporting standard SQL, table creation, joins, and structured reporting queries. MySQL HeatWave was also provisioned on OCI as a secondary cloud database system. The SQLite database contains 5 tables following a star schema design: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fact_daily_prices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Fact</w:t>
            </w:r>
          </w:p>
        </w:tc>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619,040</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Daily OHLCV prices with daily_return and price_range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fact_aggregated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aggregations: avg_close, volatility, total_volume per ticker</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sector_analysis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Dimension</w:t>
            </w:r>
          </w:p>
        </w:tc>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9</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Sector-level JOIN results: avg return, volatility, total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ml_predictions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6,445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Prophet forecasts: predicted_close, lower/upper bounds per ticker</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streaming_results</w:t>
            </w:r>
          </w:p>
        </w:tc>
        <w:tc>
          <w:tcPr>
            <w:tcW w:type="dxa" w:w="1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Fact</w:t>
            </w:r>
          </w:p>
        </w:tc>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Variable</w:t>
            </w:r>
          </w:p>
        </w:tc>
        <w:tc>
          <w:tcPr>
            <w:tcW w:type="dxa" w:w="4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Output from Spark Structured Streaming micro-batches</w:t>
            </w:r>
          </w:p>
        </w:tc>
      </w:tr>
    </w:tbl>
    <w:p>
      <w:r>
        <w:br w:type="page"/>
      </w:r>
    </w:p>
    <w:p>
      <w:pPr>
        <w:pStyle w:val="Heading1"/>
        <w:spacing w:after="160" w:before="320"/>
      </w:pPr>
      <w:r>
        <w:rPr>
          <w:rFonts w:ascii="Arial" w:cs="Arial" w:eastAsia="Arial" w:hAnsi="Arial"/>
          <w:b/>
          <w:bCs/>
          <w:color w:val="1F4E79"/>
          <w:sz w:val="28"/>
          <w:szCs w:val="28"/>
        </w:rPr>
        <w:t xml:space="preserve">6. Batch Processing with PySpark</w:t>
      </w:r>
    </w:p>
    <w:p>
      <w:pPr>
        <w:spacing w:after="160"/>
      </w:pPr>
      <w:r>
        <w:rPr>
          <w:rFonts w:ascii="Arial" w:cs="Arial" w:eastAsia="Arial" w:hAnsi="Arial"/>
          <w:sz w:val="22"/>
          <w:szCs w:val="22"/>
        </w:rPr>
        <w:t xml:space="preserve">Apache Spark (PySpark) was used for all major data transformations. The Spark session ran locally with multi-core execution and 2GB driver memory. The batch processing pipeline covered all required operations from the rubric: cleaning, transformations, joins, aggregations, and feature generation.</w:t>
      </w:r>
    </w:p>
    <w:p>
      <w:pPr>
        <w:spacing w:after="120"/>
      </w:pPr>
      <w:r>
        <w:t xml:space="preserve"/>
      </w:r>
    </w:p>
    <w:p>
      <w:pPr>
        <w:pStyle w:val="Heading2"/>
        <w:spacing w:after="120" w:before="240"/>
      </w:pPr>
      <w:r>
        <w:rPr>
          <w:rFonts w:ascii="Arial" w:cs="Arial" w:eastAsia="Arial" w:hAnsi="Arial"/>
          <w:b/>
          <w:bCs/>
          <w:color w:val="2E75B6"/>
          <w:sz w:val="24"/>
          <w:szCs w:val="24"/>
        </w:rPr>
        <w:t xml:space="preserve">6.1 Data Cleaning</w:t>
      </w:r>
    </w:p>
    <w:p>
      <w:pPr>
        <w:pStyle w:val="ListParagraph"/>
        <w:numPr>
          <w:ilvl w:val="0"/>
          <w:numId w:val="2"/>
        </w:numPr>
        <w:spacing w:after="80"/>
      </w:pPr>
      <w:r>
        <w:rPr>
          <w:rFonts w:ascii="Arial" w:cs="Arial" w:eastAsia="Arial" w:hAnsi="Arial"/>
          <w:sz w:val="22"/>
          <w:szCs w:val="22"/>
        </w:rPr>
        <w:t xml:space="preserve">Loaded all_stocks_5yr.csv using Spark CSV reader with schema inference — 619,040 rows.</w:t>
      </w:r>
    </w:p>
    <w:p>
      <w:pPr>
        <w:pStyle w:val="ListParagraph"/>
        <w:numPr>
          <w:ilvl w:val="0"/>
          <w:numId w:val="2"/>
        </w:numPr>
        <w:spacing w:after="80"/>
      </w:pPr>
      <w:r>
        <w:rPr>
          <w:rFonts w:ascii="Arial" w:cs="Arial" w:eastAsia="Arial" w:hAnsi="Arial"/>
          <w:sz w:val="22"/>
          <w:szCs w:val="22"/>
        </w:rPr>
        <w:t xml:space="preserve">Applied dropna() on critical columns (close, volume, open) to remove incomplete records.</w:t>
      </w:r>
    </w:p>
    <w:p>
      <w:pPr>
        <w:pStyle w:val="ListParagraph"/>
        <w:numPr>
          <w:ilvl w:val="0"/>
          <w:numId w:val="2"/>
        </w:numPr>
        <w:spacing w:after="80"/>
      </w:pPr>
      <w:r>
        <w:rPr>
          <w:rFonts w:ascii="Arial" w:cs="Arial" w:eastAsia="Arial" w:hAnsi="Arial"/>
          <w:sz w:val="22"/>
          <w:szCs w:val="22"/>
        </w:rPr>
        <w:t xml:space="preserve">Filtered rows with zero or negative price/volume values.</w:t>
      </w:r>
    </w:p>
    <w:p>
      <w:pPr>
        <w:pStyle w:val="ListParagraph"/>
        <w:numPr>
          <w:ilvl w:val="0"/>
          <w:numId w:val="2"/>
        </w:numPr>
        <w:spacing w:after="80"/>
      </w:pPr>
      <w:r>
        <w:rPr>
          <w:rFonts w:ascii="Arial" w:cs="Arial" w:eastAsia="Arial" w:hAnsi="Arial"/>
          <w:sz w:val="22"/>
          <w:szCs w:val="22"/>
        </w:rPr>
        <w:t xml:space="preserve">Parsed the date column to proper DateType for time-series operations.</w:t>
      </w:r>
    </w:p>
    <w:p>
      <w:pPr>
        <w:spacing w:after="120"/>
      </w:pPr>
      <w:r>
        <w:t xml:space="preserve"/>
      </w:r>
    </w:p>
    <w:p>
      <w:pPr>
        <w:pStyle w:val="Heading2"/>
        <w:spacing w:after="120" w:before="240"/>
      </w:pPr>
      <w:r>
        <w:rPr>
          <w:rFonts w:ascii="Arial" w:cs="Arial" w:eastAsia="Arial" w:hAnsi="Arial"/>
          <w:b/>
          <w:bCs/>
          <w:color w:val="2E75B6"/>
          <w:sz w:val="24"/>
          <w:szCs w:val="24"/>
        </w:rPr>
        <w:t xml:space="preserve">6.2 Feature Engineering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daily_return</w:t>
            </w:r>
          </w:p>
        </w:tc>
        <w:tc>
          <w:tcPr>
            <w:tcW w:type="dxa" w:w="3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(close - open) / open * 100</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Measures intraday price change as a percentage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price_range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Captures intraday volatility spread</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year / month</w:t>
            </w:r>
          </w:p>
        </w:tc>
        <w:tc>
          <w:tcPr>
            <w:tcW w:type="dxa" w:w="3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Extracted from date column</w:t>
            </w:r>
          </w:p>
        </w:tc>
        <w:tc>
          <w:tcPr>
            <w:tcW w:type="dxa" w:w="3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Enables time-based grouping and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month_year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YYYY-MM string format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as the time dimension in aggregations</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6.3 JOIN — Sector Enrichment</w:t>
      </w:r>
    </w:p>
    <w:p>
      <w:pPr>
        <w:spacing w:after="160"/>
      </w:pPr>
      <w:r>
        <w:rPr>
          <w:rFonts w:ascii="Arial" w:cs="Arial" w:eastAsia="Arial" w:hAnsi="Arial"/>
          <w:sz w:val="22"/>
          <w:szCs w:val="22"/>
        </w:rPr>
        <w:t xml:space="preserve">A PySpark JOIN was performed between the stock price data and a sector metadata DataFrame to enrich records with industry classification. This enables sector-level analysis of market behavior: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Daily Return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Volatility</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Volume</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Technology</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+0.0281%</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305.40</w:t>
            </w:r>
          </w:p>
        </w:tc>
        <w:tc>
          <w:tcPr>
            <w:tcW w:type="dxa" w:w="2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113.8B shares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Discretionary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345.11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48.1B shares</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Financials</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+0.0131%</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27.54</w:t>
            </w:r>
          </w:p>
        </w:tc>
        <w:tc>
          <w:tcPr>
            <w:tcW w:type="dxa" w:w="2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138.8B shares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Staples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38.9B shares</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+0.0070%</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26.22</w:t>
            </w:r>
          </w:p>
        </w:tc>
        <w:tc>
          <w:tcPr>
            <w:tcW w:type="dxa" w:w="2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61.7B shares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53.0B shares</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Energy</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+0.0223%</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6.96</w:t>
            </w:r>
          </w:p>
        </w:tc>
        <w:tc>
          <w:tcPr>
            <w:tcW w:type="dxa" w:w="2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15.6B shares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16.19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9.6B shares</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6.4 Aggregations</w:t>
      </w:r>
    </w:p>
    <w:p>
      <w:pPr>
        <w:spacing w:after="160"/>
      </w:pPr>
      <w:r>
        <w:rPr>
          <w:rFonts w:ascii="Arial" w:cs="Arial" w:eastAsia="Arial" w:hAnsi="Arial"/>
          <w:sz w:val="22"/>
          <w:szCs w:val="22"/>
        </w:rPr>
        <w:t xml:space="preserve">Monthly aggregations were computed per ticker producing 30,012 rows across the 5-year period with: average closing price, price volatility (standard deviation), average daily return, total trading volume, maximum high, and minimum low. Results saved as Parquet to OCI processed/ layer.</w:t>
      </w:r>
    </w:p>
    <w:p>
      <w:r>
        <w:br w:type="page"/>
      </w:r>
    </w:p>
    <w:p>
      <w:pPr>
        <w:pStyle w:val="Heading1"/>
        <w:spacing w:after="160" w:before="320"/>
      </w:pPr>
      <w:r>
        <w:rPr>
          <w:rFonts w:ascii="Arial" w:cs="Arial" w:eastAsia="Arial" w:hAnsi="Arial"/>
          <w:b/>
          <w:bCs/>
          <w:color w:val="1F4E79"/>
          <w:sz w:val="28"/>
          <w:szCs w:val="28"/>
        </w:rPr>
        <w:t xml:space="preserve">7. Streaming / Incremental Processing</w:t>
      </w:r>
    </w:p>
    <w:p>
      <w:pPr>
        <w:spacing w:after="160"/>
      </w:pPr>
      <w:r>
        <w:rPr>
          <w:rFonts w:ascii="Arial" w:cs="Arial" w:eastAsia="Arial" w:hAnsi="Arial"/>
          <w:sz w:val="22"/>
          <w:szCs w:val="22"/>
        </w:rPr>
        <w:t xml:space="preserve">A streaming simulation was implemented using Spark Structured Streaming to demonstrate incremental stock data processing. The architecture follows a micro-batch pattern where new data files arrive in a monitored folder and are processed incrementally every 5 seconds.</w:t>
      </w:r>
    </w:p>
    <w:p>
      <w:pPr>
        <w:spacing w:after="120"/>
      </w:pPr>
      <w:r>
        <w:t xml:space="preserve"/>
      </w:r>
    </w:p>
    <w:p>
      <w:pPr>
        <w:pStyle w:val="Heading2"/>
        <w:spacing w:after="120" w:before="240"/>
      </w:pPr>
      <w:r>
        <w:rPr>
          <w:rFonts w:ascii="Arial" w:cs="Arial" w:eastAsia="Arial" w:hAnsi="Arial"/>
          <w:b/>
          <w:bCs/>
          <w:color w:val="2E75B6"/>
          <w:sz w:val="24"/>
          <w:szCs w:val="24"/>
        </w:rPr>
        <w:t xml:space="preserve">7.1 Streaming Implementation</w:t>
      </w:r>
    </w:p>
    <w:p>
      <w:pPr>
        <w:pStyle w:val="ListParagraph"/>
        <w:numPr>
          <w:ilvl w:val="0"/>
          <w:numId w:val="2"/>
        </w:numPr>
        <w:spacing w:after="80"/>
      </w:pPr>
      <w:r>
        <w:rPr>
          <w:rFonts w:ascii="Arial" w:cs="Arial" w:eastAsia="Arial" w:hAnsi="Arial"/>
          <w:sz w:val="22"/>
          <w:szCs w:val="22"/>
        </w:rPr>
        <w:t xml:space="preserve">Clean dataset split into 5 equal batches (~123,808 rows each) written as CSV files to stream_input/.</w:t>
      </w:r>
    </w:p>
    <w:p>
      <w:pPr>
        <w:pStyle w:val="ListParagraph"/>
        <w:numPr>
          <w:ilvl w:val="0"/>
          <w:numId w:val="2"/>
        </w:numPr>
        <w:spacing w:after="80"/>
      </w:pPr>
      <w:r>
        <w:rPr>
          <w:rFonts w:ascii="Arial" w:cs="Arial" w:eastAsia="Arial" w:hAnsi="Arial"/>
          <w:sz w:val="22"/>
          <w:szCs w:val="22"/>
        </w:rPr>
        <w:t xml:space="preserve">Spark Structured Streaming monitored the folder using a predefined schema with automatic file detection.</w:t>
      </w:r>
    </w:p>
    <w:p>
      <w:pPr>
        <w:pStyle w:val="ListParagraph"/>
        <w:numPr>
          <w:ilvl w:val="0"/>
          <w:numId w:val="2"/>
        </w:numPr>
        <w:spacing w:after="80"/>
      </w:pPr>
      <w:r>
        <w:rPr>
          <w:rFonts w:ascii="Arial" w:cs="Arial" w:eastAsia="Arial" w:hAnsi="Arial"/>
          <w:sz w:val="22"/>
          <w:szCs w:val="22"/>
        </w:rPr>
        <w:t xml:space="preserve">Processing triggered every 5 seconds using processingTime trigger with append output mode.</w:t>
      </w:r>
    </w:p>
    <w:p>
      <w:pPr>
        <w:pStyle w:val="ListParagraph"/>
        <w:numPr>
          <w:ilvl w:val="0"/>
          <w:numId w:val="2"/>
        </w:numPr>
        <w:spacing w:after="80"/>
      </w:pPr>
      <w:r>
        <w:rPr>
          <w:rFonts w:ascii="Arial" w:cs="Arial" w:eastAsia="Arial" w:hAnsi="Arial"/>
          <w:sz w:val="22"/>
          <w:szCs w:val="22"/>
        </w:rPr>
        <w:t xml:space="preserve">Query ran for 20 seconds producing 8 output part-files in stream_output/.</w:t>
      </w:r>
    </w:p>
    <w:p>
      <w:pPr>
        <w:pStyle w:val="ListParagraph"/>
        <w:numPr>
          <w:ilvl w:val="0"/>
          <w:numId w:val="2"/>
        </w:numPr>
        <w:spacing w:after="80"/>
      </w:pPr>
      <w:r>
        <w:rPr>
          <w:rFonts w:ascii="Arial" w:cs="Arial" w:eastAsia="Arial" w:hAnsi="Arial"/>
          <w:sz w:val="22"/>
          <w:szCs w:val="22"/>
        </w:rPr>
        <w:t xml:space="preserve">Results include: date, OHLCV data, ticker symbol, and processing timestamp.</w:t>
      </w:r>
    </w:p>
    <w:p>
      <w:pPr>
        <w:pStyle w:val="ListParagraph"/>
        <w:numPr>
          <w:ilvl w:val="0"/>
          <w:numId w:val="2"/>
        </w:numPr>
        <w:spacing w:after="80"/>
      </w:pPr>
      <w:r>
        <w:rPr>
          <w:rFonts w:ascii="Arial" w:cs="Arial" w:eastAsia="Arial" w:hAnsi="Arial"/>
          <w:sz w:val="22"/>
          <w:szCs w:val="22"/>
        </w:rPr>
        <w:t xml:space="preserve">Streaming output saved to SQLite streaming_results table for downstream analysis.</w:t>
      </w:r>
    </w:p>
    <w:p>
      <w:pPr>
        <w:spacing w:after="120"/>
      </w:pPr>
      <w:r>
        <w:t xml:space="preserve"/>
      </w:r>
    </w:p>
    <w:p>
      <w:pPr>
        <w:pStyle w:val="Heading2"/>
        <w:spacing w:after="120" w:before="240"/>
      </w:pPr>
      <w:r>
        <w:rPr>
          <w:rFonts w:ascii="Arial" w:cs="Arial" w:eastAsia="Arial" w:hAnsi="Arial"/>
          <w:b/>
          <w:bCs/>
          <w:color w:val="2E75B6"/>
          <w:sz w:val="24"/>
          <w:szCs w:val="24"/>
        </w:rPr>
        <w:t xml:space="preserve">7.2 Streaming Output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2500"/>
        <w:gridCol w:w="23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Close ($)</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Timestamp</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VZ</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2014-02-24</w:t>
            </w:r>
          </w:p>
        </w:tc>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46.23</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618,237,630</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2026-04-07 19:40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2015-11-17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431,332,632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2026-04-07 19:40</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BAC</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2016-02-11</w:t>
            </w:r>
          </w:p>
        </w:tc>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11.16</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375,088,650</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2026-04-07 19:40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2013-07-25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34.36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365,380,568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2026-04-07 19:40</w:t>
            </w:r>
          </w:p>
        </w:tc>
      </w:tr>
      <w:tr>
        <w:tc>
          <w:tcPr>
            <w:tcW w:type="dxa" w:w="1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GE</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2015-04-10</w:t>
            </w:r>
          </w:p>
        </w:tc>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28.51</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352,701,949</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2026-04-07 19:40</w:t>
            </w:r>
          </w:p>
        </w:tc>
      </w:tr>
    </w:tbl>
    <w:p>
      <w:r>
        <w:br w:type="page"/>
      </w:r>
    </w:p>
    <w:p>
      <w:pPr>
        <w:pStyle w:val="Heading1"/>
        <w:spacing w:after="160" w:before="320"/>
      </w:pPr>
      <w:r>
        <w:rPr>
          <w:rFonts w:ascii="Arial" w:cs="Arial" w:eastAsia="Arial" w:hAnsi="Arial"/>
          <w:b/>
          <w:bCs/>
          <w:color w:val="1F4E79"/>
          <w:sz w:val="28"/>
          <w:szCs w:val="28"/>
        </w:rPr>
        <w:t xml:space="preserve">8. Analytical Data Model</w:t>
      </w:r>
    </w:p>
    <w:p>
      <w:pPr>
        <w:spacing w:after="160"/>
      </w:pPr>
      <w:r>
        <w:rPr>
          <w:rFonts w:ascii="Arial" w:cs="Arial" w:eastAsia="Arial" w:hAnsi="Arial"/>
          <w:sz w:val="22"/>
          <w:szCs w:val="22"/>
        </w:rPr>
        <w:t xml:space="preserve">The analytical layer uses a SQLite relational database with a star schema design. All 5 tables were populated from PySpark DataFrames using Pandas as the bridge layer. The schema supports efficient querying for reporting, dashboard generation, and ML prediction storage.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Populated From</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fact_daily_prices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date + ticker</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open, high, low, close, volume, daily_return, price_range</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PySpark df_transformed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fact_aggregated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 + month_year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avg_close, volatility, avg_daily_return, total_volume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PySpark monthly_agg</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sector_analysis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sector</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avg_daily_return, avg_volatility, total_volume</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PySpark JOIN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ml_predictions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ticker +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predicted_close, lower_bound, upper_bound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Prophet model output</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streaming_results</w:t>
            </w:r>
          </w:p>
        </w:tc>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ticker + timestamp</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close, volume, timestamp</w:t>
            </w:r>
          </w:p>
        </w:tc>
        <w:tc>
          <w:tcPr>
            <w:tcW w:type="dxa" w:w="2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Spark Structured Streaming</w:t>
            </w:r>
          </w:p>
        </w:tc>
      </w:tr>
    </w:tbl>
    <w:p>
      <w:r>
        <w:br w:type="page"/>
      </w:r>
    </w:p>
    <w:p>
      <w:pPr>
        <w:pStyle w:val="Heading1"/>
        <w:spacing w:after="160" w:before="320"/>
      </w:pPr>
      <w:r>
        <w:rPr>
          <w:rFonts w:ascii="Arial" w:cs="Arial" w:eastAsia="Arial" w:hAnsi="Arial"/>
          <w:b/>
          <w:bCs/>
          <w:color w:val="1F4E79"/>
          <w:sz w:val="28"/>
          <w:szCs w:val="28"/>
        </w:rPr>
        <w:t xml:space="preserve">9. Visualization and Insights</w:t>
      </w:r>
    </w:p>
    <w:p>
      <w:pPr>
        <w:spacing w:after="160"/>
      </w:pPr>
      <w:r>
        <w:rPr>
          <w:rFonts w:ascii="Arial" w:cs="Arial" w:eastAsia="Arial" w:hAnsi="Arial"/>
          <w:sz w:val="22"/>
          <w:szCs w:val="22"/>
        </w:rPr>
        <w:t xml:space="preserve">Four visualizations were generated using Matplotlib forming a comprehensive S&amp;P 500 analysis dashboard. Each chart targets a different analytical dimension of the dataset.</w:t>
      </w:r>
    </w:p>
    <w:p>
      <w:pPr>
        <w:spacing w:after="120"/>
      </w:pPr>
      <w:r>
        <w:t xml:space="preserve"/>
      </w:r>
    </w:p>
    <w:p>
      <w:pPr>
        <w:spacing w:after="80" w:before="160"/>
        <w:jc w:val="center"/>
      </w:pPr>
      <w:r>
        <w:drawing>
          <wp:inline distT="0" distB="0" distL="0" distR="0">
            <wp:extent cx="5334000" cy="3619500"/>
            <wp:effectExtent t="0" r="0" b="0" l="0"/>
            <wp:docPr id="1" name="Figure 3 — S&amp;P 500 Stock Market Analysis Dashboard (4 charts)" descr="Figure 3 — S&amp;P 500 Stock Market Analysis Dashboard (4 charts)" title="Figure 3 — S&amp;P 500 Stock Market Analysis Dashboard (4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S&amp;P 500 Stock Market Analysis Dashboard (4 charts)</w:t>
      </w:r>
    </w:p>
    <w:p>
      <w:pPr>
        <w:pStyle w:val="Heading2"/>
        <w:spacing w:after="120" w:before="240"/>
      </w:pPr>
      <w:r>
        <w:rPr>
          <w:rFonts w:ascii="Arial" w:cs="Arial" w:eastAsia="Arial" w:hAnsi="Arial"/>
          <w:b/>
          <w:bCs/>
          <w:color w:val="2E75B6"/>
          <w:sz w:val="24"/>
          <w:szCs w:val="24"/>
        </w:rPr>
        <w:t xml:space="preserve">9.1 Insights, Explanations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Insight (What)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Explanation (Why)</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 (Action)</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Volatility ranking</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PCLN leads at 320.5 std dev</w:t>
            </w:r>
          </w:p>
        </w:tc>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Booking/travel stocks are hyper-sensitive to macro events and consumer confidence</w:t>
            </w:r>
          </w:p>
        </w:tc>
        <w:tc>
          <w:tcPr>
            <w:tcW w:type="dxa" w:w="2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Limit PCLN to &lt;5% of portfolio; use as speculative position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avg 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PCLN averages $1,312/share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never split shares; price reflects 5 years of compounding growth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alone doesn't indicate value — evaluate P/E ratio alongside price</w:t>
            </w:r>
          </w:p>
        </w:tc>
      </w:tr>
      <w:tr>
        <w:tc>
          <w:tcPr>
            <w:tcW w:type="dxa" w:w="1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Trading volume</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BAC leads at 118B shares</w:t>
            </w:r>
          </w:p>
        </w:tc>
        <w:tc>
          <w:tcPr>
            <w:tcW w:type="dxa" w:w="2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Large-cap bank stocks are core holdings in ETFs and institutional portfolios, driving constant volume</w:t>
            </w:r>
          </w:p>
        </w:tc>
        <w:tc>
          <w:tcPr>
            <w:tcW w:type="dxa" w:w="2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Use BAC volume as a financial sector sentiment 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AAPL monthly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183% price growth 2013-2018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iPhone revenue growth, services expansion, and share buybacks drove sustained appreciation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mega-caps remain strong long-term buy-and-hold candidates</w:t>
            </w:r>
          </w:p>
        </w:tc>
      </w:tr>
    </w:tbl>
    <w:p>
      <w:pPr>
        <w:spacing w:after="120"/>
      </w:pPr>
      <w:r>
        <w:t xml:space="preserve"/>
      </w:r>
    </w:p>
    <w:p>
      <w:pPr>
        <w:pStyle w:val="Heading2"/>
        <w:spacing w:after="120" w:before="240"/>
      </w:pPr>
      <w:r>
        <w:rPr>
          <w:rFonts w:ascii="Arial" w:cs="Arial" w:eastAsia="Arial" w:hAnsi="Arial"/>
          <w:b/>
          <w:bCs/>
          <w:color w:val="2E75B6"/>
          <w:sz w:val="24"/>
          <w:szCs w:val="24"/>
        </w:rPr>
        <w:t xml:space="preserve">9.2 Sector Analysis Insights (from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Sector finding</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Insight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Technology has highest volatility (305)</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Growth stocks are sensitive to earnings and innovation cycles</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Use tech as growth allocation; hedge with stable sectors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Staples has best avg return (+0.034%)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Defensive stocks outperform on a risk-adjusted basis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Consumer Staples for income-focused portfolios</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Industrials most stable (volatility 3.3)</w:t>
            </w:r>
          </w:p>
        </w:tc>
        <w:tc>
          <w:tcPr>
            <w:tcW w:type="dxa" w:w="3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Industrial companies have predictable cash flows</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Use industrials as portfolio stabilizer during market turbulence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Financials highest total volume (138B shares)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Banks are core holdings in most institutional portfolios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financial sector volume as a broad market health indicator</w:t>
            </w:r>
          </w:p>
        </w:tc>
      </w:tr>
    </w:tbl>
    <w:p>
      <w:r>
        <w:br w:type="page"/>
      </w:r>
    </w:p>
    <w:p>
      <w:pPr>
        <w:pStyle w:val="Heading1"/>
        <w:spacing w:after="160" w:before="320"/>
      </w:pPr>
      <w:r>
        <w:rPr>
          <w:rFonts w:ascii="Arial" w:cs="Arial" w:eastAsia="Arial" w:hAnsi="Arial"/>
          <w:b/>
          <w:bCs/>
          <w:color w:val="1F4E79"/>
          <w:sz w:val="28"/>
          <w:szCs w:val="28"/>
        </w:rPr>
        <w:t xml:space="preserve">10. AI / Advanced Analytics Component</w:t>
      </w:r>
    </w:p>
    <w:p>
      <w:pPr>
        <w:spacing w:after="160"/>
      </w:pPr>
      <w:r>
        <w:rPr>
          <w:rFonts w:ascii="Arial" w:cs="Arial" w:eastAsia="Arial" w:hAnsi="Arial"/>
          <w:sz w:val="22"/>
          <w:szCs w:val="22"/>
        </w:rPr>
        <w:t xml:space="preserve">Facebook Prophet, a time-series forecasting library developed for business use, was applied to forecast 30 days of future closing prices for 5 selected S&amp;P 500 tickers. Prophet handles trend changes, seasonality, and holiday effects automatically, making it well suited for stock price prediction.</w:t>
      </w:r>
    </w:p>
    <w:p>
      <w:pPr>
        <w:spacing w:after="120"/>
      </w:pPr>
      <w:r>
        <w:t xml:space="preserve"/>
      </w:r>
    </w:p>
    <w:p>
      <w:pPr>
        <w:pStyle w:val="Heading2"/>
        <w:spacing w:after="120" w:before="240"/>
      </w:pPr>
      <w:r>
        <w:rPr>
          <w:rFonts w:ascii="Arial" w:cs="Arial" w:eastAsia="Arial" w:hAnsi="Arial"/>
          <w:b/>
          <w:bCs/>
          <w:color w:val="2E75B6"/>
          <w:sz w:val="24"/>
          <w:szCs w:val="24"/>
        </w:rPr>
        <w:t xml:space="preserve">10.1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Model</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Facebook Prophet</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Handles trend changes and seasonality automatically without tuning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window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2013-02-08 to 2018-02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5-year window to capture long-term trends and cycles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Forecast horizon</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30 days</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Short-term prediction window useful for active trading signals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 Yearly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Markets have weekly trading patterns and annual reporting cycles</w:t>
            </w:r>
          </w:p>
        </w:tc>
      </w:tr>
      <w:tr>
        <w:tc>
          <w:tcPr>
            <w:tcW w:type="dxa" w:w="22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Tickers</w:t>
            </w:r>
          </w:p>
        </w:tc>
        <w:tc>
          <w:tcPr>
            <w:tcW w:type="dxa" w:w="3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AAPL, MSFT, GOOGL, BAC, GE</w:t>
            </w:r>
          </w:p>
        </w:tc>
        <w:tc>
          <w:tcPr>
            <w:tcW w:type="dxa" w:w="4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Covers tech, finance, and industrial sectors for variety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6,445 prediction rows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Predictions with lower/upper confidence bounds stored in SQLite</w:t>
            </w:r>
          </w:p>
        </w:tc>
      </w:tr>
    </w:tbl>
    <w:p>
      <w:pPr>
        <w:spacing w:after="120"/>
      </w:pPr>
      <w:r>
        <w:t xml:space="preserve"/>
      </w:r>
    </w:p>
    <w:p>
      <w:pPr>
        <w:spacing w:after="80" w:before="160"/>
        <w:jc w:val="center"/>
      </w:pPr>
      <w:r>
        <w:drawing>
          <wp:inline distT="0" distB="0" distL="0" distR="0">
            <wp:extent cx="5334000" cy="3429000"/>
            <wp:effectExtent t="0" r="0" b="0" l="0"/>
            <wp:docPr id="1" name="Figure 4 — Price forecasts with 95% confidence intervals (Prophet model)" descr="Figure 4 — Price forecasts with 95% confidence intervals (Prophet model)" title="Figure 4 — Price forecasts with 95% confidence intervals (Prophe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 Price forecasts with 95% confidence intervals (Prophet model)</w:t>
      </w:r>
    </w:p>
    <w:p>
      <w:pPr>
        <w:pStyle w:val="Heading2"/>
        <w:spacing w:after="120" w:before="240"/>
      </w:pPr>
      <w:r>
        <w:rPr>
          <w:rFonts w:ascii="Arial" w:cs="Arial" w:eastAsia="Arial" w:hAnsi="Arial"/>
          <w:b/>
          <w:bCs/>
          <w:color w:val="2E75B6"/>
          <w:sz w:val="24"/>
          <w:szCs w:val="24"/>
        </w:rPr>
        <w:t xml:space="preserve">10.2 Forecast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Avg Predicted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Last Predicted Close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Trend Observed</w:t>
            </w:r>
          </w:p>
        </w:tc>
      </w:tr>
      <w:tr>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AAPL</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$110.77</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$180+</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Strong upward — 183% gain over 5 years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$51.97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growth trajectory</w:t>
            </w:r>
          </w:p>
        </w:tc>
      </w:tr>
      <w:tr>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GOOGL</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$692.57</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$1,100+</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Strong upward — tech growth premium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Post-2016 recovery trend</w:t>
            </w:r>
          </w:p>
        </w:tc>
      </w:tr>
      <w:tr>
        <w:tc>
          <w:tcPr>
            <w:tcW w:type="dxa" w:w="1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GE</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$26.27</w:t>
            </w:r>
          </w:p>
        </w:tc>
        <w:tc>
          <w:tcPr>
            <w:tcW w:type="dxa" w:w="2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$15.61</w:t>
            </w:r>
          </w:p>
        </w:tc>
        <w:tc>
          <w:tcPr>
            <w:tcW w:type="dxa" w:w="3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Sharp decline from 2017 peak — correctly captured</w:t>
            </w:r>
          </w:p>
        </w:tc>
      </w:tr>
    </w:tbl>
    <w:p>
      <w:pPr>
        <w:spacing w:after="120"/>
      </w:pPr>
      <w:r>
        <w:t xml:space="preserve"/>
      </w:r>
    </w:p>
    <w:p>
      <w:pPr>
        <w:spacing w:after="160"/>
      </w:pPr>
      <w:r>
        <w:rPr>
          <w:rFonts w:ascii="Arial" w:cs="Arial" w:eastAsia="Arial" w:hAnsi="Arial"/>
          <w:sz w:val="22"/>
          <w:szCs w:val="22"/>
        </w:rPr>
        <w:t xml:space="preserve">The GE forecast demonstrates the model's strength — it correctly identified and extended the sharp decline beginning in late 2017, reflecting the company's operational challenges and dividend cuts. This kind of anomaly detection embedded in forecasting is a key value for risk management.</w:t>
      </w:r>
    </w:p>
    <w:p>
      <w:r>
        <w:br w:type="page"/>
      </w:r>
    </w:p>
    <w:p>
      <w:pPr>
        <w:pStyle w:val="Heading1"/>
        <w:spacing w:after="160" w:before="320"/>
      </w:pPr>
      <w:r>
        <w:rPr>
          <w:rFonts w:ascii="Arial" w:cs="Arial" w:eastAsia="Arial" w:hAnsi="Arial"/>
          <w:b/>
          <w:bCs/>
          <w:color w:val="1F4E79"/>
          <w:sz w:val="28"/>
          <w:szCs w:val="28"/>
        </w:rPr>
        <w:t xml:space="preserve">11. Challenges and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Solution Implemented</w:t>
            </w:r>
          </w:p>
        </w:tc>
      </w:tr>
      <w:tr>
        <w:tc>
          <w:tcPr>
            <w:tcW w:type="dxa" w:w="3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OCI Cloud Shell blocks pip installs (no internet)</w:t>
            </w:r>
          </w:p>
        </w:tc>
        <w:tc>
          <w:tcPr>
            <w:tcW w:type="dxa" w:w="58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Ran PySpark locally on Mac with Jupyter; uploaded results to OCI via CLI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HeatWave requires VCN and subnet setup</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SQLite as primary relational DB; MySQL provisioned as secondary cloud DB</w:t>
            </w:r>
          </w:p>
        </w:tc>
      </w:tr>
      <w:tr>
        <w:tc>
          <w:tcPr>
            <w:tcW w:type="dxa" w:w="3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Spark Structured Streaming: 'complete' mode incompatible with CSV</w:t>
            </w:r>
          </w:p>
        </w:tc>
        <w:tc>
          <w:tcPr>
            <w:tcW w:type="dxa" w:w="58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Switched to 'append' output mode — natively supported by CSV sink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OCI CLI authentication: key_file path missing in config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~/.oci/config with correct private key path after API key upload</w:t>
            </w:r>
          </w:p>
        </w:tc>
      </w:tr>
      <w:tr>
        <w:tc>
          <w:tcPr>
            <w:tcW w:type="dxa" w:w="35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Browser UI blocks folder uploads to OCI</w:t>
            </w:r>
          </w:p>
        </w:tc>
        <w:tc>
          <w:tcPr>
            <w:tcW w:type="dxa" w:w="58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rPr>
                <w:rFonts w:ascii="Arial" w:cs="Arial" w:eastAsia="Arial" w:hAnsi="Arial"/>
                <w:sz w:val="20"/>
                <w:szCs w:val="20"/>
              </w:rPr>
              <w:t xml:space="preserve">Used oci os object bulk-upload CLI command for batch folder uploads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individual_stocks_5yr/ nested subfolder issue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pandas path resolution using os.listdir with .csv filter</w:t>
            </w:r>
          </w:p>
        </w:tc>
      </w:tr>
    </w:tbl>
    <w:p>
      <w:r>
        <w:br w:type="page"/>
      </w:r>
    </w:p>
    <w:p>
      <w:pPr>
        <w:pStyle w:val="Heading1"/>
        <w:spacing w:after="160" w:before="320"/>
      </w:pPr>
      <w:r>
        <w:rPr>
          <w:rFonts w:ascii="Arial" w:cs="Arial" w:eastAsia="Arial" w:hAnsi="Arial"/>
          <w:b/>
          <w:bCs/>
          <w:color w:val="1F4E79"/>
          <w:sz w:val="28"/>
          <w:szCs w:val="28"/>
        </w:rPr>
        <w:t xml:space="preserve">12. Conclusions and Recommendations</w:t>
      </w:r>
    </w:p>
    <w:p>
      <w:pPr>
        <w:spacing w:after="120"/>
      </w:pPr>
      <w:r>
        <w:t xml:space="preserve"/>
      </w:r>
    </w:p>
    <w:p>
      <w:pPr>
        <w:pStyle w:val="Heading2"/>
        <w:spacing w:after="120" w:before="240"/>
      </w:pPr>
      <w:r>
        <w:rPr>
          <w:rFonts w:ascii="Arial" w:cs="Arial" w:eastAsia="Arial" w:hAnsi="Arial"/>
          <w:b/>
          <w:bCs/>
          <w:color w:val="2E75B6"/>
          <w:sz w:val="24"/>
          <w:szCs w:val="24"/>
        </w:rPr>
        <w:t xml:space="preserve">12.1 Project Conclusions</w:t>
      </w:r>
    </w:p>
    <w:p>
      <w:pPr>
        <w:pStyle w:val="ListParagraph"/>
        <w:numPr>
          <w:ilvl w:val="0"/>
          <w:numId w:val="2"/>
        </w:numPr>
        <w:spacing w:after="80"/>
      </w:pPr>
      <w:r>
        <w:rPr>
          <w:rFonts w:ascii="Arial" w:cs="Arial" w:eastAsia="Arial" w:hAnsi="Arial"/>
          <w:sz w:val="22"/>
          <w:szCs w:val="22"/>
        </w:rPr>
        <w:t xml:space="preserve">A complete end-to-end big data pipeline was implemented covering all 9 rubric components: ingestion, dual storage, PySpark batch processing (with clean/transform/join/aggregate/features), Spark Structured Streaming, relational analytical model, visualization dashboard, and Prophet ML forecasting.</w:t>
      </w:r>
    </w:p>
    <w:p>
      <w:pPr>
        <w:pStyle w:val="ListParagraph"/>
        <w:numPr>
          <w:ilvl w:val="0"/>
          <w:numId w:val="2"/>
        </w:numPr>
        <w:spacing w:after="80"/>
      </w:pPr>
      <w:r>
        <w:rPr>
          <w:rFonts w:ascii="Arial" w:cs="Arial" w:eastAsia="Arial" w:hAnsi="Arial"/>
          <w:sz w:val="22"/>
          <w:szCs w:val="22"/>
        </w:rPr>
        <w:t xml:space="preserve">The pipeline processed 1,238,080 records across 505 S&amp;P 500 tickers, exceeding the 1 million record requirement.</w:t>
      </w:r>
    </w:p>
    <w:p>
      <w:pPr>
        <w:pStyle w:val="ListParagraph"/>
        <w:numPr>
          <w:ilvl w:val="0"/>
          <w:numId w:val="2"/>
        </w:numPr>
        <w:spacing w:after="80"/>
      </w:pPr>
      <w:r>
        <w:rPr>
          <w:rFonts w:ascii="Arial" w:cs="Arial" w:eastAsia="Arial" w:hAnsi="Arial"/>
          <w:sz w:val="22"/>
          <w:szCs w:val="22"/>
        </w:rPr>
        <w:t xml:space="preserve">PySpark JOIN enriched stock data with sector metadata enabling cross-industry volatility comparison — Technology (305) vs Industrials (3.3) — a 92x volatility difference.</w:t>
      </w:r>
    </w:p>
    <w:p>
      <w:pPr>
        <w:pStyle w:val="ListParagraph"/>
        <w:numPr>
          <w:ilvl w:val="0"/>
          <w:numId w:val="2"/>
        </w:numPr>
        <w:spacing w:after="80"/>
      </w:pPr>
      <w:r>
        <w:rPr>
          <w:rFonts w:ascii="Arial" w:cs="Arial" w:eastAsia="Arial" w:hAnsi="Arial"/>
          <w:sz w:val="22"/>
          <w:szCs w:val="22"/>
        </w:rPr>
        <w:t xml:space="preserve">Spark Structured Streaming successfully simulated real-time ingestion producing 8 output files in micro-batch mode.</w:t>
      </w:r>
    </w:p>
    <w:p>
      <w:pPr>
        <w:pStyle w:val="ListParagraph"/>
        <w:numPr>
          <w:ilvl w:val="0"/>
          <w:numId w:val="2"/>
        </w:numPr>
        <w:spacing w:after="80"/>
      </w:pPr>
      <w:r>
        <w:rPr>
          <w:rFonts w:ascii="Arial" w:cs="Arial" w:eastAsia="Arial" w:hAnsi="Arial"/>
          <w:sz w:val="22"/>
          <w:szCs w:val="22"/>
        </w:rPr>
        <w:t xml:space="preserve">Prophet forecasting achieved meaningful trend capture including AAPL's 183% growth and GE's 2017 decline.</w:t>
      </w:r>
    </w:p>
    <w:p>
      <w:pPr>
        <w:pStyle w:val="ListParagraph"/>
        <w:numPr>
          <w:ilvl w:val="0"/>
          <w:numId w:val="2"/>
        </w:numPr>
        <w:spacing w:after="80"/>
      </w:pPr>
      <w:r>
        <w:rPr>
          <w:rFonts w:ascii="Arial" w:cs="Arial" w:eastAsia="Arial" w:hAnsi="Arial"/>
          <w:sz w:val="22"/>
          <w:szCs w:val="22"/>
        </w:rPr>
        <w:t xml:space="preserve">OCI Object Storage provided a scalable, layered data lake with raw/processed/curated separation.</w:t>
      </w:r>
    </w:p>
    <w:p>
      <w:pPr>
        <w:spacing w:after="120"/>
      </w:pPr>
      <w:r>
        <w:t xml:space="preserve"/>
      </w:r>
    </w:p>
    <w:p>
      <w:pPr>
        <w:pStyle w:val="Heading2"/>
        <w:spacing w:after="120" w:before="240"/>
      </w:pPr>
      <w:r>
        <w:rPr>
          <w:rFonts w:ascii="Arial" w:cs="Arial" w:eastAsia="Arial" w:hAnsi="Arial"/>
          <w:b/>
          <w:bCs/>
          <w:color w:val="2E75B6"/>
          <w:sz w:val="24"/>
          <w:szCs w:val="24"/>
        </w:rPr>
        <w:t xml:space="preserve">12.2 Business Recommendations</w:t>
      </w:r>
    </w:p>
    <w:p>
      <w:pPr>
        <w:pStyle w:val="ListParagraph"/>
        <w:numPr>
          <w:ilvl w:val="0"/>
          <w:numId w:val="2"/>
        </w:numPr>
        <w:spacing w:after="80"/>
      </w:pPr>
      <w:r>
        <w:rPr>
          <w:rFonts w:ascii="Arial" w:cs="Arial" w:eastAsia="Arial" w:hAnsi="Arial"/>
          <w:sz w:val="22"/>
          <w:szCs w:val="22"/>
        </w:rPr>
        <w:t xml:space="preserve">Sector-diversified allocation: Combine high-volatility tech (GOOGL, AMZN) with stable industrials (GE pre-2017) for risk-adjusted returns. The data shows a 92x volatility gap between sectors.</w:t>
      </w:r>
    </w:p>
    <w:p>
      <w:pPr>
        <w:pStyle w:val="ListParagraph"/>
        <w:numPr>
          <w:ilvl w:val="0"/>
          <w:numId w:val="2"/>
        </w:numPr>
        <w:spacing w:after="80"/>
      </w:pPr>
      <w:r>
        <w:rPr>
          <w:rFonts w:ascii="Arial" w:cs="Arial" w:eastAsia="Arial" w:hAnsi="Arial"/>
          <w:sz w:val="22"/>
          <w:szCs w:val="22"/>
        </w:rPr>
        <w:t xml:space="preserve">Use BAC trading volume as a market health indicator: At 138B total shares, BAC's volume reflects institutional sentiment — spikes signal systemic financial sector moves.</w:t>
      </w:r>
    </w:p>
    <w:p>
      <w:pPr>
        <w:pStyle w:val="ListParagraph"/>
        <w:numPr>
          <w:ilvl w:val="0"/>
          <w:numId w:val="2"/>
        </w:numPr>
        <w:spacing w:after="80"/>
      </w:pPr>
      <w:r>
        <w:rPr>
          <w:rFonts w:ascii="Arial" w:cs="Arial" w:eastAsia="Arial" w:hAnsi="Arial"/>
          <w:sz w:val="22"/>
          <w:szCs w:val="22"/>
        </w:rPr>
        <w:t xml:space="preserve">Consumer Staples for income portfolios: With the best average daily return (+0.034%) and low volatility (18.7), this sector outperforms on a risk-adjusted basis.</w:t>
      </w:r>
    </w:p>
    <w:p>
      <w:pPr>
        <w:pStyle w:val="ListParagraph"/>
        <w:numPr>
          <w:ilvl w:val="0"/>
          <w:numId w:val="2"/>
        </w:numPr>
        <w:spacing w:after="80"/>
      </w:pPr>
      <w:r>
        <w:rPr>
          <w:rFonts w:ascii="Arial" w:cs="Arial" w:eastAsia="Arial" w:hAnsi="Arial"/>
          <w:sz w:val="22"/>
          <w:szCs w:val="22"/>
        </w:rPr>
        <w:t xml:space="preserve">GE as a turnaround watch: The model's accurate capture of GE's decline creates a baseline — any sustained recovery above the predicted trajectory signals a potential long entry.</w:t>
      </w:r>
    </w:p>
    <w:p>
      <w:pPr>
        <w:pStyle w:val="ListParagraph"/>
        <w:numPr>
          <w:ilvl w:val="0"/>
          <w:numId w:val="2"/>
        </w:numPr>
        <w:spacing w:after="80"/>
      </w:pPr>
      <w:r>
        <w:rPr>
          <w:rFonts w:ascii="Arial" w:cs="Arial" w:eastAsia="Arial" w:hAnsi="Arial"/>
          <w:sz w:val="22"/>
          <w:szCs w:val="22"/>
        </w:rPr>
        <w:t xml:space="preserve">Extend pipeline to real-time: Replace the streaming simulation with Kafka event streams and connect to live market APIs for production-grade financial monitoring.</w:t>
      </w:r>
    </w:p>
    <w:p>
      <w:r>
        <w:br w:type="page"/>
      </w:r>
    </w:p>
    <w:p>
      <w:pPr>
        <w:pStyle w:val="Heading1"/>
        <w:spacing w:after="160" w:before="320"/>
      </w:pPr>
      <w:r>
        <w:rPr>
          <w:rFonts w:ascii="Arial" w:cs="Arial" w:eastAsia="Arial" w:hAnsi="Arial"/>
          <w:b/>
          <w:bCs/>
          <w:color w:val="1F4E79"/>
          <w:sz w:val="28"/>
          <w:szCs w:val="28"/>
        </w:rPr>
        <w:t xml:space="preserve">13. References</w:t>
      </w:r>
    </w:p>
    <w:p>
      <w:pPr>
        <w:spacing w:after="160"/>
      </w:pPr>
      <w:r>
        <w:rPr>
          <w:rFonts w:ascii="Arial" w:cs="Arial" w:eastAsia="Arial" w:hAnsi="Arial"/>
          <w:sz w:val="22"/>
          <w:szCs w:val="22"/>
        </w:rPr>
        <w:t xml:space="preserve">1. Cam Nugent. S&amp;P 500 Stock Data. Kaggle. https://www.kaggle.com/datasets/camnugent/sandp500</w:t>
      </w:r>
    </w:p>
    <w:p>
      <w:pPr>
        <w:spacing w:after="160"/>
      </w:pPr>
      <w:r>
        <w:rPr>
          <w:rFonts w:ascii="Arial" w:cs="Arial" w:eastAsia="Arial" w:hAnsi="Arial"/>
          <w:sz w:val="22"/>
          <w:szCs w:val="22"/>
        </w:rPr>
        <w:t xml:space="preserve">2. Apache Spark. Structured Streaming Programming Guide. https://spark.apache.org/docs/latest/structured-streaming-programming-guide.html</w:t>
      </w:r>
    </w:p>
    <w:p>
      <w:pPr>
        <w:spacing w:after="160"/>
      </w:pPr>
      <w:r>
        <w:rPr>
          <w:rFonts w:ascii="Arial" w:cs="Arial" w:eastAsia="Arial" w:hAnsi="Arial"/>
          <w:sz w:val="22"/>
          <w:szCs w:val="22"/>
        </w:rPr>
        <w:t xml:space="preserve">3. Facebook / Meta. Prophet: Forecasting at Scale. https://facebook.github.io/prophet/docs/quick_start.html</w:t>
      </w:r>
    </w:p>
    <w:p>
      <w:pPr>
        <w:spacing w:after="160"/>
      </w:pPr>
      <w:r>
        <w:rPr>
          <w:rFonts w:ascii="Arial" w:cs="Arial" w:eastAsia="Arial" w:hAnsi="Arial"/>
          <w:sz w:val="22"/>
          <w:szCs w:val="22"/>
        </w:rPr>
        <w:t xml:space="preserve">4. Oracle Cloud Infrastructure. Object Storage Documentation. https://docs.oracle.com/en-us/iaas/Content/Object/home.htm</w:t>
      </w:r>
    </w:p>
    <w:p>
      <w:pPr>
        <w:spacing w:after="160"/>
      </w:pPr>
      <w:r>
        <w:rPr>
          <w:rFonts w:ascii="Arial" w:cs="Arial" w:eastAsia="Arial" w:hAnsi="Arial"/>
          <w:sz w:val="22"/>
          <w:szCs w:val="22"/>
        </w:rPr>
        <w:t xml:space="preserve">5. Oracle MySQL HeatWave. https://www.oracle.com/mysql/heatwave/</w:t>
      </w:r>
    </w:p>
    <w:p>
      <w:pPr>
        <w:spacing w:after="160"/>
      </w:pPr>
      <w:r>
        <w:rPr>
          <w:rFonts w:ascii="Arial" w:cs="Arial" w:eastAsia="Arial" w:hAnsi="Arial"/>
          <w:sz w:val="22"/>
          <w:szCs w:val="22"/>
        </w:rPr>
        <w:t xml:space="preserve">6. McKinney, W. (2022). Python for Data Analysis. O'Reilly Media.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Atzin Eduardo Cruz Briones | Big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Big Data Project — S&amp;P 500 Stock Market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850a8ceedcd0c25e924ada1b4bffcd9502c2e7.png"/><Relationship Id="rId10" Type="http://schemas.openxmlformats.org/officeDocument/2006/relationships/image" Target="media/26cbb01cbb54db1b2e35d7ecad2473d7e588cc79.png"/><Relationship Id="rId11" Type="http://schemas.openxmlformats.org/officeDocument/2006/relationships/image" Target="media/bff90eb03c75e3922c3309296cab296bd01c4d9b.png"/><Relationship Id="rId12" Type="http://schemas.openxmlformats.org/officeDocument/2006/relationships/image" Target="media/3a2bff78c66f1de3066e53ae7292f5144697cd3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2026-04-08T02:16:30.177Z</dcterms:created>
  <dcterms:modified xsi:type="dcterms:W3CDTF">2026-04-08T02:16:30.178Z</dcterms:modified>
</cp:coreProperties>
</file>

<file path=docProps/custom.xml><?xml version="1.0" encoding="utf-8"?>
<Properties xmlns="http://schemas.openxmlformats.org/officeDocument/2006/custom-properties" xmlns:vt="http://schemas.openxmlformats.org/officeDocument/2006/docPropsVTypes"/>
</file>