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nd_kadasterdeel"/>
    <w:p w14:paraId="5A145982" w14:textId="77777777" w:rsidR="00000000" w:rsidRDefault="00280538">
      <w:pPr>
        <w:pStyle w:val="NormalWeb"/>
        <w:jc w:val="center"/>
      </w:pPr>
      <w:r>
        <w:t>Hypotheek</w:t>
      </w:r>
    </w:p>
    <w:p w14:paraId="59BAB9B9" w14:textId="77777777" w:rsidR="00000000" w:rsidRDefault="00280538">
      <w:pPr>
        <w:pStyle w:val="NormalWeb"/>
      </w:pPr>
    </w:p>
    <w:p w14:paraId="6B73E4D1" w14:textId="77777777" w:rsidR="00000000" w:rsidRDefault="00280538">
      <w:pPr>
        <w:pStyle w:val="NormalWeb"/>
      </w:pPr>
      <w:r>
        <w:t>Offertenummer: 1.918.244</w:t>
      </w:r>
    </w:p>
    <w:p w14:paraId="581E145E" w14:textId="77777777" w:rsidR="00000000" w:rsidRDefault="00280538">
      <w:pPr>
        <w:pStyle w:val="NormalWeb"/>
      </w:pPr>
      <w:r>
        <w:t>Zaaknummer: IS/2021.0588.01</w:t>
      </w:r>
    </w:p>
    <w:p w14:paraId="15005077" w14:textId="77777777" w:rsidR="00000000" w:rsidRDefault="00280538">
      <w:pPr>
        <w:pStyle w:val="NormalWeb"/>
      </w:pPr>
    </w:p>
    <w:p w14:paraId="481B9170" w14:textId="77777777" w:rsidR="00000000" w:rsidRDefault="00280538">
      <w:pPr>
        <w:pStyle w:val="NormalWeb"/>
      </w:pPr>
      <w:r>
        <w:t xml:space="preserve">Heden, negenentwintig maart tweeduizend eenentwintig, verschenen voor mij, mr. </w:t>
      </w:r>
      <w:r>
        <w:rPr>
          <w:rStyle w:val="naam-natuurlijk-persoon"/>
        </w:rPr>
        <w:t>Miranda Francisca Ideler</w:t>
      </w:r>
      <w:r>
        <w:t>, hierna te noemen: ‘</w:t>
      </w:r>
      <w:r>
        <w:rPr>
          <w:u w:val="single"/>
        </w:rPr>
        <w:t>notaris</w:t>
      </w:r>
      <w:r>
        <w:t xml:space="preserve">’, als waarnemer van mr. </w:t>
      </w:r>
      <w:r>
        <w:rPr>
          <w:rStyle w:val="naam-natuurlijk-persoon"/>
        </w:rPr>
        <w:t>Johannes Wilhelmus Alphonsius Maria Bongers</w:t>
      </w:r>
      <w:r>
        <w:t xml:space="preserve">, notaris met plaats van vestiging Altena: </w:t>
      </w:r>
    </w:p>
    <w:tbl>
      <w:tblPr>
        <w:tblW w:w="0" w:type="auto"/>
        <w:tblCellMar>
          <w:left w:w="0" w:type="dxa"/>
          <w:right w:w="0" w:type="dxa"/>
        </w:tblCellMar>
        <w:tblLook w:val="04A0" w:firstRow="1" w:lastRow="0" w:firstColumn="1" w:lastColumn="0" w:noHBand="0" w:noVBand="1"/>
      </w:tblPr>
      <w:tblGrid>
        <w:gridCol w:w="9026"/>
      </w:tblGrid>
      <w:tr w:rsidR="00000000" w14:paraId="3453FDA6" w14:textId="77777777">
        <w:tc>
          <w:tcPr>
            <w:tcW w:w="0" w:type="auto"/>
            <w:tcBorders>
              <w:top w:val="nil"/>
              <w:left w:val="nil"/>
              <w:bottom w:val="nil"/>
              <w:right w:val="nil"/>
            </w:tcBorders>
            <w:vAlign w:val="center"/>
            <w:hideMark/>
          </w:tcPr>
          <w:tbl>
            <w:tblPr>
              <w:tblW w:w="0" w:type="auto"/>
              <w:tblCellMar>
                <w:left w:w="0" w:type="dxa"/>
                <w:right w:w="0" w:type="dxa"/>
              </w:tblCellMar>
              <w:tblLook w:val="04A0" w:firstRow="1" w:lastRow="0" w:firstColumn="1" w:lastColumn="0" w:noHBand="0" w:noVBand="1"/>
            </w:tblPr>
            <w:tblGrid>
              <w:gridCol w:w="450"/>
              <w:gridCol w:w="8576"/>
            </w:tblGrid>
            <w:tr w:rsidR="00000000" w14:paraId="67493B77" w14:textId="77777777">
              <w:tc>
                <w:tcPr>
                  <w:tcW w:w="450" w:type="dxa"/>
                  <w:tcBorders>
                    <w:top w:val="nil"/>
                    <w:left w:val="nil"/>
                    <w:bottom w:val="nil"/>
                    <w:right w:val="nil"/>
                  </w:tcBorders>
                  <w:tcMar>
                    <w:top w:w="0" w:type="dxa"/>
                    <w:left w:w="0" w:type="dxa"/>
                    <w:bottom w:w="0" w:type="dxa"/>
                    <w:right w:w="75" w:type="dxa"/>
                  </w:tcMar>
                  <w:hideMark/>
                </w:tcPr>
                <w:p w14:paraId="64A755F8" w14:textId="77777777" w:rsidR="00000000" w:rsidRDefault="00280538">
                  <w:pPr>
                    <w:spacing w:line="276" w:lineRule="auto"/>
                    <w:rPr>
                      <w:rFonts w:ascii="Arial" w:hAnsi="Arial" w:cs="Arial"/>
                    </w:rPr>
                  </w:pPr>
                  <w:r>
                    <w:rPr>
                      <w:rFonts w:ascii="Arial" w:hAnsi="Arial" w:cs="Arial"/>
                    </w:rPr>
                    <w:t>﻿</w:t>
                  </w:r>
                  <w:r>
                    <w:rPr>
                      <w:rFonts w:ascii="Arial" w:hAnsi="Arial" w:cs="Arial"/>
                    </w:rPr>
                    <w:t>1.</w:t>
                  </w:r>
                </w:p>
              </w:tc>
              <w:tc>
                <w:tcPr>
                  <w:tcW w:w="0" w:type="auto"/>
                  <w:tcBorders>
                    <w:top w:val="nil"/>
                    <w:left w:val="nil"/>
                    <w:bottom w:val="nil"/>
                    <w:right w:val="nil"/>
                  </w:tcBorders>
                  <w:vAlign w:val="center"/>
                  <w:hideMark/>
                </w:tcPr>
                <w:p w14:paraId="0299F499" w14:textId="77777777" w:rsidR="00000000" w:rsidRDefault="00280538">
                  <w:pPr>
                    <w:spacing w:line="276" w:lineRule="auto"/>
                    <w:rPr>
                      <w:rFonts w:ascii="Arial" w:hAnsi="Arial" w:cs="Arial"/>
                    </w:rPr>
                  </w:pPr>
                  <w:r>
                    <w:rPr>
                      <w:rFonts w:ascii="Arial" w:hAnsi="Arial" w:cs="Arial"/>
                    </w:rPr>
                    <w:t xml:space="preserve">mevrouw </w:t>
                  </w:r>
                  <w:r>
                    <w:rPr>
                      <w:rStyle w:val="naam-natuurlijk-persoon"/>
                      <w:rFonts w:ascii="Arial" w:hAnsi="Arial" w:cs="Arial"/>
                    </w:rPr>
                    <w:t>ILSE JOSEPHINA JOHANNA VAN DELFT</w:t>
                  </w:r>
                  <w:r>
                    <w:rPr>
                      <w:rFonts w:ascii="Arial" w:hAnsi="Arial" w:cs="Arial"/>
                    </w:rPr>
                    <w:t>, geboren te Waalwijk op achtentwintig september negentienhonderdvijfentachtig, werkzaam ten kantore van mij, notaris, te dez</w:t>
                  </w:r>
                  <w:r>
                    <w:rPr>
                      <w:rFonts w:ascii="Arial" w:hAnsi="Arial" w:cs="Arial"/>
                    </w:rPr>
                    <w:t xml:space="preserve">en handelend als mondeling gevolmachtigde van: </w:t>
                  </w:r>
                </w:p>
              </w:tc>
            </w:tr>
          </w:tbl>
          <w:p w14:paraId="7F7B32AC" w14:textId="77777777" w:rsidR="00000000" w:rsidRDefault="00280538">
            <w:pPr>
              <w:spacing w:line="276" w:lineRule="auto"/>
              <w:rPr>
                <w:rFonts w:ascii="Arial" w:hAnsi="Arial" w:cs="Arial"/>
              </w:rPr>
            </w:pPr>
          </w:p>
        </w:tc>
      </w:tr>
      <w:tr w:rsidR="00000000" w14:paraId="28911EA1" w14:textId="77777777">
        <w:tc>
          <w:tcPr>
            <w:tcW w:w="0" w:type="auto"/>
            <w:tcBorders>
              <w:top w:val="nil"/>
              <w:left w:val="nil"/>
              <w:bottom w:val="nil"/>
              <w:right w:val="nil"/>
            </w:tcBorders>
            <w:vAlign w:val="center"/>
            <w:hideMark/>
          </w:tcPr>
          <w:tbl>
            <w:tblPr>
              <w:tblW w:w="0" w:type="auto"/>
              <w:tblCellMar>
                <w:left w:w="0" w:type="dxa"/>
                <w:right w:w="0" w:type="dxa"/>
              </w:tblCellMar>
              <w:tblLook w:val="04A0" w:firstRow="1" w:lastRow="0" w:firstColumn="1" w:lastColumn="0" w:noHBand="0" w:noVBand="1"/>
            </w:tblPr>
            <w:tblGrid>
              <w:gridCol w:w="450"/>
              <w:gridCol w:w="8576"/>
            </w:tblGrid>
            <w:tr w:rsidR="00000000" w14:paraId="4B7CA21E" w14:textId="77777777">
              <w:tc>
                <w:tcPr>
                  <w:tcW w:w="450" w:type="dxa"/>
                  <w:tcBorders>
                    <w:top w:val="nil"/>
                    <w:left w:val="nil"/>
                    <w:bottom w:val="nil"/>
                    <w:right w:val="nil"/>
                  </w:tcBorders>
                  <w:tcMar>
                    <w:top w:w="0" w:type="dxa"/>
                    <w:left w:w="0" w:type="dxa"/>
                    <w:bottom w:w="0" w:type="dxa"/>
                    <w:right w:w="75" w:type="dxa"/>
                  </w:tcMar>
                  <w:hideMark/>
                </w:tcPr>
                <w:p w14:paraId="1536AB3D" w14:textId="77777777" w:rsidR="00000000" w:rsidRDefault="00280538">
                  <w:pPr>
                    <w:spacing w:line="276" w:lineRule="auto"/>
                    <w:rPr>
                      <w:rFonts w:ascii="Arial" w:hAnsi="Arial" w:cs="Arial"/>
                      <w:sz w:val="24"/>
                      <w:szCs w:val="24"/>
                    </w:rPr>
                  </w:pPr>
                </w:p>
              </w:tc>
              <w:tc>
                <w:tcPr>
                  <w:tcW w:w="0" w:type="auto"/>
                  <w:tcBorders>
                    <w:top w:val="nil"/>
                    <w:left w:val="nil"/>
                    <w:bottom w:val="nil"/>
                    <w:right w:val="nil"/>
                  </w:tcBorders>
                  <w:vAlign w:val="center"/>
                  <w:hideMark/>
                </w:tcPr>
                <w:p w14:paraId="6D540625" w14:textId="77777777" w:rsidR="00000000" w:rsidRDefault="00280538">
                  <w:pPr>
                    <w:spacing w:line="276" w:lineRule="auto"/>
                    <w:rPr>
                      <w:rFonts w:ascii="Arial" w:hAnsi="Arial" w:cs="Arial"/>
                    </w:rPr>
                  </w:pPr>
                  <w:r>
                    <w:rPr>
                      <w:rFonts w:ascii="Arial" w:hAnsi="Arial" w:cs="Arial"/>
                    </w:rPr>
                    <w:t xml:space="preserve">de naamloze vennootschap: </w:t>
                  </w:r>
                  <w:r>
                    <w:rPr>
                      <w:rStyle w:val="Strong"/>
                      <w:rFonts w:ascii="Arial" w:hAnsi="Arial" w:cs="Arial"/>
                      <w:u w:val="single"/>
                      <w:bdr w:val="none" w:sz="0" w:space="0" w:color="auto" w:frame="1"/>
                    </w:rPr>
                    <w:t>ASR LEVENSVERZEKERING N.V.</w:t>
                  </w:r>
                  <w:r>
                    <w:rPr>
                      <w:rFonts w:ascii="Arial" w:hAnsi="Arial" w:cs="Arial"/>
                    </w:rPr>
                    <w:t>, statutair gevestigd te Utrecht, kantoorhoudende te 3584 BA Utrecht, Archimedeslaan 10, ingeschreven in het handelsregister van de Kamer van Koophandel</w:t>
                  </w:r>
                  <w:r>
                    <w:rPr>
                      <w:rFonts w:ascii="Arial" w:hAnsi="Arial" w:cs="Arial"/>
                    </w:rPr>
                    <w:t xml:space="preserve"> onder nummer: 30000847 (correspondentieadres: postbus 2687 3800 GE Amersfoort);</w:t>
                  </w:r>
                </w:p>
              </w:tc>
            </w:tr>
          </w:tbl>
          <w:p w14:paraId="0764294D" w14:textId="77777777" w:rsidR="00000000" w:rsidRDefault="00280538">
            <w:pPr>
              <w:spacing w:line="276" w:lineRule="auto"/>
              <w:rPr>
                <w:rFonts w:ascii="Arial" w:hAnsi="Arial" w:cs="Arial"/>
              </w:rPr>
            </w:pPr>
          </w:p>
        </w:tc>
      </w:tr>
    </w:tbl>
    <w:p w14:paraId="6250CE0B" w14:textId="77777777" w:rsidR="00000000" w:rsidRDefault="00280538">
      <w:pPr>
        <w:pStyle w:val="NormalWeb"/>
        <w:ind w:left="450"/>
      </w:pPr>
      <w:r>
        <w:t>hierna te noemen: "ASR";</w:t>
      </w:r>
    </w:p>
    <w:tbl>
      <w:tblPr>
        <w:tblW w:w="0" w:type="auto"/>
        <w:tblCellMar>
          <w:left w:w="0" w:type="dxa"/>
          <w:right w:w="0" w:type="dxa"/>
        </w:tblCellMar>
        <w:tblLook w:val="04A0" w:firstRow="1" w:lastRow="0" w:firstColumn="1" w:lastColumn="0" w:noHBand="0" w:noVBand="1"/>
      </w:tblPr>
      <w:tblGrid>
        <w:gridCol w:w="9026"/>
      </w:tblGrid>
      <w:tr w:rsidR="00000000" w14:paraId="27DA0AC3" w14:textId="77777777">
        <w:tc>
          <w:tcPr>
            <w:tcW w:w="0" w:type="auto"/>
            <w:tcBorders>
              <w:top w:val="nil"/>
              <w:left w:val="nil"/>
              <w:bottom w:val="nil"/>
              <w:right w:val="nil"/>
            </w:tcBorders>
            <w:vAlign w:val="center"/>
            <w:hideMark/>
          </w:tcPr>
          <w:tbl>
            <w:tblPr>
              <w:tblW w:w="0" w:type="auto"/>
              <w:tblCellMar>
                <w:left w:w="0" w:type="dxa"/>
                <w:right w:w="0" w:type="dxa"/>
              </w:tblCellMar>
              <w:tblLook w:val="04A0" w:firstRow="1" w:lastRow="0" w:firstColumn="1" w:lastColumn="0" w:noHBand="0" w:noVBand="1"/>
            </w:tblPr>
            <w:tblGrid>
              <w:gridCol w:w="450"/>
              <w:gridCol w:w="450"/>
              <w:gridCol w:w="8126"/>
            </w:tblGrid>
            <w:tr w:rsidR="00000000" w14:paraId="31CFF93E" w14:textId="77777777">
              <w:tc>
                <w:tcPr>
                  <w:tcW w:w="450" w:type="dxa"/>
                  <w:tcBorders>
                    <w:top w:val="nil"/>
                    <w:left w:val="nil"/>
                    <w:bottom w:val="nil"/>
                    <w:right w:val="nil"/>
                  </w:tcBorders>
                  <w:tcMar>
                    <w:top w:w="0" w:type="dxa"/>
                    <w:left w:w="0" w:type="dxa"/>
                    <w:bottom w:w="0" w:type="dxa"/>
                    <w:right w:w="75" w:type="dxa"/>
                  </w:tcMar>
                  <w:hideMark/>
                </w:tcPr>
                <w:p w14:paraId="50FD67BE" w14:textId="77777777" w:rsidR="00000000" w:rsidRDefault="00280538">
                  <w:pPr>
                    <w:spacing w:line="276" w:lineRule="auto"/>
                    <w:rPr>
                      <w:rFonts w:ascii="Arial" w:hAnsi="Arial" w:cs="Arial"/>
                    </w:rPr>
                  </w:pPr>
                  <w:r>
                    <w:rPr>
                      <w:rFonts w:ascii="Arial" w:hAnsi="Arial" w:cs="Arial"/>
                    </w:rPr>
                    <w:t>﻿</w:t>
                  </w:r>
                  <w:r>
                    <w:rPr>
                      <w:rFonts w:ascii="Arial" w:hAnsi="Arial" w:cs="Arial"/>
                    </w:rPr>
                    <w:t>2.</w:t>
                  </w:r>
                </w:p>
              </w:tc>
              <w:tc>
                <w:tcPr>
                  <w:tcW w:w="450" w:type="dxa"/>
                  <w:tcBorders>
                    <w:top w:val="nil"/>
                    <w:left w:val="nil"/>
                    <w:bottom w:val="nil"/>
                    <w:right w:val="nil"/>
                  </w:tcBorders>
                  <w:tcMar>
                    <w:top w:w="0" w:type="dxa"/>
                    <w:left w:w="0" w:type="dxa"/>
                    <w:bottom w:w="0" w:type="dxa"/>
                    <w:right w:w="75" w:type="dxa"/>
                  </w:tcMar>
                  <w:hideMark/>
                </w:tcPr>
                <w:p w14:paraId="2481C582" w14:textId="77777777" w:rsidR="00000000" w:rsidRDefault="00280538">
                  <w:pPr>
                    <w:spacing w:line="276" w:lineRule="auto"/>
                    <w:rPr>
                      <w:rFonts w:ascii="Arial" w:hAnsi="Arial" w:cs="Arial"/>
                    </w:rPr>
                  </w:pPr>
                  <w:r>
                    <w:rPr>
                      <w:rFonts w:ascii="Arial" w:hAnsi="Arial" w:cs="Arial"/>
                    </w:rPr>
                    <w:t>a.</w:t>
                  </w:r>
                </w:p>
              </w:tc>
              <w:tc>
                <w:tcPr>
                  <w:tcW w:w="0" w:type="auto"/>
                  <w:tcBorders>
                    <w:top w:val="nil"/>
                    <w:left w:val="nil"/>
                    <w:bottom w:val="nil"/>
                    <w:right w:val="nil"/>
                  </w:tcBorders>
                  <w:vAlign w:val="center"/>
                  <w:hideMark/>
                </w:tcPr>
                <w:p w14:paraId="2182CBC5" w14:textId="77777777" w:rsidR="00000000" w:rsidRDefault="00280538">
                  <w:pPr>
                    <w:spacing w:line="276" w:lineRule="auto"/>
                    <w:rPr>
                      <w:rFonts w:ascii="Arial" w:hAnsi="Arial" w:cs="Arial"/>
                    </w:rPr>
                  </w:pPr>
                  <w:r>
                    <w:rPr>
                      <w:rFonts w:ascii="Arial" w:hAnsi="Arial" w:cs="Arial"/>
                    </w:rPr>
                    <w:t xml:space="preserve">de heer </w:t>
                  </w:r>
                  <w:r>
                    <w:rPr>
                      <w:rStyle w:val="Strong"/>
                      <w:rFonts w:ascii="Arial" w:hAnsi="Arial" w:cs="Arial"/>
                      <w:bdr w:val="none" w:sz="0" w:space="0" w:color="auto" w:frame="1"/>
                    </w:rPr>
                    <w:t>PIETER JOHANNES TANKENS</w:t>
                  </w:r>
                  <w:r>
                    <w:rPr>
                      <w:rFonts w:ascii="Arial" w:hAnsi="Arial" w:cs="Arial"/>
                    </w:rPr>
                    <w:t>, geboren te Woudrichem op negen november negentienhonderddrieëntachtig, zich identificerende met zijn rijbewijs, met kenmerk 5023515971, uitgegeven te Woudrichem op zevenentwintig augustus tweeduizend achttien;</w:t>
                  </w:r>
                </w:p>
              </w:tc>
            </w:tr>
          </w:tbl>
          <w:p w14:paraId="12998D9A" w14:textId="77777777" w:rsidR="00000000" w:rsidRDefault="00280538">
            <w:pPr>
              <w:spacing w:line="276" w:lineRule="auto"/>
              <w:rPr>
                <w:rFonts w:ascii="Arial" w:hAnsi="Arial" w:cs="Arial"/>
              </w:rPr>
            </w:pPr>
          </w:p>
        </w:tc>
      </w:tr>
      <w:tr w:rsidR="00000000" w14:paraId="43532233" w14:textId="77777777">
        <w:tc>
          <w:tcPr>
            <w:tcW w:w="0" w:type="auto"/>
            <w:tcBorders>
              <w:top w:val="nil"/>
              <w:left w:val="nil"/>
              <w:bottom w:val="nil"/>
              <w:right w:val="nil"/>
            </w:tcBorders>
            <w:vAlign w:val="center"/>
            <w:hideMark/>
          </w:tcPr>
          <w:tbl>
            <w:tblPr>
              <w:tblW w:w="0" w:type="auto"/>
              <w:tblCellMar>
                <w:left w:w="0" w:type="dxa"/>
                <w:right w:w="0" w:type="dxa"/>
              </w:tblCellMar>
              <w:tblLook w:val="04A0" w:firstRow="1" w:lastRow="0" w:firstColumn="1" w:lastColumn="0" w:noHBand="0" w:noVBand="1"/>
            </w:tblPr>
            <w:tblGrid>
              <w:gridCol w:w="450"/>
              <w:gridCol w:w="450"/>
              <w:gridCol w:w="8126"/>
            </w:tblGrid>
            <w:tr w:rsidR="00000000" w14:paraId="55B113BC" w14:textId="77777777">
              <w:tc>
                <w:tcPr>
                  <w:tcW w:w="450" w:type="dxa"/>
                  <w:tcBorders>
                    <w:top w:val="nil"/>
                    <w:left w:val="nil"/>
                    <w:bottom w:val="nil"/>
                    <w:right w:val="nil"/>
                  </w:tcBorders>
                  <w:tcMar>
                    <w:top w:w="0" w:type="dxa"/>
                    <w:left w:w="0" w:type="dxa"/>
                    <w:bottom w:w="0" w:type="dxa"/>
                    <w:right w:w="75" w:type="dxa"/>
                  </w:tcMar>
                  <w:hideMark/>
                </w:tcPr>
                <w:p w14:paraId="72DBAF0E" w14:textId="77777777" w:rsidR="00000000" w:rsidRDefault="00280538">
                  <w:pPr>
                    <w:spacing w:line="276" w:lineRule="auto"/>
                    <w:rPr>
                      <w:rFonts w:ascii="Arial" w:hAnsi="Arial" w:cs="Arial"/>
                    </w:rPr>
                  </w:pPr>
                  <w:r>
                    <w:rPr>
                      <w:rFonts w:ascii="Arial" w:hAnsi="Arial" w:cs="Arial"/>
                    </w:rPr>
                    <w:t>﻿</w:t>
                  </w:r>
                </w:p>
              </w:tc>
              <w:tc>
                <w:tcPr>
                  <w:tcW w:w="450" w:type="dxa"/>
                  <w:tcBorders>
                    <w:top w:val="nil"/>
                    <w:left w:val="nil"/>
                    <w:bottom w:val="nil"/>
                    <w:right w:val="nil"/>
                  </w:tcBorders>
                  <w:tcMar>
                    <w:top w:w="0" w:type="dxa"/>
                    <w:left w:w="0" w:type="dxa"/>
                    <w:bottom w:w="0" w:type="dxa"/>
                    <w:right w:w="75" w:type="dxa"/>
                  </w:tcMar>
                  <w:hideMark/>
                </w:tcPr>
                <w:p w14:paraId="70D7B294" w14:textId="77777777" w:rsidR="00000000" w:rsidRDefault="00280538">
                  <w:pPr>
                    <w:spacing w:line="276" w:lineRule="auto"/>
                    <w:rPr>
                      <w:rFonts w:ascii="Arial" w:hAnsi="Arial" w:cs="Arial"/>
                    </w:rPr>
                  </w:pPr>
                  <w:r>
                    <w:rPr>
                      <w:rFonts w:ascii="Arial" w:hAnsi="Arial" w:cs="Arial"/>
                    </w:rPr>
                    <w:t>b.</w:t>
                  </w:r>
                </w:p>
              </w:tc>
              <w:tc>
                <w:tcPr>
                  <w:tcW w:w="0" w:type="auto"/>
                  <w:tcBorders>
                    <w:top w:val="nil"/>
                    <w:left w:val="nil"/>
                    <w:bottom w:val="nil"/>
                    <w:right w:val="nil"/>
                  </w:tcBorders>
                  <w:vAlign w:val="center"/>
                  <w:hideMark/>
                </w:tcPr>
                <w:p w14:paraId="1DEAD9C5" w14:textId="77777777" w:rsidR="00000000" w:rsidRDefault="00280538">
                  <w:pPr>
                    <w:spacing w:line="276" w:lineRule="auto"/>
                    <w:rPr>
                      <w:rFonts w:ascii="Arial" w:hAnsi="Arial" w:cs="Arial"/>
                    </w:rPr>
                  </w:pPr>
                  <w:r>
                    <w:rPr>
                      <w:rFonts w:ascii="Arial" w:hAnsi="Arial" w:cs="Arial"/>
                    </w:rPr>
                    <w:t xml:space="preserve">mevrouw </w:t>
                  </w:r>
                  <w:r>
                    <w:rPr>
                      <w:rStyle w:val="Strong"/>
                      <w:rFonts w:ascii="Arial" w:hAnsi="Arial" w:cs="Arial"/>
                      <w:bdr w:val="none" w:sz="0" w:space="0" w:color="auto" w:frame="1"/>
                    </w:rPr>
                    <w:t>TEUNITA HENRIETTE FLOOR</w:t>
                  </w:r>
                  <w:r>
                    <w:rPr>
                      <w:rFonts w:ascii="Arial" w:hAnsi="Arial" w:cs="Arial"/>
                    </w:rPr>
                    <w:t>, geb</w:t>
                  </w:r>
                  <w:r>
                    <w:rPr>
                      <w:rFonts w:ascii="Arial" w:hAnsi="Arial" w:cs="Arial"/>
                    </w:rPr>
                    <w:t>oren te Renswoude op zes oktober negentienhonderdeenentachtig, zich identificerende met haar rijbewijs, met kenmerk 5023126563, uitgegeven te Altena op dertig oktober tweeduizend twintig;</w:t>
                  </w:r>
                </w:p>
              </w:tc>
            </w:tr>
          </w:tbl>
          <w:p w14:paraId="054F03D8" w14:textId="77777777" w:rsidR="00000000" w:rsidRDefault="00280538">
            <w:pPr>
              <w:spacing w:line="276" w:lineRule="auto"/>
              <w:rPr>
                <w:rFonts w:ascii="Arial" w:hAnsi="Arial" w:cs="Arial"/>
              </w:rPr>
            </w:pPr>
          </w:p>
        </w:tc>
      </w:tr>
      <w:tr w:rsidR="00000000" w14:paraId="15F30F78" w14:textId="77777777">
        <w:tc>
          <w:tcPr>
            <w:tcW w:w="0" w:type="auto"/>
            <w:tcBorders>
              <w:top w:val="nil"/>
              <w:left w:val="nil"/>
              <w:bottom w:val="nil"/>
              <w:right w:val="nil"/>
            </w:tcBorders>
            <w:vAlign w:val="center"/>
            <w:hideMark/>
          </w:tcPr>
          <w:tbl>
            <w:tblPr>
              <w:tblW w:w="0" w:type="auto"/>
              <w:tblCellMar>
                <w:left w:w="0" w:type="dxa"/>
                <w:right w:w="0" w:type="dxa"/>
              </w:tblCellMar>
              <w:tblLook w:val="04A0" w:firstRow="1" w:lastRow="0" w:firstColumn="1" w:lastColumn="0" w:noHBand="0" w:noVBand="1"/>
            </w:tblPr>
            <w:tblGrid>
              <w:gridCol w:w="450"/>
              <w:gridCol w:w="8576"/>
            </w:tblGrid>
            <w:tr w:rsidR="00000000" w14:paraId="0D6BE615" w14:textId="77777777">
              <w:tc>
                <w:tcPr>
                  <w:tcW w:w="450" w:type="dxa"/>
                  <w:tcBorders>
                    <w:top w:val="nil"/>
                    <w:left w:val="nil"/>
                    <w:bottom w:val="nil"/>
                    <w:right w:val="nil"/>
                  </w:tcBorders>
                  <w:tcMar>
                    <w:top w:w="0" w:type="dxa"/>
                    <w:left w:w="0" w:type="dxa"/>
                    <w:bottom w:w="0" w:type="dxa"/>
                    <w:right w:w="75" w:type="dxa"/>
                  </w:tcMar>
                  <w:hideMark/>
                </w:tcPr>
                <w:p w14:paraId="6753E939" w14:textId="77777777" w:rsidR="00000000" w:rsidRDefault="00280538">
                  <w:pPr>
                    <w:spacing w:line="276" w:lineRule="auto"/>
                    <w:rPr>
                      <w:rFonts w:ascii="Arial" w:hAnsi="Arial" w:cs="Arial"/>
                    </w:rPr>
                  </w:pPr>
                  <w:r>
                    <w:rPr>
                      <w:rFonts w:ascii="Arial" w:hAnsi="Arial" w:cs="Arial"/>
                    </w:rPr>
                    <w:t>﻿</w:t>
                  </w:r>
                </w:p>
              </w:tc>
              <w:tc>
                <w:tcPr>
                  <w:tcW w:w="0" w:type="auto"/>
                  <w:tcBorders>
                    <w:top w:val="nil"/>
                    <w:left w:val="nil"/>
                    <w:bottom w:val="nil"/>
                    <w:right w:val="nil"/>
                  </w:tcBorders>
                  <w:vAlign w:val="center"/>
                  <w:hideMark/>
                </w:tcPr>
                <w:p w14:paraId="192722BA" w14:textId="77777777" w:rsidR="00000000" w:rsidRDefault="00280538">
                  <w:pPr>
                    <w:spacing w:line="276" w:lineRule="auto"/>
                    <w:rPr>
                      <w:rFonts w:ascii="Arial" w:hAnsi="Arial" w:cs="Arial"/>
                    </w:rPr>
                  </w:pPr>
                  <w:r>
                    <w:rPr>
                      <w:rFonts w:ascii="Arial" w:hAnsi="Arial" w:cs="Arial"/>
                    </w:rPr>
                    <w:t>onder het maken van huwelijkse voorwaarden gehuwd, tezamen wone</w:t>
                  </w:r>
                  <w:r>
                    <w:rPr>
                      <w:rFonts w:ascii="Arial" w:hAnsi="Arial" w:cs="Arial"/>
                    </w:rPr>
                    <w:t>nde te 4281 KN Andel, Burgemeester Baxlaan 1 A;</w:t>
                  </w:r>
                </w:p>
              </w:tc>
            </w:tr>
          </w:tbl>
          <w:p w14:paraId="7F66630E" w14:textId="77777777" w:rsidR="00000000" w:rsidRDefault="00280538">
            <w:pPr>
              <w:spacing w:line="276" w:lineRule="auto"/>
              <w:rPr>
                <w:rFonts w:ascii="Arial" w:hAnsi="Arial" w:cs="Arial"/>
              </w:rPr>
            </w:pPr>
          </w:p>
        </w:tc>
      </w:tr>
    </w:tbl>
    <w:p w14:paraId="28A519FB" w14:textId="77777777" w:rsidR="00000000" w:rsidRDefault="00280538">
      <w:pPr>
        <w:pStyle w:val="NormalWeb"/>
        <w:ind w:left="450"/>
      </w:pPr>
      <w:r>
        <w:t xml:space="preserve">hierna, zowel tezamen als ieder afzonderlijk, te noemen: de “Hypotheekgever” en “Schuldenaar”; </w:t>
      </w:r>
    </w:p>
    <w:p w14:paraId="60E26C2D" w14:textId="77777777" w:rsidR="00000000" w:rsidRDefault="00280538">
      <w:pPr>
        <w:pStyle w:val="NormalWeb"/>
      </w:pPr>
      <w:r>
        <w:t>De comparanten verklaarden als volgt:</w:t>
      </w:r>
    </w:p>
    <w:tbl>
      <w:tblPr>
        <w:tblW w:w="0" w:type="auto"/>
        <w:tblCellMar>
          <w:left w:w="0" w:type="dxa"/>
          <w:right w:w="0" w:type="dxa"/>
        </w:tblCellMar>
        <w:tblLook w:val="04A0" w:firstRow="1" w:lastRow="0" w:firstColumn="1" w:lastColumn="0" w:noHBand="0" w:noVBand="1"/>
      </w:tblPr>
      <w:tblGrid>
        <w:gridCol w:w="450"/>
        <w:gridCol w:w="450"/>
        <w:gridCol w:w="8126"/>
      </w:tblGrid>
      <w:tr w:rsidR="00000000" w14:paraId="72597DC5" w14:textId="77777777">
        <w:tc>
          <w:tcPr>
            <w:tcW w:w="450" w:type="dxa"/>
            <w:tcBorders>
              <w:top w:val="nil"/>
              <w:left w:val="nil"/>
              <w:bottom w:val="nil"/>
              <w:right w:val="nil"/>
            </w:tcBorders>
            <w:tcMar>
              <w:top w:w="0" w:type="dxa"/>
              <w:left w:w="0" w:type="dxa"/>
              <w:bottom w:w="0" w:type="dxa"/>
              <w:right w:w="75" w:type="dxa"/>
            </w:tcMar>
            <w:hideMark/>
          </w:tcPr>
          <w:p w14:paraId="695CEAD0" w14:textId="77777777" w:rsidR="00000000" w:rsidRDefault="00280538">
            <w:pPr>
              <w:spacing w:line="276" w:lineRule="auto"/>
              <w:rPr>
                <w:rFonts w:ascii="Arial" w:hAnsi="Arial" w:cs="Arial"/>
              </w:rPr>
            </w:pPr>
            <w:r>
              <w:rPr>
                <w:rFonts w:ascii="Arial" w:hAnsi="Arial" w:cs="Arial"/>
              </w:rPr>
              <w:t>﻿</w:t>
            </w:r>
          </w:p>
        </w:tc>
        <w:tc>
          <w:tcPr>
            <w:tcW w:w="450" w:type="dxa"/>
            <w:tcBorders>
              <w:top w:val="nil"/>
              <w:left w:val="nil"/>
              <w:bottom w:val="nil"/>
              <w:right w:val="nil"/>
            </w:tcBorders>
            <w:tcMar>
              <w:top w:w="0" w:type="dxa"/>
              <w:left w:w="0" w:type="dxa"/>
              <w:bottom w:w="0" w:type="dxa"/>
              <w:right w:w="75" w:type="dxa"/>
            </w:tcMar>
            <w:hideMark/>
          </w:tcPr>
          <w:p w14:paraId="2CA9200E" w14:textId="77777777" w:rsidR="00000000" w:rsidRDefault="00280538">
            <w:pPr>
              <w:spacing w:line="276" w:lineRule="auto"/>
              <w:rPr>
                <w:rFonts w:ascii="Arial" w:hAnsi="Arial" w:cs="Arial"/>
              </w:rPr>
            </w:pPr>
            <w:r>
              <w:rPr>
                <w:rFonts w:ascii="Arial" w:hAnsi="Arial" w:cs="Arial"/>
              </w:rPr>
              <w:t>-</w:t>
            </w:r>
          </w:p>
        </w:tc>
        <w:tc>
          <w:tcPr>
            <w:tcW w:w="0" w:type="auto"/>
            <w:tcBorders>
              <w:top w:val="nil"/>
              <w:left w:val="nil"/>
              <w:bottom w:val="nil"/>
              <w:right w:val="nil"/>
            </w:tcBorders>
            <w:vAlign w:val="center"/>
            <w:hideMark/>
          </w:tcPr>
          <w:p w14:paraId="6F3F818A" w14:textId="77777777" w:rsidR="00000000" w:rsidRDefault="00280538">
            <w:pPr>
              <w:spacing w:line="276" w:lineRule="auto"/>
              <w:rPr>
                <w:rFonts w:ascii="Arial" w:hAnsi="Arial" w:cs="Arial"/>
              </w:rPr>
            </w:pPr>
            <w:r>
              <w:rPr>
                <w:rFonts w:ascii="Arial" w:hAnsi="Arial" w:cs="Arial"/>
              </w:rPr>
              <w:t>ASR en de Schuldenaar zijn een leningovereenkomst aangegaan, hierna te noemen: de "leningovereenkomst", van welke overeenkomst blijkt uit een door ASR uitgebrachte en door de Schuldenaar geaccepteerde offerte. Een afschrift van de door ASR en Schuldenaar o</w:t>
            </w:r>
            <w:r>
              <w:rPr>
                <w:rFonts w:ascii="Arial" w:hAnsi="Arial" w:cs="Arial"/>
              </w:rPr>
              <w:t xml:space="preserve">ndertekende offerte wordt aan deze akte gehecht. </w:t>
            </w:r>
          </w:p>
        </w:tc>
      </w:tr>
      <w:tr w:rsidR="00000000" w14:paraId="6D684E49" w14:textId="77777777">
        <w:tc>
          <w:tcPr>
            <w:tcW w:w="450" w:type="dxa"/>
            <w:tcBorders>
              <w:top w:val="nil"/>
              <w:left w:val="nil"/>
              <w:bottom w:val="nil"/>
              <w:right w:val="nil"/>
            </w:tcBorders>
            <w:tcMar>
              <w:top w:w="0" w:type="dxa"/>
              <w:left w:w="0" w:type="dxa"/>
              <w:bottom w:w="0" w:type="dxa"/>
              <w:right w:w="75" w:type="dxa"/>
            </w:tcMar>
            <w:hideMark/>
          </w:tcPr>
          <w:p w14:paraId="6E3AEB78" w14:textId="77777777" w:rsidR="00000000" w:rsidRDefault="00280538">
            <w:pPr>
              <w:spacing w:line="276" w:lineRule="auto"/>
              <w:rPr>
                <w:rFonts w:ascii="Arial" w:hAnsi="Arial" w:cs="Arial"/>
              </w:rPr>
            </w:pPr>
            <w:r>
              <w:rPr>
                <w:rFonts w:ascii="Arial" w:hAnsi="Arial" w:cs="Arial"/>
              </w:rPr>
              <w:t>﻿</w:t>
            </w:r>
          </w:p>
        </w:tc>
        <w:tc>
          <w:tcPr>
            <w:tcW w:w="450" w:type="dxa"/>
            <w:tcBorders>
              <w:top w:val="nil"/>
              <w:left w:val="nil"/>
              <w:bottom w:val="nil"/>
              <w:right w:val="nil"/>
            </w:tcBorders>
            <w:tcMar>
              <w:top w:w="0" w:type="dxa"/>
              <w:left w:w="0" w:type="dxa"/>
              <w:bottom w:w="0" w:type="dxa"/>
              <w:right w:w="75" w:type="dxa"/>
            </w:tcMar>
            <w:hideMark/>
          </w:tcPr>
          <w:p w14:paraId="65685300" w14:textId="77777777" w:rsidR="00000000" w:rsidRDefault="00280538">
            <w:pPr>
              <w:spacing w:line="276" w:lineRule="auto"/>
              <w:rPr>
                <w:rFonts w:ascii="Arial" w:hAnsi="Arial" w:cs="Arial"/>
              </w:rPr>
            </w:pPr>
            <w:r>
              <w:rPr>
                <w:rFonts w:ascii="Arial" w:hAnsi="Arial" w:cs="Arial"/>
              </w:rPr>
              <w:t>-</w:t>
            </w:r>
          </w:p>
        </w:tc>
        <w:tc>
          <w:tcPr>
            <w:tcW w:w="0" w:type="auto"/>
            <w:tcBorders>
              <w:top w:val="nil"/>
              <w:left w:val="nil"/>
              <w:bottom w:val="nil"/>
              <w:right w:val="nil"/>
            </w:tcBorders>
            <w:vAlign w:val="center"/>
            <w:hideMark/>
          </w:tcPr>
          <w:p w14:paraId="6E45234E" w14:textId="77777777" w:rsidR="00000000" w:rsidRDefault="00280538">
            <w:pPr>
              <w:spacing w:line="276" w:lineRule="auto"/>
              <w:rPr>
                <w:rFonts w:ascii="Arial" w:hAnsi="Arial" w:cs="Arial"/>
              </w:rPr>
            </w:pPr>
            <w:r>
              <w:rPr>
                <w:rFonts w:ascii="Arial" w:hAnsi="Arial" w:cs="Arial"/>
              </w:rPr>
              <w:t>Blijkens de leningovereenkomst verstrekt ASR aan de Schuldenaar een geldlening voor het hierna te noemen bedrag en is de Schuldenaar verplicht aan ASR de in deze akte omschreven rechten van hypotheek e</w:t>
            </w:r>
            <w:r>
              <w:rPr>
                <w:rFonts w:ascii="Arial" w:hAnsi="Arial" w:cs="Arial"/>
              </w:rPr>
              <w:t xml:space="preserve">n pand te (doen) verlenen op de wijze en onder de bepalingen en voorwaarden als uiteengezet in deze akte. </w:t>
            </w:r>
          </w:p>
        </w:tc>
      </w:tr>
      <w:tr w:rsidR="00000000" w14:paraId="559CE34E" w14:textId="77777777">
        <w:tc>
          <w:tcPr>
            <w:tcW w:w="450" w:type="dxa"/>
            <w:tcBorders>
              <w:top w:val="nil"/>
              <w:left w:val="nil"/>
              <w:bottom w:val="nil"/>
              <w:right w:val="nil"/>
            </w:tcBorders>
            <w:tcMar>
              <w:top w:w="0" w:type="dxa"/>
              <w:left w:w="0" w:type="dxa"/>
              <w:bottom w:w="0" w:type="dxa"/>
              <w:right w:w="75" w:type="dxa"/>
            </w:tcMar>
            <w:hideMark/>
          </w:tcPr>
          <w:p w14:paraId="55903689" w14:textId="77777777" w:rsidR="00000000" w:rsidRDefault="00280538">
            <w:pPr>
              <w:spacing w:line="276" w:lineRule="auto"/>
              <w:rPr>
                <w:rFonts w:ascii="Arial" w:hAnsi="Arial" w:cs="Arial"/>
              </w:rPr>
            </w:pPr>
            <w:r>
              <w:rPr>
                <w:rFonts w:ascii="Arial" w:hAnsi="Arial" w:cs="Arial"/>
              </w:rPr>
              <w:t>﻿</w:t>
            </w:r>
          </w:p>
        </w:tc>
        <w:tc>
          <w:tcPr>
            <w:tcW w:w="450" w:type="dxa"/>
            <w:tcBorders>
              <w:top w:val="nil"/>
              <w:left w:val="nil"/>
              <w:bottom w:val="nil"/>
              <w:right w:val="nil"/>
            </w:tcBorders>
            <w:tcMar>
              <w:top w:w="0" w:type="dxa"/>
              <w:left w:w="0" w:type="dxa"/>
              <w:bottom w:w="0" w:type="dxa"/>
              <w:right w:w="75" w:type="dxa"/>
            </w:tcMar>
            <w:hideMark/>
          </w:tcPr>
          <w:p w14:paraId="188914E4" w14:textId="77777777" w:rsidR="00000000" w:rsidRDefault="00280538">
            <w:pPr>
              <w:spacing w:line="276" w:lineRule="auto"/>
              <w:rPr>
                <w:rFonts w:ascii="Arial" w:hAnsi="Arial" w:cs="Arial"/>
              </w:rPr>
            </w:pPr>
            <w:r>
              <w:rPr>
                <w:rFonts w:ascii="Arial" w:hAnsi="Arial" w:cs="Arial"/>
              </w:rPr>
              <w:t>-</w:t>
            </w:r>
          </w:p>
        </w:tc>
        <w:tc>
          <w:tcPr>
            <w:tcW w:w="0" w:type="auto"/>
            <w:tcBorders>
              <w:top w:val="nil"/>
              <w:left w:val="nil"/>
              <w:bottom w:val="nil"/>
              <w:right w:val="nil"/>
            </w:tcBorders>
            <w:vAlign w:val="center"/>
            <w:hideMark/>
          </w:tcPr>
          <w:p w14:paraId="5DF3309D" w14:textId="77777777" w:rsidR="00000000" w:rsidRDefault="00280538">
            <w:pPr>
              <w:spacing w:line="276" w:lineRule="auto"/>
              <w:rPr>
                <w:rFonts w:ascii="Arial" w:hAnsi="Arial" w:cs="Arial"/>
              </w:rPr>
            </w:pPr>
            <w:r>
              <w:rPr>
                <w:rFonts w:ascii="Arial" w:hAnsi="Arial" w:cs="Arial"/>
              </w:rPr>
              <w:t>Partijen zijn derhalve het navolgende overeengekomen.</w:t>
            </w:r>
          </w:p>
        </w:tc>
      </w:tr>
    </w:tbl>
    <w:p w14:paraId="7EC9133B" w14:textId="77777777" w:rsidR="00000000" w:rsidRDefault="00280538">
      <w:pPr>
        <w:pStyle w:val="NormalWeb"/>
      </w:pPr>
      <w:r>
        <w:rPr>
          <w:rStyle w:val="Strong"/>
        </w:rPr>
        <w:t>A. LENING</w:t>
      </w:r>
    </w:p>
    <w:p w14:paraId="02F3ADDB" w14:textId="77777777" w:rsidR="00000000" w:rsidRDefault="00280538">
      <w:pPr>
        <w:pStyle w:val="NormalWeb"/>
      </w:pPr>
      <w:r>
        <w:lastRenderedPageBreak/>
        <w:t>De Schuldenaar verklaarde wegens van ASR ter leen ontvangen gelden hoofdelijk s</w:t>
      </w:r>
      <w:r>
        <w:t>chuldig te zijn aan ASR een bedrag van: vierhonderdzestienduizend vijfhonderd euro (€ 416.500,00) (hierna te noemen: de "lening").</w:t>
      </w:r>
    </w:p>
    <w:p w14:paraId="596161EE" w14:textId="77777777" w:rsidR="00000000" w:rsidRDefault="00280538">
      <w:pPr>
        <w:pStyle w:val="NormalWeb"/>
      </w:pPr>
      <w:r>
        <w:t>ASR verklaarde de hiervoor vermelde schuldbekentenis te aanvaarden.</w:t>
      </w:r>
    </w:p>
    <w:p w14:paraId="07F6CA39" w14:textId="77777777" w:rsidR="00000000" w:rsidRDefault="00280538">
      <w:pPr>
        <w:pStyle w:val="NormalWeb"/>
      </w:pPr>
      <w:r>
        <w:t>De Schuldenaar is met ASR overeengekomen en heeft zich je</w:t>
      </w:r>
      <w:r>
        <w:t>gens ASR verbonden - en, voor zover nodig verklaart hierbij met ASR overeen te komen en zich te verbinden - tot het vestigen van het recht van hypotheek op het (de) hierna te omschrijven registergoed(eren) en tot het vestigen of, al naar gelang de omstandi</w:t>
      </w:r>
      <w:r>
        <w:t xml:space="preserve">gheden, tot het bij voorbaat vestigen van pandrecht op hierna te omschrijven roerende zaken, rechten, vorderingen, effecten en vruchten, tot zekerheid voor de betaling van de Schuld. </w:t>
      </w:r>
    </w:p>
    <w:p w14:paraId="21B8A043" w14:textId="77777777" w:rsidR="00000000" w:rsidRDefault="00280538">
      <w:pPr>
        <w:pStyle w:val="NormalWeb"/>
      </w:pPr>
      <w:r>
        <w:rPr>
          <w:u w:val="single"/>
        </w:rPr>
        <w:t>Looptijd en aflossing</w:t>
      </w:r>
    </w:p>
    <w:p w14:paraId="42E8DC9E" w14:textId="77777777" w:rsidR="00000000" w:rsidRDefault="00280538">
      <w:pPr>
        <w:pStyle w:val="NormalWeb"/>
      </w:pPr>
      <w:r>
        <w:t>De lening heeft een looptijd zoals in de leningove</w:t>
      </w:r>
      <w:r>
        <w:t xml:space="preserve">reenkomst is overeengekomen, dan wel eventueel nader tussen partijen (zal worden) overeengekomen. De aflossing van de lening vindt plaats op de wijze als bepaald in de aan deze akte gehechte leningovereenkomst, en de Algemene Bepalingen welke zijn gehecht </w:t>
      </w:r>
      <w:r>
        <w:t>aan de leningovereenkomst, en/of op een nader door partijen overeen te komen wijze.</w:t>
      </w:r>
    </w:p>
    <w:p w14:paraId="7A646EAA" w14:textId="77777777" w:rsidR="00000000" w:rsidRDefault="00280538">
      <w:pPr>
        <w:pStyle w:val="NormalWeb"/>
      </w:pPr>
      <w:r>
        <w:rPr>
          <w:u w:val="single"/>
        </w:rPr>
        <w:t>Rente</w:t>
      </w:r>
    </w:p>
    <w:p w14:paraId="79F664B8" w14:textId="77777777" w:rsidR="00000000" w:rsidRDefault="00280538">
      <w:pPr>
        <w:pStyle w:val="NormalWeb"/>
      </w:pPr>
      <w:r>
        <w:t xml:space="preserve">De Schuldenaar is rente over de lening tegen het overeengekomen rentepercentage verschuldigd. De voor het eerst te betalen rente wordt berekend vanaf de datum waarop </w:t>
      </w:r>
      <w:r>
        <w:t>ASR het bedrag van de lening heeft overgeboekt naar de rekening van de notaris en/of naar de Bouwdepotrekening tot de laatste dag van de desbetreffende maand. Voor iedere volgende maand wordt de door de Schuldenaar te betalen rente berekend over het Uitsta</w:t>
      </w:r>
      <w:r>
        <w:t xml:space="preserve">ande Bedrag per het einde van de daaraan voorafgaande maand. </w:t>
      </w:r>
    </w:p>
    <w:p w14:paraId="7C82D582" w14:textId="77777777" w:rsidR="00000000" w:rsidRDefault="00280538">
      <w:pPr>
        <w:pStyle w:val="NormalWeb"/>
      </w:pPr>
      <w:r>
        <w:rPr>
          <w:u w:val="single"/>
        </w:rPr>
        <w:t>Algemene Voorwaarden</w:t>
      </w:r>
    </w:p>
    <w:p w14:paraId="4245E75E" w14:textId="77777777" w:rsidR="00000000" w:rsidRDefault="00280538">
      <w:pPr>
        <w:pStyle w:val="NormalWeb"/>
      </w:pPr>
      <w:r>
        <w:t>Op de leningovereenkomst en op deze akte en de daarbij te verstrekken rechten van hypotheek en pand zijn van toepassing de Algemene Voorwaarden. De Algemene Voorwaarden worden geacht een onderdeel te zijn van de leningovereenkomst en deze akte als waren zi</w:t>
      </w:r>
      <w:r>
        <w:t xml:space="preserve">j in de leningovereenkomst en deze akte woordelijk opgenomen. De (Derde) Hypotheekgever verklaart een exemplaar van de Algemene Voorwaarden te hebben ontvangen, daarvan kennis te hebben genomen en daarmee in te stemmen. </w:t>
      </w:r>
    </w:p>
    <w:p w14:paraId="0EC9E6D4" w14:textId="77777777" w:rsidR="00000000" w:rsidRDefault="00280538">
      <w:pPr>
        <w:pStyle w:val="NormalWeb"/>
      </w:pPr>
      <w:r>
        <w:rPr>
          <w:u w:val="single"/>
        </w:rPr>
        <w:t>Begrippen</w:t>
      </w:r>
    </w:p>
    <w:p w14:paraId="72A91925" w14:textId="77777777" w:rsidR="00000000" w:rsidRDefault="00280538">
      <w:pPr>
        <w:pStyle w:val="NormalWeb"/>
      </w:pPr>
      <w:r>
        <w:t>Begrippen die in deze akt</w:t>
      </w:r>
      <w:r>
        <w:t>e worden gebruikt, hebben de betekenis die daaraan is toegekend in de Algemene Voorwaarden, tenzij in deze akte anders is bepaald of uit de strekking van deze akte het tegendeel voortvloeit.</w:t>
      </w:r>
      <w:r>
        <w:br/>
        <w:t>Onder het begrip "Schuld" wordt in deze akte verstaan: de schulde</w:t>
      </w:r>
      <w:r>
        <w:t>n en verplichtingen tot zekerheid voor de betaling waarvan de Schuldenaar blijkens deze akte aan ASR het recht van hypotheek op het in deze akte genoemde Onderpand verleent of behoort te verlenen.</w:t>
      </w:r>
    </w:p>
    <w:p w14:paraId="5C36A13E" w14:textId="77777777" w:rsidR="00000000" w:rsidRDefault="00280538">
      <w:pPr>
        <w:pStyle w:val="NormalWeb"/>
      </w:pPr>
      <w:r>
        <w:rPr>
          <w:rStyle w:val="Strong"/>
        </w:rPr>
        <w:t>B. HYPOTHEEKRECHT</w:t>
      </w:r>
    </w:p>
    <w:p w14:paraId="36D4AAA8" w14:textId="77777777" w:rsidR="00000000" w:rsidRDefault="00280538">
      <w:pPr>
        <w:pStyle w:val="NormalWeb"/>
      </w:pPr>
      <w:r>
        <w:rPr>
          <w:u w:val="single"/>
        </w:rPr>
        <w:t>Hypotheekstelling</w:t>
      </w:r>
    </w:p>
    <w:p w14:paraId="17A3AE6C" w14:textId="77777777" w:rsidR="00000000" w:rsidRDefault="00280538">
      <w:pPr>
        <w:pStyle w:val="NormalWeb"/>
      </w:pPr>
      <w:r>
        <w:t>Tot zekerheid voor:</w:t>
      </w:r>
    </w:p>
    <w:tbl>
      <w:tblPr>
        <w:tblW w:w="0" w:type="auto"/>
        <w:tblCellMar>
          <w:left w:w="0" w:type="dxa"/>
          <w:right w:w="0" w:type="dxa"/>
        </w:tblCellMar>
        <w:tblLook w:val="04A0" w:firstRow="1" w:lastRow="0" w:firstColumn="1" w:lastColumn="0" w:noHBand="0" w:noVBand="1"/>
      </w:tblPr>
      <w:tblGrid>
        <w:gridCol w:w="450"/>
        <w:gridCol w:w="450"/>
        <w:gridCol w:w="8126"/>
      </w:tblGrid>
      <w:tr w:rsidR="00000000" w14:paraId="22740C94" w14:textId="77777777">
        <w:tc>
          <w:tcPr>
            <w:tcW w:w="450" w:type="dxa"/>
            <w:tcBorders>
              <w:top w:val="nil"/>
              <w:left w:val="nil"/>
              <w:bottom w:val="nil"/>
              <w:right w:val="nil"/>
            </w:tcBorders>
            <w:tcMar>
              <w:top w:w="0" w:type="dxa"/>
              <w:left w:w="0" w:type="dxa"/>
              <w:bottom w:w="0" w:type="dxa"/>
              <w:right w:w="75" w:type="dxa"/>
            </w:tcMar>
            <w:hideMark/>
          </w:tcPr>
          <w:p w14:paraId="7D673255" w14:textId="77777777" w:rsidR="00000000" w:rsidRDefault="00280538">
            <w:pPr>
              <w:spacing w:line="276" w:lineRule="auto"/>
              <w:rPr>
                <w:rFonts w:ascii="Arial" w:hAnsi="Arial" w:cs="Arial"/>
              </w:rPr>
            </w:pPr>
            <w:r>
              <w:rPr>
                <w:rFonts w:ascii="Arial" w:hAnsi="Arial" w:cs="Arial"/>
              </w:rPr>
              <w:lastRenderedPageBreak/>
              <w:t>﻿</w:t>
            </w:r>
          </w:p>
        </w:tc>
        <w:tc>
          <w:tcPr>
            <w:tcW w:w="450" w:type="dxa"/>
            <w:tcBorders>
              <w:top w:val="nil"/>
              <w:left w:val="nil"/>
              <w:bottom w:val="nil"/>
              <w:right w:val="nil"/>
            </w:tcBorders>
            <w:tcMar>
              <w:top w:w="0" w:type="dxa"/>
              <w:left w:w="0" w:type="dxa"/>
              <w:bottom w:w="0" w:type="dxa"/>
              <w:right w:w="75" w:type="dxa"/>
            </w:tcMar>
            <w:hideMark/>
          </w:tcPr>
          <w:p w14:paraId="7B02E38E" w14:textId="77777777" w:rsidR="00000000" w:rsidRDefault="00280538">
            <w:pPr>
              <w:spacing w:line="276" w:lineRule="auto"/>
              <w:rPr>
                <w:rFonts w:ascii="Arial" w:hAnsi="Arial" w:cs="Arial"/>
              </w:rPr>
            </w:pPr>
            <w:r>
              <w:rPr>
                <w:rFonts w:ascii="Arial" w:hAnsi="Arial" w:cs="Arial"/>
              </w:rPr>
              <w:t>a</w:t>
            </w:r>
            <w:r>
              <w:rPr>
                <w:rFonts w:ascii="Arial" w:hAnsi="Arial" w:cs="Arial"/>
              </w:rPr>
              <w:t>.</w:t>
            </w:r>
          </w:p>
        </w:tc>
        <w:tc>
          <w:tcPr>
            <w:tcW w:w="0" w:type="auto"/>
            <w:tcBorders>
              <w:top w:val="nil"/>
              <w:left w:val="nil"/>
              <w:bottom w:val="nil"/>
              <w:right w:val="nil"/>
            </w:tcBorders>
            <w:hideMark/>
          </w:tcPr>
          <w:p w14:paraId="38E0C861" w14:textId="77777777" w:rsidR="00000000" w:rsidRDefault="00280538">
            <w:pPr>
              <w:spacing w:line="276" w:lineRule="auto"/>
              <w:rPr>
                <w:rFonts w:ascii="Arial" w:hAnsi="Arial" w:cs="Arial"/>
              </w:rPr>
            </w:pPr>
            <w:r>
              <w:rPr>
                <w:rFonts w:ascii="Arial" w:hAnsi="Arial" w:cs="Arial"/>
              </w:rPr>
              <w:t>de terugbetaling van de hoofdsom van de lening vierhonderdzestienduizend vijfhonderd euro (€ 416.500,00), (daaronder begrepen de eventueel aan de Schuldenaar terugbetaalde aflossingsbedragen) en voorts de betaling van al hetgeen de Schuldenaar nu of op e</w:t>
            </w:r>
            <w:r>
              <w:rPr>
                <w:rFonts w:ascii="Arial" w:hAnsi="Arial" w:cs="Arial"/>
              </w:rPr>
              <w:t>nig tijdstip in de toekomst al dan niet opeisbaar, voorwaardelijk of onder tijdsbepaling aan ASR verschuldigd is of zal worden uit hoofde van de leningovereenkomst, deze akte, de Algemene Voorwaarden, eerdere met betrekking tot het hierna te noemen Onderpa</w:t>
            </w:r>
            <w:r>
              <w:rPr>
                <w:rFonts w:ascii="Arial" w:hAnsi="Arial" w:cs="Arial"/>
              </w:rPr>
              <w:t>nd verstrekte geldleningen, dan wel uit hoofde van nog te verstrekken geldleningen of kredieten al dan niet in rekening courant, dan wel uit welke hoofde dan ook, tot een bedrag van vijfhonderdduizend euro (€ 500.000,00), en</w:t>
            </w:r>
          </w:p>
        </w:tc>
      </w:tr>
      <w:tr w:rsidR="00000000" w14:paraId="42973968" w14:textId="77777777">
        <w:tc>
          <w:tcPr>
            <w:tcW w:w="450" w:type="dxa"/>
            <w:tcBorders>
              <w:top w:val="nil"/>
              <w:left w:val="nil"/>
              <w:bottom w:val="nil"/>
              <w:right w:val="nil"/>
            </w:tcBorders>
            <w:tcMar>
              <w:top w:w="0" w:type="dxa"/>
              <w:left w:w="0" w:type="dxa"/>
              <w:bottom w:w="0" w:type="dxa"/>
              <w:right w:w="75" w:type="dxa"/>
            </w:tcMar>
            <w:hideMark/>
          </w:tcPr>
          <w:p w14:paraId="59134D5A" w14:textId="77777777" w:rsidR="00000000" w:rsidRDefault="00280538">
            <w:pPr>
              <w:spacing w:line="276" w:lineRule="auto"/>
              <w:rPr>
                <w:rFonts w:ascii="Arial" w:hAnsi="Arial" w:cs="Arial"/>
              </w:rPr>
            </w:pPr>
            <w:r>
              <w:rPr>
                <w:rFonts w:ascii="Arial" w:hAnsi="Arial" w:cs="Arial"/>
              </w:rPr>
              <w:t>﻿</w:t>
            </w:r>
          </w:p>
        </w:tc>
        <w:tc>
          <w:tcPr>
            <w:tcW w:w="450" w:type="dxa"/>
            <w:tcBorders>
              <w:top w:val="nil"/>
              <w:left w:val="nil"/>
              <w:bottom w:val="nil"/>
              <w:right w:val="nil"/>
            </w:tcBorders>
            <w:tcMar>
              <w:top w:w="0" w:type="dxa"/>
              <w:left w:w="0" w:type="dxa"/>
              <w:bottom w:w="0" w:type="dxa"/>
              <w:right w:w="75" w:type="dxa"/>
            </w:tcMar>
            <w:hideMark/>
          </w:tcPr>
          <w:p w14:paraId="548B4964" w14:textId="77777777" w:rsidR="00000000" w:rsidRDefault="00280538">
            <w:pPr>
              <w:spacing w:line="276" w:lineRule="auto"/>
              <w:rPr>
                <w:rFonts w:ascii="Arial" w:hAnsi="Arial" w:cs="Arial"/>
              </w:rPr>
            </w:pPr>
            <w:r>
              <w:rPr>
                <w:rFonts w:ascii="Arial" w:hAnsi="Arial" w:cs="Arial"/>
              </w:rPr>
              <w:t>b.</w:t>
            </w:r>
          </w:p>
        </w:tc>
        <w:tc>
          <w:tcPr>
            <w:tcW w:w="0" w:type="auto"/>
            <w:tcBorders>
              <w:top w:val="nil"/>
              <w:left w:val="nil"/>
              <w:bottom w:val="nil"/>
              <w:right w:val="nil"/>
            </w:tcBorders>
            <w:hideMark/>
          </w:tcPr>
          <w:p w14:paraId="7E8B570B" w14:textId="77777777" w:rsidR="00000000" w:rsidRDefault="00280538">
            <w:pPr>
              <w:spacing w:line="276" w:lineRule="auto"/>
              <w:rPr>
                <w:rFonts w:ascii="Arial" w:hAnsi="Arial" w:cs="Arial"/>
              </w:rPr>
            </w:pPr>
            <w:r>
              <w:rPr>
                <w:rFonts w:ascii="Arial" w:hAnsi="Arial" w:cs="Arial"/>
              </w:rPr>
              <w:t xml:space="preserve">de betaling van de rente </w:t>
            </w:r>
            <w:r>
              <w:rPr>
                <w:rFonts w:ascii="Arial" w:hAnsi="Arial" w:cs="Arial"/>
              </w:rPr>
              <w:t xml:space="preserve">(inclusief overeen te komen verhogingen), boeten, vertragingsrente, kosten, schadevergoedingen nu of in de toekomst aan ASR verschuldigd uit hoofde van de leningovereenkomst en de betaling van al hetgeen ASR overigens uit hoofde van de leningovereenkomst, </w:t>
            </w:r>
            <w:r>
              <w:rPr>
                <w:rFonts w:ascii="Arial" w:hAnsi="Arial" w:cs="Arial"/>
              </w:rPr>
              <w:t>deze akte of de Algemene Voorwaarden van de Schuldenaar te vorderen mocht hebben, welke in deze paragraaf b bedoelde bedragen gezamenlijk worden begroot op een bedrag ad tweehonderdduizend euro (€ 200.000,00), zijnde veertig procent (40%) van het laatst ge</w:t>
            </w:r>
            <w:r>
              <w:rPr>
                <w:rFonts w:ascii="Arial" w:hAnsi="Arial" w:cs="Arial"/>
              </w:rPr>
              <w:t>noemde bedrag;</w:t>
            </w:r>
          </w:p>
        </w:tc>
      </w:tr>
    </w:tbl>
    <w:p w14:paraId="3E8220B9" w14:textId="77777777" w:rsidR="00000000" w:rsidRDefault="00280538">
      <w:pPr>
        <w:pStyle w:val="NormalWeb"/>
      </w:pPr>
      <w:r>
        <w:t>derhalve tot een totaalbedrag ad zevenhonderdduizend euro (€ 700.000,00), verleent de (Derde) Hypotheekgever bij deze aan ASR die van de (Derde) Hypotheekgever aanvaardt, het recht van eerste hypotheek op het hierna te omschrijven registerg</w:t>
      </w:r>
      <w:r>
        <w:t xml:space="preserve">oed (hierna te noemen het "Onderpand"): </w:t>
      </w:r>
    </w:p>
    <w:p w14:paraId="212E4029" w14:textId="77777777" w:rsidR="00000000" w:rsidRDefault="00280538">
      <w:pPr>
        <w:pStyle w:val="NormalWeb"/>
      </w:pPr>
      <w:r>
        <w:rPr>
          <w:rStyle w:val="Strong"/>
        </w:rPr>
        <w:t>het recht van eigendom met betrekking tot het woonhuis met ondergrond, erf, tuin, met al datgene wat volgens verkeersopvatting daartoe behoort, staande en gelegen te 4281 KN Andel, Burgemeester Baxlaan 1 A, kadastra</w:t>
      </w:r>
      <w:r>
        <w:rPr>
          <w:rStyle w:val="Strong"/>
        </w:rPr>
        <w:t>al bekend gemeente Woudrichem, sectie I, nummer 3178 ter grootte van drie are en zesenzestig centiare (3 a 66 ca).</w:t>
      </w:r>
    </w:p>
    <w:p w14:paraId="06602E67" w14:textId="77777777" w:rsidR="00000000" w:rsidRDefault="00280538">
      <w:pPr>
        <w:pStyle w:val="NormalWeb"/>
      </w:pPr>
      <w:r>
        <w:t>Hierna wordt onder Onderpand tevens verstaan ieder ander registergoed waarop hypothecaire zekerheid is gevestigd ten behoeve van ASR in verba</w:t>
      </w:r>
      <w:r>
        <w:t>nd met de Lening.</w:t>
      </w:r>
      <w:r>
        <w:br/>
        <w:t>De (Derde) Hypotheekgever staat er voorts jegens ASR voor in:</w:t>
      </w:r>
    </w:p>
    <w:tbl>
      <w:tblPr>
        <w:tblW w:w="0" w:type="auto"/>
        <w:tblCellMar>
          <w:left w:w="0" w:type="dxa"/>
          <w:right w:w="0" w:type="dxa"/>
        </w:tblCellMar>
        <w:tblLook w:val="04A0" w:firstRow="1" w:lastRow="0" w:firstColumn="1" w:lastColumn="0" w:noHBand="0" w:noVBand="1"/>
      </w:tblPr>
      <w:tblGrid>
        <w:gridCol w:w="450"/>
        <w:gridCol w:w="450"/>
        <w:gridCol w:w="8126"/>
      </w:tblGrid>
      <w:tr w:rsidR="00000000" w14:paraId="3EADC3E4" w14:textId="77777777">
        <w:tc>
          <w:tcPr>
            <w:tcW w:w="450" w:type="dxa"/>
            <w:tcBorders>
              <w:top w:val="nil"/>
              <w:left w:val="nil"/>
              <w:bottom w:val="nil"/>
              <w:right w:val="nil"/>
            </w:tcBorders>
            <w:tcMar>
              <w:top w:w="0" w:type="dxa"/>
              <w:left w:w="0" w:type="dxa"/>
              <w:bottom w:w="0" w:type="dxa"/>
              <w:right w:w="75" w:type="dxa"/>
            </w:tcMar>
            <w:hideMark/>
          </w:tcPr>
          <w:p w14:paraId="32E0E02A" w14:textId="77777777" w:rsidR="00000000" w:rsidRDefault="00280538">
            <w:pPr>
              <w:spacing w:line="276" w:lineRule="auto"/>
              <w:rPr>
                <w:rFonts w:ascii="Arial" w:hAnsi="Arial" w:cs="Arial"/>
              </w:rPr>
            </w:pPr>
            <w:r>
              <w:rPr>
                <w:rFonts w:ascii="Arial" w:hAnsi="Arial" w:cs="Arial"/>
              </w:rPr>
              <w:t>﻿</w:t>
            </w:r>
          </w:p>
        </w:tc>
        <w:tc>
          <w:tcPr>
            <w:tcW w:w="450" w:type="dxa"/>
            <w:tcBorders>
              <w:top w:val="nil"/>
              <w:left w:val="nil"/>
              <w:bottom w:val="nil"/>
              <w:right w:val="nil"/>
            </w:tcBorders>
            <w:tcMar>
              <w:top w:w="0" w:type="dxa"/>
              <w:left w:w="0" w:type="dxa"/>
              <w:bottom w:w="0" w:type="dxa"/>
              <w:right w:w="75" w:type="dxa"/>
            </w:tcMar>
            <w:hideMark/>
          </w:tcPr>
          <w:p w14:paraId="78046E51" w14:textId="77777777" w:rsidR="00000000" w:rsidRDefault="00280538">
            <w:pPr>
              <w:spacing w:line="276" w:lineRule="auto"/>
              <w:rPr>
                <w:rFonts w:ascii="Arial" w:hAnsi="Arial" w:cs="Arial"/>
              </w:rPr>
            </w:pPr>
            <w:r>
              <w:rPr>
                <w:rFonts w:ascii="Arial" w:hAnsi="Arial" w:cs="Arial"/>
              </w:rPr>
              <w:t>a.</w:t>
            </w:r>
          </w:p>
        </w:tc>
        <w:tc>
          <w:tcPr>
            <w:tcW w:w="0" w:type="auto"/>
            <w:tcBorders>
              <w:top w:val="nil"/>
              <w:left w:val="nil"/>
              <w:bottom w:val="nil"/>
              <w:right w:val="nil"/>
            </w:tcBorders>
            <w:hideMark/>
          </w:tcPr>
          <w:p w14:paraId="5D090911" w14:textId="77777777" w:rsidR="00000000" w:rsidRDefault="00280538">
            <w:pPr>
              <w:spacing w:line="276" w:lineRule="auto"/>
              <w:rPr>
                <w:rFonts w:ascii="Arial" w:hAnsi="Arial" w:cs="Arial"/>
              </w:rPr>
            </w:pPr>
            <w:r>
              <w:rPr>
                <w:rFonts w:ascii="Arial" w:hAnsi="Arial" w:cs="Arial"/>
              </w:rPr>
              <w:t>dat het voormelde Onderpand hem in volle en onbezwaarde eigendom toebehoort, behoudens het (de) eventuele ten behoeve van ASR eerder gevestigde hypotheekrecht(en) ten last</w:t>
            </w:r>
            <w:r>
              <w:rPr>
                <w:rFonts w:ascii="Arial" w:hAnsi="Arial" w:cs="Arial"/>
              </w:rPr>
              <w:t xml:space="preserve">e van de (Derde) Hypotheekgever, en dat hij daarover de onvoorwaardelijke beschikking heeft; </w:t>
            </w:r>
          </w:p>
        </w:tc>
      </w:tr>
      <w:tr w:rsidR="00000000" w14:paraId="0702D779" w14:textId="77777777">
        <w:tc>
          <w:tcPr>
            <w:tcW w:w="450" w:type="dxa"/>
            <w:tcBorders>
              <w:top w:val="nil"/>
              <w:left w:val="nil"/>
              <w:bottom w:val="nil"/>
              <w:right w:val="nil"/>
            </w:tcBorders>
            <w:tcMar>
              <w:top w:w="0" w:type="dxa"/>
              <w:left w:w="0" w:type="dxa"/>
              <w:bottom w:w="0" w:type="dxa"/>
              <w:right w:w="75" w:type="dxa"/>
            </w:tcMar>
            <w:hideMark/>
          </w:tcPr>
          <w:p w14:paraId="2B40DF31" w14:textId="77777777" w:rsidR="00000000" w:rsidRDefault="00280538">
            <w:pPr>
              <w:spacing w:line="276" w:lineRule="auto"/>
              <w:rPr>
                <w:rFonts w:ascii="Arial" w:hAnsi="Arial" w:cs="Arial"/>
              </w:rPr>
            </w:pPr>
            <w:r>
              <w:rPr>
                <w:rFonts w:ascii="Arial" w:hAnsi="Arial" w:cs="Arial"/>
              </w:rPr>
              <w:t>﻿</w:t>
            </w:r>
          </w:p>
        </w:tc>
        <w:tc>
          <w:tcPr>
            <w:tcW w:w="450" w:type="dxa"/>
            <w:tcBorders>
              <w:top w:val="nil"/>
              <w:left w:val="nil"/>
              <w:bottom w:val="nil"/>
              <w:right w:val="nil"/>
            </w:tcBorders>
            <w:tcMar>
              <w:top w:w="0" w:type="dxa"/>
              <w:left w:w="0" w:type="dxa"/>
              <w:bottom w:w="0" w:type="dxa"/>
              <w:right w:w="75" w:type="dxa"/>
            </w:tcMar>
            <w:hideMark/>
          </w:tcPr>
          <w:p w14:paraId="72BF1AB6" w14:textId="77777777" w:rsidR="00000000" w:rsidRDefault="00280538">
            <w:pPr>
              <w:spacing w:line="276" w:lineRule="auto"/>
              <w:rPr>
                <w:rFonts w:ascii="Arial" w:hAnsi="Arial" w:cs="Arial"/>
              </w:rPr>
            </w:pPr>
            <w:r>
              <w:rPr>
                <w:rFonts w:ascii="Arial" w:hAnsi="Arial" w:cs="Arial"/>
              </w:rPr>
              <w:t>b.</w:t>
            </w:r>
          </w:p>
        </w:tc>
        <w:tc>
          <w:tcPr>
            <w:tcW w:w="0" w:type="auto"/>
            <w:tcBorders>
              <w:top w:val="nil"/>
              <w:left w:val="nil"/>
              <w:bottom w:val="nil"/>
              <w:right w:val="nil"/>
            </w:tcBorders>
            <w:hideMark/>
          </w:tcPr>
          <w:p w14:paraId="2870B600" w14:textId="77777777" w:rsidR="00000000" w:rsidRDefault="00280538">
            <w:pPr>
              <w:spacing w:line="276" w:lineRule="auto"/>
              <w:rPr>
                <w:rFonts w:ascii="Arial" w:hAnsi="Arial" w:cs="Arial"/>
              </w:rPr>
            </w:pPr>
            <w:r>
              <w:rPr>
                <w:rFonts w:ascii="Arial" w:hAnsi="Arial" w:cs="Arial"/>
              </w:rPr>
              <w:t xml:space="preserve">dat het voormelde Onderpand niet is belast met beslagen of met een recht van vruchtgebruik en niet is verhuurd noch anderszins in gebruik of genot is afgestaan aan derden; en </w:t>
            </w:r>
          </w:p>
        </w:tc>
      </w:tr>
      <w:tr w:rsidR="00000000" w14:paraId="6A6CB6D1" w14:textId="77777777">
        <w:tc>
          <w:tcPr>
            <w:tcW w:w="450" w:type="dxa"/>
            <w:tcBorders>
              <w:top w:val="nil"/>
              <w:left w:val="nil"/>
              <w:bottom w:val="nil"/>
              <w:right w:val="nil"/>
            </w:tcBorders>
            <w:tcMar>
              <w:top w:w="0" w:type="dxa"/>
              <w:left w:w="0" w:type="dxa"/>
              <w:bottom w:w="0" w:type="dxa"/>
              <w:right w:w="75" w:type="dxa"/>
            </w:tcMar>
            <w:hideMark/>
          </w:tcPr>
          <w:p w14:paraId="1310FCA6" w14:textId="77777777" w:rsidR="00000000" w:rsidRDefault="00280538">
            <w:pPr>
              <w:spacing w:line="276" w:lineRule="auto"/>
              <w:rPr>
                <w:rFonts w:ascii="Arial" w:hAnsi="Arial" w:cs="Arial"/>
              </w:rPr>
            </w:pPr>
            <w:r>
              <w:rPr>
                <w:rFonts w:ascii="Arial" w:hAnsi="Arial" w:cs="Arial"/>
              </w:rPr>
              <w:t>﻿</w:t>
            </w:r>
          </w:p>
        </w:tc>
        <w:tc>
          <w:tcPr>
            <w:tcW w:w="450" w:type="dxa"/>
            <w:tcBorders>
              <w:top w:val="nil"/>
              <w:left w:val="nil"/>
              <w:bottom w:val="nil"/>
              <w:right w:val="nil"/>
            </w:tcBorders>
            <w:tcMar>
              <w:top w:w="0" w:type="dxa"/>
              <w:left w:w="0" w:type="dxa"/>
              <w:bottom w:w="0" w:type="dxa"/>
              <w:right w:w="75" w:type="dxa"/>
            </w:tcMar>
            <w:hideMark/>
          </w:tcPr>
          <w:p w14:paraId="0DB92EEB" w14:textId="77777777" w:rsidR="00000000" w:rsidRDefault="00280538">
            <w:pPr>
              <w:spacing w:line="276" w:lineRule="auto"/>
              <w:rPr>
                <w:rFonts w:ascii="Arial" w:hAnsi="Arial" w:cs="Arial"/>
              </w:rPr>
            </w:pPr>
            <w:r>
              <w:rPr>
                <w:rFonts w:ascii="Arial" w:hAnsi="Arial" w:cs="Arial"/>
              </w:rPr>
              <w:t>c.</w:t>
            </w:r>
          </w:p>
        </w:tc>
        <w:tc>
          <w:tcPr>
            <w:tcW w:w="0" w:type="auto"/>
            <w:tcBorders>
              <w:top w:val="nil"/>
              <w:left w:val="nil"/>
              <w:bottom w:val="nil"/>
              <w:right w:val="nil"/>
            </w:tcBorders>
            <w:hideMark/>
          </w:tcPr>
          <w:p w14:paraId="1449B335" w14:textId="77777777" w:rsidR="00000000" w:rsidRDefault="00280538">
            <w:pPr>
              <w:spacing w:line="276" w:lineRule="auto"/>
              <w:rPr>
                <w:rFonts w:ascii="Arial" w:hAnsi="Arial" w:cs="Arial"/>
              </w:rPr>
            </w:pPr>
            <w:r>
              <w:rPr>
                <w:rFonts w:ascii="Arial" w:hAnsi="Arial" w:cs="Arial"/>
              </w:rPr>
              <w:t xml:space="preserve">dat het voormelde Onderpand niet anders met recht van hypotheek is of kan </w:t>
            </w:r>
            <w:r>
              <w:rPr>
                <w:rFonts w:ascii="Arial" w:hAnsi="Arial" w:cs="Arial"/>
              </w:rPr>
              <w:t>worden bezwaard dan krachtens deze akte, behoudens het (de) eventuele ten behoeve van ASR eerder gevestigde hypotheekrecht(en) ten laste van de (Derde) Hypotheekgever.</w:t>
            </w:r>
          </w:p>
        </w:tc>
      </w:tr>
    </w:tbl>
    <w:p w14:paraId="67AE6377" w14:textId="77777777" w:rsidR="00000000" w:rsidRDefault="00280538">
      <w:pPr>
        <w:pStyle w:val="NormalWeb"/>
      </w:pPr>
      <w:r>
        <w:lastRenderedPageBreak/>
        <w:t>De (Derde) Hypotheekgever en ASR komen hierbij overeen dat, indien ASR (een deel van) h</w:t>
      </w:r>
      <w:r>
        <w:t xml:space="preserve">aar vordering(en) tot zekerheid waarvan onderhavig hypotheekrecht wordt gevestigd, overdraagt aan een derde, op deze derde tevens een met (het overgedragen deel van) deze vordering(en) evenredig deel van het hiervoor bedoelde hypotheekrecht als nevenrecht </w:t>
      </w:r>
      <w:r>
        <w:t xml:space="preserve">zal overgaan. </w:t>
      </w:r>
    </w:p>
    <w:p w14:paraId="282AA985" w14:textId="77777777" w:rsidR="00000000" w:rsidRDefault="00280538">
      <w:pPr>
        <w:pStyle w:val="NormalWeb"/>
      </w:pPr>
      <w:r>
        <w:rPr>
          <w:u w:val="single"/>
        </w:rPr>
        <w:t>Opzegging</w:t>
      </w:r>
    </w:p>
    <w:p w14:paraId="07B60C44" w14:textId="77777777" w:rsidR="00000000" w:rsidRDefault="00280538">
      <w:pPr>
        <w:pStyle w:val="NormalWeb"/>
      </w:pPr>
      <w:r>
        <w:t>ASR is bevoegd, de bij deze akte aan ASR verleende rechten van hypotheek en/of pand, geheel of gedeeltelijk, op te zeggen.</w:t>
      </w:r>
    </w:p>
    <w:p w14:paraId="6E0141FA" w14:textId="77777777" w:rsidR="00000000" w:rsidRDefault="00280538">
      <w:pPr>
        <w:pStyle w:val="NormalWeb"/>
      </w:pPr>
      <w:r>
        <w:rPr>
          <w:u w:val="single"/>
        </w:rPr>
        <w:t>Woonplaats</w:t>
      </w:r>
    </w:p>
    <w:p w14:paraId="414CF347" w14:textId="77777777" w:rsidR="00000000" w:rsidRDefault="00280538">
      <w:pPr>
        <w:pStyle w:val="NormalWeb"/>
      </w:pPr>
      <w:r>
        <w:t>Partijen kiezen woonplaats ten kantore van de bewaarder van deze akte.</w:t>
      </w:r>
    </w:p>
    <w:p w14:paraId="401DD484" w14:textId="77777777" w:rsidR="00000000" w:rsidRDefault="00280538">
      <w:pPr>
        <w:pStyle w:val="NormalWeb"/>
        <w:sectPr w:rsidR="00B071AA" w:rsidSect="0086164B">
          <w:pgSz w:w="11907" w:h="16840" w:code="9"/>
          <w:pgMar w:top="3401" w:right="1417" w:bottom="1417" w:left="2834" w:header="1044" w:footer="566" w:gutter="0"/>
          <w:cols w:space="708"/>
          <w:docGrid w:linePitch="326"/>
          <w:formProt w:val="1"/>
          <w:pgNumType w:fmt="decimal"/>
          <w:headerReference w:type="default" r:id="rId10"/>
        </w:sectPr>
      </w:pPr>
      <w:r>
        <w:t>EINDE KADASTERDEEL</w:t>
      </w:r>
    </w:p>
    <w:bookmarkEnd w:id="0"/>
    <w:p w:rsidR="004A369F" w:rsidRDefault="00C53038" w:rsidP="00946B0E">
      <w:pPr>
        <w:suppressAutoHyphens/>
        <w:rPr>
          <w:u w:val="single"/>
        </w:rPr>
      </w:pPr>
      <w:r>
        <w:rPr>
          <w:u w:val="single"/>
        </w:rPr>
        <w:t>Verkrijging</w:t>
      </w:r>
    </w:p>
    <w:p w:rsidR="00E94506" w:rsidRDefault="00C2174A" w:rsidP="00C2174A">
      <w:r>
        <w:t>De hypotheekgever</w:t>
      </w:r>
      <w:r w:rsidR="00E94506">
        <w:t xml:space="preserve"> onder 2</w:t>
      </w:r>
      <w:r w:rsidR="00E21EEE">
        <w:t>a</w:t>
      </w:r>
      <w:r>
        <w:t xml:space="preserve"> staat er jegens ASR voor in dat hij de eigendom van het onder “Hypotheekstelling en</w:t>
      </w:r>
      <w:r w:rsidR="00E21EEE">
        <w:t xml:space="preserve"> verpanding” vermelde onderpand</w:t>
      </w:r>
      <w:r>
        <w:t>, verkreeg</w:t>
      </w:r>
      <w:r w:rsidR="00E94506">
        <w:t>:</w:t>
      </w:r>
    </w:p>
    <w:p w:rsidR="00E94506" w:rsidRDefault="00E94506" w:rsidP="00E94506">
      <w:pPr>
        <w:ind w:left="420" w:hanging="420"/>
      </w:pPr>
      <w:r>
        <w:t xml:space="preserve">- </w:t>
      </w:r>
      <w:r>
        <w:tab/>
        <w:t>deels</w:t>
      </w:r>
      <w:r w:rsidR="00C2174A">
        <w:t xml:space="preserve"> door de inschrijving ten kantore van de Dienst voor het kadaster en de openbare </w:t>
      </w:r>
      <w:r w:rsidR="00E21EEE">
        <w:t>registers</w:t>
      </w:r>
      <w:r w:rsidR="00C2174A">
        <w:t>, op zestien november tweeduizend negen in het Register Hypotheken 4, deel 57458, nummer 69, van een afschrift van een akte tot levering, houdende kwijting voor de betaling van de koopprijs</w:t>
      </w:r>
      <w:r w:rsidR="00E21EEE">
        <w:t xml:space="preserve"> </w:t>
      </w:r>
      <w:r w:rsidR="00E21EEE" w:rsidRPr="00E21EEE">
        <w:t>en het ontbreken van de ontbindende voorwaarden die de verkrijging ongedaan zouden kunnen maken</w:t>
      </w:r>
      <w:r w:rsidR="00C2174A">
        <w:t>, op dertien november tweeduizend negen, opgemaakt do</w:t>
      </w:r>
      <w:r w:rsidR="00E21EEE">
        <w:t>or notaris</w:t>
      </w:r>
      <w:r w:rsidR="00C2174A">
        <w:t xml:space="preserve"> </w:t>
      </w:r>
      <w:r w:rsidR="00E21EEE">
        <w:t>Bongers, voornoemd</w:t>
      </w:r>
      <w:r>
        <w:t>;</w:t>
      </w:r>
    </w:p>
    <w:p w:rsidR="00E21EEE" w:rsidRDefault="00E94506" w:rsidP="00E94506">
      <w:pPr>
        <w:ind w:left="420" w:hanging="420"/>
      </w:pPr>
      <w:r>
        <w:t xml:space="preserve">- </w:t>
      </w:r>
      <w:r>
        <w:tab/>
        <w:t xml:space="preserve">deels </w:t>
      </w:r>
      <w:r w:rsidR="00E21EEE">
        <w:t xml:space="preserve">door de inschrijving ten kantore van de Dienst voor het kadaster en de openbare registers, op éénentwintig november tweeduizend zestien in het Register Hypotheken 4, deel 69458, nummer 54, van een afschrift van een akte tot levering, houdende kwijting voor de betaling van de koopprijs </w:t>
      </w:r>
      <w:r w:rsidR="00E21EEE" w:rsidRPr="00E21EEE">
        <w:t>en het ontbreken van de ontbindende voorwaarden die de verkrijging ongedaan zouden kunnen maken</w:t>
      </w:r>
      <w:r w:rsidR="00E21EEE">
        <w:t>, op achttien november tweeduizend zestien, opgemaakt door notaris Bongers, voornoemd.</w:t>
      </w:r>
    </w:p>
    <w:p w:rsidR="004A369F" w:rsidRDefault="00836385" w:rsidP="00946B0E">
      <w:pPr>
        <w:rPr>
          <w:b/>
        </w:rPr>
      </w:pPr>
      <w:r>
        <w:rPr>
          <w:b/>
        </w:rPr>
        <w:t>C.</w:t>
      </w:r>
      <w:r>
        <w:rPr>
          <w:b/>
        </w:rPr>
        <w:tab/>
        <w:t>VERPANDING</w:t>
      </w:r>
    </w:p>
    <w:p w:rsidR="004A369F" w:rsidRDefault="00326FD1" w:rsidP="00771281">
      <w:pPr>
        <w:suppressAutoHyphens/>
        <w:rPr>
          <w:b/>
        </w:rPr>
      </w:pPr>
      <w:r>
        <w:rPr>
          <w:b/>
        </w:rPr>
        <w:t xml:space="preserve">Pandrecht </w:t>
      </w:r>
    </w:p>
    <w:p w:rsidR="004A369F" w:rsidRDefault="00A52CF0" w:rsidP="00771281">
      <w:pPr>
        <w:suppressAutoHyphens/>
      </w:pPr>
      <w:r>
        <w:lastRenderedPageBreak/>
        <w:t>De Hypotheekgever geeft hierbij (voor zover nodig bij voorbaat), tot zekerheid voor betaling van de Schuld, in pand aan ASR, welke verpanding ASR hierbij aanvaardt:</w:t>
      </w:r>
    </w:p>
    <w:p w:rsidR="004A369F" w:rsidRDefault="00326FD1" w:rsidP="00771281">
      <w:pPr>
        <w:suppressAutoHyphens/>
        <w:ind w:left="426" w:hanging="426"/>
      </w:pPr>
      <w:r>
        <w:t>a.</w:t>
      </w:r>
      <w:r>
        <w:tab/>
        <w:t>alle bestaande en toekomstige, rechten en vorderingen, voortvloeiende uit huur- of pachtovereenkomsten die het Onderpand, in bijzonder de rechten op de huurpenningen respectievelijk pachtpenningen en op vergoedingen, ongeacht welke, ter zake van het gebruik van het Onderpand. De Hypotheekgever verbindt zich om, indien ten aanzien van het Onderpand een deel daarvan met schriftelijke toestemming van ASR nieuwe huur- of pachtovereenkomsten worden gesloten, de uit die overeenkomsten voortvloeiende rechten en vorderingen aan ASR te verpanden;</w:t>
      </w:r>
    </w:p>
    <w:p w:rsidR="004A369F" w:rsidRDefault="00326FD1" w:rsidP="00771281">
      <w:pPr>
        <w:suppressAutoHyphens/>
        <w:ind w:left="426" w:hanging="426"/>
      </w:pPr>
      <w:r>
        <w:t>b.</w:t>
      </w:r>
      <w:r>
        <w:tab/>
        <w:t>alle bestaande en toekomstige rechten en vorderingen die de Hypotheekgever tegen degenen die het Onderpand zonder recht of titel in gebruik (zullen) hebben, kan laten gelden;</w:t>
      </w:r>
    </w:p>
    <w:p w:rsidR="004A369F" w:rsidRDefault="00326FD1" w:rsidP="00771281">
      <w:pPr>
        <w:suppressAutoHyphens/>
        <w:ind w:left="426" w:hanging="426"/>
      </w:pPr>
      <w:r>
        <w:t>c.</w:t>
      </w:r>
      <w:r>
        <w:tab/>
        <w:t>alle bestaande en toekomstige rechten en vorderingen die de Hypotheekgever tegenover derden mocht hebben of verkrijgen in geval van ontbinding, nietigverklaring of vernietiging van de overeenkomst(en), krachtens welke het Onderpand of een gedeelte daarvan door de Hypotheekgever of één van diens rechtsvoorgangers werd verkregen;</w:t>
      </w:r>
    </w:p>
    <w:p w:rsidR="004A369F" w:rsidRDefault="00326FD1" w:rsidP="00771281">
      <w:pPr>
        <w:suppressAutoHyphens/>
        <w:ind w:left="426" w:hanging="426"/>
      </w:pPr>
      <w:proofErr w:type="spellStart"/>
      <w:r>
        <w:t>d.</w:t>
      </w:r>
      <w:proofErr w:type="spellEnd"/>
      <w:r>
        <w:tab/>
        <w:t>indien het recht van hypotheek wordt gevestigd op een appartementsrecht; alle rechten en vorderingen die de Hypotheekgever jegens de vereniging van eigenaars, de gezamenlijke eigenaars en/of de administrateur met betrekking tot het Onderpand kan doen gelden;</w:t>
      </w:r>
    </w:p>
    <w:p w:rsidR="004A369F" w:rsidRDefault="00326FD1" w:rsidP="00771281">
      <w:pPr>
        <w:suppressAutoHyphens/>
        <w:ind w:left="426" w:hanging="426"/>
      </w:pPr>
      <w:r>
        <w:t>e.</w:t>
      </w:r>
      <w:r>
        <w:tab/>
        <w:t>indien er sprake is van een bouwdepotrekening, het bedrag op de bouwdepotrekening; en</w:t>
      </w:r>
    </w:p>
    <w:p w:rsidR="004A369F" w:rsidRDefault="00326FD1" w:rsidP="00771281">
      <w:pPr>
        <w:suppressAutoHyphens/>
        <w:ind w:left="426" w:hanging="426"/>
      </w:pPr>
      <w:r>
        <w:t>f.</w:t>
      </w:r>
      <w:r>
        <w:tab/>
        <w:t>indien het recht van hypotheek is verleend op een recht van erfpacht, ondererfpacht, of ander beperkt recht: alle rechten die de Hypotheekgever krachtens de akte van vestiging en krachtens enige wettelijke bepaling jegens de eigenaar kan laten gelden, daaronder begrepen rechten op schadevergoeding of uitkering bij het eindigen van het recht van erfpacht, ondererfpacht, of ander beperkt recht.</w:t>
      </w:r>
    </w:p>
    <w:p w:rsidR="004A369F" w:rsidRDefault="00326FD1" w:rsidP="00771281">
      <w:pPr>
        <w:suppressAutoHyphens/>
        <w:rPr>
          <w:b/>
        </w:rPr>
      </w:pPr>
      <w:r>
        <w:rPr>
          <w:b/>
        </w:rPr>
        <w:t xml:space="preserve">Verpanding roerende zaken </w:t>
      </w:r>
    </w:p>
    <w:p w:rsidR="004A369F" w:rsidRDefault="00326FD1" w:rsidP="00771281">
      <w:pPr>
        <w:suppressAutoHyphens/>
      </w:pPr>
      <w:r>
        <w:lastRenderedPageBreak/>
        <w:t>Voorts geeft de Hypotheekgever hierbij (voor zover nodig bij voorbaat), tot zekerheid van de betaling van de Schuld, in pand aan ASR, welke verpanding ASR hierbij aanvaardt, alle bestaande en toekomstige roerende zaken die de Hypotheekgever heeft of te eniger tijd zal verkrijgen en die volgens verkeersopvatting dan wel door de rechthebbende bestemd zijn om het Onderpand duurzaam te dienen en door hun vorm als zodanig zijn te herkennen en op al hetgeen dat voor het verpande op enige tijdstip in plaats treedt.</w:t>
      </w:r>
    </w:p>
    <w:p w:rsidR="004A369F" w:rsidRDefault="00326FD1" w:rsidP="00B33B42">
      <w:pPr>
        <w:suppressAutoHyphens/>
      </w:pPr>
      <w:r>
        <w:t>Met betrekking tot de onder C. omschreven rechten, vorderingen, roerende zaken, Effecten en vruchten (hierna ook: "Goederen") verklaart en staat de Hypotheekgever er jegens ASR voor in:</w:t>
      </w:r>
    </w:p>
    <w:p w:rsidR="004A369F" w:rsidRDefault="00326FD1" w:rsidP="00B33B42">
      <w:pPr>
        <w:suppressAutoHyphens/>
        <w:ind w:left="426" w:hanging="426"/>
      </w:pPr>
      <w:r>
        <w:t>a.</w:t>
      </w:r>
      <w:r>
        <w:tab/>
        <w:t>dat de Hypotheekgever de volle onbezwaarde juridische en economisch eigendom heeft van, met uitsluiting van iedere andere persoon rechthebbende is op, de Goederen;</w:t>
      </w:r>
    </w:p>
    <w:p w:rsidR="004A369F" w:rsidRDefault="00326FD1" w:rsidP="00B33B42">
      <w:pPr>
        <w:suppressAutoHyphens/>
        <w:ind w:left="426" w:hanging="426"/>
      </w:pPr>
      <w:r>
        <w:t>b.</w:t>
      </w:r>
      <w:r>
        <w:tab/>
        <w:t>dat (Derde) Hypotheekgever bevoegd is de Goederen aan ASR te verpanden;</w:t>
      </w:r>
    </w:p>
    <w:p w:rsidR="004A369F" w:rsidRDefault="00326FD1" w:rsidP="00B33B42">
      <w:pPr>
        <w:suppressAutoHyphens/>
        <w:ind w:left="426" w:hanging="426"/>
      </w:pPr>
      <w:r>
        <w:t>c.</w:t>
      </w:r>
      <w:r>
        <w:tab/>
        <w:t xml:space="preserve">dat de Goederen niet geheel of gedeeltelijk zijn bezwaard met een pandrecht, recht van vruchtgebruik, beslag of ander beperkt recht. </w:t>
      </w:r>
    </w:p>
    <w:p w:rsidR="004A369F" w:rsidRDefault="00326FD1" w:rsidP="00B33B42">
      <w:pPr>
        <w:suppressAutoHyphens/>
      </w:pPr>
      <w:r>
        <w:t>De hierbij aan ASR verpande Goederen worden aan ASR verpand met alle daaraan verbonden nevenrechten en afhankelijke rechten.</w:t>
      </w:r>
    </w:p>
    <w:p w:rsidR="004A369F" w:rsidRDefault="00326FD1" w:rsidP="00B33B42">
      <w:pPr>
        <w:suppressAutoHyphens/>
      </w:pPr>
      <w:r>
        <w:t xml:space="preserve">ASR is steeds bevoegd de Goederen die ASR in pand heeft op basis van deze akte te </w:t>
      </w:r>
      <w:proofErr w:type="spellStart"/>
      <w:r>
        <w:t>herverpanden</w:t>
      </w:r>
      <w:proofErr w:type="spellEnd"/>
      <w:r>
        <w:t>.</w:t>
      </w:r>
    </w:p>
    <w:p w:rsidR="004A369F" w:rsidRDefault="00A52CF0" w:rsidP="00B33B42">
      <w:pPr>
        <w:suppressAutoHyphens/>
      </w:pPr>
      <w:r>
        <w:t>De Hypotheekgever en ASR komen hierbij met betrekking tot de onder C. omschreven pandrechten overeen dat indien ASR (een deel van) haar vordering(en) tot zekerheid waarvan onderhavig pandrecht wordt gevestigd, overdraagt aan een derde, op deze derde tevens een met (het overgedragen deel van) deze vordering(en) evenredig deel van de hiervoor bedoelde pandrecht en als nevenrecht zal overgaan.</w:t>
      </w:r>
    </w:p>
    <w:p w:rsidR="004A369F" w:rsidRDefault="006F0C84" w:rsidP="00836385">
      <w:pPr>
        <w:rPr>
          <w:b/>
        </w:rPr>
      </w:pPr>
      <w:r>
        <w:rPr>
          <w:b/>
        </w:rPr>
        <w:t>D.</w:t>
      </w:r>
      <w:r>
        <w:rPr>
          <w:b/>
        </w:rPr>
        <w:tab/>
        <w:t>UITWINNING</w:t>
      </w:r>
    </w:p>
    <w:p w:rsidR="004A369F" w:rsidRDefault="00326FD1" w:rsidP="006F4571">
      <w:pPr>
        <w:suppressAutoHyphens/>
        <w:rPr>
          <w:u w:val="single"/>
        </w:rPr>
      </w:pPr>
      <w:r>
        <w:rPr>
          <w:u w:val="single"/>
        </w:rPr>
        <w:t>Uitwinning</w:t>
      </w:r>
    </w:p>
    <w:p w:rsidR="004A369F" w:rsidRDefault="00326FD1" w:rsidP="006F4571">
      <w:pPr>
        <w:suppressAutoHyphens/>
      </w:pPr>
      <w:r>
        <w:t>De Schuld is onmiddellijk opeisbaar als zich een opeisinggrond en / of omstandigheid die tot opeisbaarheid leidt voordoet welke is opgenomen in de Algemene Voorwaarden.</w:t>
      </w:r>
    </w:p>
    <w:p w:rsidR="004A369F" w:rsidRDefault="00326FD1" w:rsidP="006F4571">
      <w:pPr>
        <w:suppressAutoHyphens/>
      </w:pPr>
      <w:r>
        <w:t xml:space="preserve">Indien zich een verzuim in de behoorlijke voldoening van (een deel van) de Schuld voordoet, is ASR gerechtigd om de rechten onder B en C uit te winnen overeenkomstig Nederlands recht en ander toepasselijk recht en kan ASR alle (juridische) stappen ondernemen en maatregelen treffen, die ASR nodig of wenselijk acht en de Hypotheekgever dient </w:t>
      </w:r>
      <w:r>
        <w:lastRenderedPageBreak/>
        <w:t>aan ASR medewerking te verlenen op elke wijze die ASR nodig of wenselijk acht voor de uitwinning van deze rechten.</w:t>
      </w:r>
    </w:p>
    <w:p w:rsidR="004A369F" w:rsidRDefault="00326FD1" w:rsidP="006F4571">
      <w:pPr>
        <w:suppressAutoHyphens/>
      </w:pPr>
      <w:r>
        <w:t>Indien zich een verzuim in de behoorlijke voldoening van (een deel van) de Schuld voordoet, is ASR gerechtigd om gerechtelijke of buitengerechtelijke akkoorden aan te gaan en een stem uit te brengen in verband met dergelijke akkoorden of een schikking te treffen met een derde.</w:t>
      </w:r>
    </w:p>
    <w:p w:rsidR="004A369F" w:rsidRDefault="00326FD1" w:rsidP="006F4571">
      <w:pPr>
        <w:suppressAutoHyphens/>
        <w:rPr>
          <w:u w:val="single"/>
        </w:rPr>
      </w:pPr>
      <w:r>
        <w:rPr>
          <w:u w:val="single"/>
        </w:rPr>
        <w:t>Afstand van rechten</w:t>
      </w:r>
    </w:p>
    <w:p w:rsidR="004A369F" w:rsidRDefault="00326FD1" w:rsidP="006F4571">
      <w:pPr>
        <w:suppressAutoHyphens/>
      </w:pPr>
      <w:r>
        <w:t>ASR is niet verplicht mededeling te doen van een voorgenomen verkoop van de roerende zaken, rechten, vorderingen, effecten en vruchten aan de Hypotheekgever, schuldenaren, houders van beperkte rechten of personen die beslag hebben gelegd op de roerende zaken, rechten en vorderingen, effecten en vruchten, als vereist in artikel 3:249 BW en artikel 3:252 BW.</w:t>
      </w:r>
    </w:p>
    <w:p w:rsidR="004A369F" w:rsidRDefault="00A52CF0" w:rsidP="006F4571">
      <w:pPr>
        <w:suppressAutoHyphens/>
      </w:pPr>
      <w:r>
        <w:t>De Hypotheekgever doet hierbij afstand van diens rechten om een verzoek te richten aan de voorzieningenrechter van de rechtbank (i) zoals bedoeld in artikel 3:251 lid 1 BW om te bepalen, dat de roerende zaken, rechten, vorderingen, effecten en vruchten op een andere wijze dan bedoeld in artikel 3:250 BW dienen te worden verkocht, en (ii) zoals bedoeld in artikel 3:246 lid 4 BW om vorderingen te innen en hiervan betaling te ontvangen nadat de bevoegdheid daartoe is beëindigd.</w:t>
      </w:r>
    </w:p>
    <w:p w:rsidR="004A369F" w:rsidRDefault="00A52CF0" w:rsidP="006F4571">
      <w:pPr>
        <w:suppressAutoHyphens/>
      </w:pPr>
      <w:r>
        <w:t>De Hypotheekgever doet afstand van diens rechten om te verlangen dat ASR (i) eerst de zekerheidsrechten met betrekking tot enig ander persoon zal uitwinnen op grond van artikel 3:234 BW, of (ii) eerst enig ander persoon zal aanspreken of hiervan betaling te verlangen of enige garantie uit te winnen, alvorens een pandrecht uit te winnen.</w:t>
      </w:r>
    </w:p>
    <w:p w:rsidR="004A369F" w:rsidRDefault="00A52CF0" w:rsidP="006F4571">
      <w:pPr>
        <w:suppressAutoHyphens/>
      </w:pPr>
      <w:r>
        <w:t>De Hypotheekgever doet afstand van diens rechten onder artikel 3:233 lid 2 BW.</w:t>
      </w:r>
    </w:p>
    <w:p w:rsidR="004A369F" w:rsidRDefault="00836385" w:rsidP="00836385">
      <w:pPr>
        <w:ind w:left="426" w:hanging="426"/>
        <w:rPr>
          <w:b/>
        </w:rPr>
      </w:pPr>
      <w:r>
        <w:rPr>
          <w:b/>
        </w:rPr>
        <w:t>E.</w:t>
      </w:r>
      <w:r>
        <w:rPr>
          <w:b/>
        </w:rPr>
        <w:tab/>
        <w:t>ALGEMENE VOORWAARDEN</w:t>
      </w:r>
    </w:p>
    <w:p w:rsidR="004A369F" w:rsidRDefault="00326FD1" w:rsidP="006F4571">
      <w:pPr>
        <w:suppressAutoHyphens/>
      </w:pPr>
      <w:r>
        <w:t>De Algemene Voorwaarden bevatten onder meer de bepalingen van de volgende strekking die hierbij voor zover nodig uitdrukkelijk worden bedongen:</w:t>
      </w:r>
    </w:p>
    <w:p w:rsidR="004A369F" w:rsidRDefault="00326FD1" w:rsidP="006F4571">
      <w:pPr>
        <w:suppressAutoHyphens/>
        <w:ind w:left="426" w:hanging="426"/>
      </w:pPr>
      <w:r>
        <w:t>a.</w:t>
      </w:r>
      <w:r>
        <w:tab/>
        <w:t>de Schuld, daaronder begrepen maar niet beperkt tot de hoofdsom van de Lening met rente en kosten, is op eerste verzoek van ASR terstond opeisbaar, zonder dat nadere ingebrekestelling is vereist, in elk van de gevallen genoemd in artikel 15 van de Algemene Voorwaarden;</w:t>
      </w:r>
    </w:p>
    <w:p w:rsidR="004A369F" w:rsidRDefault="00326FD1" w:rsidP="006F4571">
      <w:pPr>
        <w:suppressAutoHyphens/>
        <w:ind w:left="426" w:hanging="426"/>
      </w:pPr>
      <w:r>
        <w:lastRenderedPageBreak/>
        <w:t>b.</w:t>
      </w:r>
      <w:r>
        <w:tab/>
        <w:t>indien de Schuldenaar in verzuim is met de voldoening van de Schuld, is ASR bevoegd het Onderpand en de aan ASR verpande goederen executoriaal te (doen) verkopen met inachtneming van de daarop betrekking hebbende wetsbepalingen;</w:t>
      </w:r>
    </w:p>
    <w:p w:rsidR="004A369F" w:rsidRDefault="00326FD1" w:rsidP="006F4571">
      <w:pPr>
        <w:suppressAutoHyphens/>
        <w:ind w:left="426" w:hanging="426"/>
      </w:pPr>
      <w:r>
        <w:t>c.</w:t>
      </w:r>
      <w:r>
        <w:tab/>
        <w:t xml:space="preserve">is voor de Schuld tot zekerheid waarvoor het recht van hypotheek strekt tevens pandrecht gevestigd op roerende zaken die volgens verkeersopvatting dan wel door de rechthebbende bestemd zijn het Onderpand duurzaam te dienen en door hun vorm als zodanig zijn te herkennen, dan is ASR bevoegd de verpande en verhypothekeerde goederen tezamen te executeren volgens de voor hypotheek geldende regels; </w:t>
      </w:r>
    </w:p>
    <w:p w:rsidR="004A369F" w:rsidRDefault="00326FD1" w:rsidP="006F4571">
      <w:pPr>
        <w:suppressAutoHyphens/>
        <w:ind w:left="426" w:hanging="426"/>
      </w:pPr>
      <w:proofErr w:type="spellStart"/>
      <w:r>
        <w:t>d.</w:t>
      </w:r>
      <w:proofErr w:type="spellEnd"/>
      <w:r>
        <w:tab/>
        <w:t xml:space="preserve">het Onderpand mag niet zonder schriftelijke toestemming van ASR geheel of gedeeltelijk worden verhuurd of verpacht of door een derde anderszins worden gebruikt: </w:t>
      </w:r>
    </w:p>
    <w:p w:rsidR="004A369F" w:rsidRDefault="00326FD1" w:rsidP="006F4571">
      <w:pPr>
        <w:suppressAutoHyphens/>
        <w:ind w:left="426" w:hanging="426"/>
      </w:pPr>
      <w:r>
        <w:t>e.</w:t>
      </w:r>
      <w:r>
        <w:tab/>
        <w:t xml:space="preserve">vooruitbetaling van huur- en pachtpenningen mag zonder schriftelijke toestemming van ASR niet door de Hypotheekgever worden bedongen of ontvangen over een periode die langer is dan één maand; </w:t>
      </w:r>
    </w:p>
    <w:p w:rsidR="004A369F" w:rsidRDefault="00326FD1" w:rsidP="006F4571">
      <w:pPr>
        <w:suppressAutoHyphens/>
        <w:ind w:left="426" w:hanging="426"/>
      </w:pPr>
      <w:r>
        <w:t>f.</w:t>
      </w:r>
      <w:r>
        <w:tab/>
        <w:t xml:space="preserve">vervreemding en verpanding van huur-en pachtpenningen aan anderen dan ASR is niet toegestaan; </w:t>
      </w:r>
    </w:p>
    <w:p w:rsidR="004A369F" w:rsidRDefault="00326FD1" w:rsidP="006F4571">
      <w:pPr>
        <w:suppressAutoHyphens/>
        <w:ind w:left="426" w:hanging="426"/>
      </w:pPr>
      <w:r>
        <w:t>g.</w:t>
      </w:r>
      <w:r>
        <w:tab/>
        <w:t>De Hypotheekgever dient onverwijld aan ASR mededeling te doen van elke schade of gebrek aan het Onderpand waardoor de waarde van het Onderpand ernstig vermindert;</w:t>
      </w:r>
    </w:p>
    <w:p w:rsidR="004A369F" w:rsidRDefault="00326FD1" w:rsidP="006F4571">
      <w:pPr>
        <w:suppressAutoHyphens/>
        <w:ind w:left="426" w:hanging="426"/>
      </w:pPr>
      <w:r>
        <w:t>h.</w:t>
      </w:r>
      <w:r>
        <w:tab/>
        <w:t xml:space="preserve">het Onderpand mag niet zonder schriftelijke toestemming van ASR geheel of gedeeltelijk worden verwijderd, van inrichting, gedaante of bestemming worden veranderd, geheel of ten dele met andere registergoederen worden verenigd, in gedeelten worden gesplitst of in waarde worden verminderd; </w:t>
      </w:r>
    </w:p>
    <w:p w:rsidR="004A369F" w:rsidRDefault="00326FD1" w:rsidP="006F4571">
      <w:pPr>
        <w:suppressAutoHyphens/>
        <w:ind w:left="426" w:hanging="426"/>
      </w:pPr>
      <w:r>
        <w:t>i.</w:t>
      </w:r>
      <w:r>
        <w:tab/>
        <w:t>de door de Hypotheekgever na vestiging van het hypotheekrecht aangebrachte veranderingen of toevoegingen aan het Onderpand mogen niet worden weggenomen en strekken mede tot zekerheid voor de betaling van de Schuld;</w:t>
      </w:r>
    </w:p>
    <w:p w:rsidR="004A369F" w:rsidRDefault="00326FD1" w:rsidP="006F4571">
      <w:pPr>
        <w:suppressAutoHyphens/>
        <w:ind w:left="426" w:hanging="426"/>
      </w:pPr>
      <w:r>
        <w:t>j.</w:t>
      </w:r>
      <w:r>
        <w:tab/>
        <w:t>indien de Schuldenaar in ernstige mate tekortschiet in zijn verplichtingen jegens ASR is ASR bevoegd, nadat de voorzieningenrechter daartoe een machtiging heeft verleend, het Onderpand geheel of gedeeltelijk in beheer te nemen;</w:t>
      </w:r>
    </w:p>
    <w:p w:rsidR="004A369F" w:rsidRDefault="00326FD1" w:rsidP="006F4571">
      <w:pPr>
        <w:suppressAutoHyphens/>
        <w:ind w:left="426" w:hanging="426"/>
      </w:pPr>
      <w:r>
        <w:t>k.</w:t>
      </w:r>
      <w:r>
        <w:tab/>
        <w:t xml:space="preserve">indien zulks met het oog op de executie van het Onderpand is vereist, is ASR bevoegd het Onderpand onder zich te nemen en te </w:t>
      </w:r>
      <w:r>
        <w:lastRenderedPageBreak/>
        <w:t>verlangen dat het Onderpand wordt ontruimd, zo nodig uit kracht van grosse van deze akte;</w:t>
      </w:r>
    </w:p>
    <w:p w:rsidR="004A369F" w:rsidRDefault="00326FD1" w:rsidP="006F4571">
      <w:pPr>
        <w:suppressAutoHyphens/>
        <w:ind w:left="426" w:hanging="426"/>
      </w:pPr>
      <w:r>
        <w:t>l.</w:t>
      </w:r>
      <w:r>
        <w:tab/>
        <w:t>Indien bij executie door ASR deze het Onderpand niet al ontruimd onder zich heeft, zal ontruiming kunnen geschieden uit kracht van de grosse van het proces-verbaal van toewijzing of - indien het een onderhandse executie als bedoeld in artikel 268 lid 2 Boek 3 van het Burgerlijk Wetboek betreft - van de akte van levering;</w:t>
      </w:r>
    </w:p>
    <w:p w:rsidR="004A369F" w:rsidRDefault="00326FD1" w:rsidP="006F4571">
      <w:pPr>
        <w:suppressAutoHyphens/>
        <w:ind w:left="426" w:hanging="426"/>
      </w:pPr>
      <w:r>
        <w:t>m.</w:t>
      </w:r>
      <w:r>
        <w:tab/>
        <w:t>De Hypotheekgever is niet bevoegd, anders dan met schriftelijke mededeling aan ASR, het Onderpand te verkopen of over te dragen;</w:t>
      </w:r>
    </w:p>
    <w:p w:rsidR="004A369F" w:rsidRDefault="00326FD1" w:rsidP="006F4571">
      <w:pPr>
        <w:suppressAutoHyphens/>
        <w:ind w:left="426" w:hanging="426"/>
      </w:pPr>
      <w:r>
        <w:t>n.</w:t>
      </w:r>
      <w:r>
        <w:tab/>
        <w:t>De Hypotheekgever is niet bevoegd, anders dan met schriftelijke toestemming van ASR, het Onderpand te bezwaren;</w:t>
      </w:r>
    </w:p>
    <w:p w:rsidR="004A369F" w:rsidRDefault="00326FD1" w:rsidP="006F4571">
      <w:pPr>
        <w:suppressAutoHyphens/>
        <w:ind w:left="426" w:hanging="426"/>
      </w:pPr>
      <w:r>
        <w:t>o.</w:t>
      </w:r>
      <w:r>
        <w:tab/>
        <w:t xml:space="preserve">De Hypotheekgever is niet bevoegd, anders dan met schriftelijke toestemming van ASR, de verpande goederen te verkopen, over te dragen, te verpanden, daarop een recht van vruchtgebruik te vestigen of anderszins deze goederen te vervreemden of te bezwaren of (indien van toepassing) om tegoeden van de Beleggersrekening of de Spaarrekening op te nemen; </w:t>
      </w:r>
    </w:p>
    <w:p w:rsidR="004A369F" w:rsidRDefault="00326FD1" w:rsidP="006F4571">
      <w:pPr>
        <w:suppressAutoHyphens/>
        <w:ind w:left="426" w:hanging="426"/>
      </w:pPr>
      <w:r>
        <w:t>p.</w:t>
      </w:r>
      <w:r>
        <w:tab/>
        <w:t>de Schuldenaar is niet bevoegd, anders dan met schriftelijke toestemming van ASR, de overeenkomst(en) van levensverzekering of de overeenkomsten ter zake van de Beleggersrekening of de Spaarrekening te beëindigen, op te zeggen of te wijzigen of in te stemmen met een beëindiging, opzegging of wijziging; en</w:t>
      </w:r>
    </w:p>
    <w:p w:rsidR="004A369F" w:rsidRDefault="00326FD1" w:rsidP="006F4571">
      <w:pPr>
        <w:suppressAutoHyphens/>
        <w:ind w:left="426" w:hanging="426"/>
      </w:pPr>
      <w:r>
        <w:t>q.</w:t>
      </w:r>
      <w:r>
        <w:tab/>
        <w:t>de Schuldenaar is ten aanzien van de berekening en vaststelling van de Schuld gebonden aan een door of namens ASR verstrekte opgave van de Schuld, welke opgave ten opzichte van de Schuldenaar strekt tot volledig bewijs van de Schuld.</w:t>
      </w:r>
    </w:p>
    <w:p w:rsidR="004A369F" w:rsidRDefault="00326FD1" w:rsidP="006F4571">
      <w:pPr>
        <w:suppressAutoHyphens/>
        <w:rPr>
          <w:b/>
        </w:rPr>
      </w:pPr>
      <w:r>
        <w:rPr>
          <w:b/>
        </w:rPr>
        <w:t>Volmacht</w:t>
      </w:r>
    </w:p>
    <w:p w:rsidR="004A369F" w:rsidRDefault="00326FD1" w:rsidP="006F4571">
      <w:pPr>
        <w:suppressAutoHyphens/>
      </w:pPr>
      <w:r>
        <w:t>Onverminderd de overige bepalingen van deze akte en in aanvulling op de volmachten die de Hypotheekgever aan ASR verleent op basis van de Algemene Voorwaarden, verleent de Hypotheekgever hierbij aan ASR een onherroepelijke volmacht, met het recht van substitutie, om namens en voor rekening van de Hypotheekgever (voor zover van mogelijk en van toepassing):</w:t>
      </w:r>
    </w:p>
    <w:p w:rsidR="004A369F" w:rsidRDefault="00326FD1" w:rsidP="006F4571">
      <w:pPr>
        <w:suppressAutoHyphens/>
        <w:ind w:left="426" w:hanging="426"/>
      </w:pPr>
      <w:r>
        <w:t>a.</w:t>
      </w:r>
      <w:r>
        <w:tab/>
        <w:t xml:space="preserve">alle hiervoor omschreven roerende zaken, rechten, vorderingen, Effecten en vruchten, waaronder alle rechten en vorderingen uit </w:t>
      </w:r>
      <w:r>
        <w:lastRenderedPageBreak/>
        <w:t>hoofde van huur- of pachtovereenkomsten, namens de Hypotheekgever uit te oefenen en / of aan zichzelf te verpanden;</w:t>
      </w:r>
    </w:p>
    <w:p w:rsidR="004A369F" w:rsidRDefault="00326FD1" w:rsidP="006F4571">
      <w:pPr>
        <w:suppressAutoHyphens/>
        <w:ind w:left="426" w:hanging="426"/>
      </w:pPr>
      <w:r>
        <w:t>b.</w:t>
      </w:r>
      <w:r>
        <w:tab/>
        <w:t>aan ASR verpande huur- of pachtpenningen te innen en daarvoor kwijting te verlenen;</w:t>
      </w:r>
    </w:p>
    <w:p w:rsidR="004A369F" w:rsidRDefault="00326FD1" w:rsidP="006F4571">
      <w:pPr>
        <w:suppressAutoHyphens/>
        <w:ind w:left="426" w:hanging="426"/>
      </w:pPr>
      <w:r>
        <w:t xml:space="preserve">c. </w:t>
      </w:r>
      <w:r>
        <w:tab/>
        <w:t>over te gaan tot afkoop van de levensverzekering(en) waarvan de rechten en vorderingen hierbij aan ASR zijn verpand, op de door de verzekeraar(s) genoemde voorwaarden of deze verzekering(en) geheel of gedeeltelijk premievrij te maken;</w:t>
      </w:r>
    </w:p>
    <w:p w:rsidR="004A369F" w:rsidRDefault="00326FD1" w:rsidP="006F4571">
      <w:pPr>
        <w:suppressAutoHyphens/>
        <w:ind w:left="426" w:hanging="426"/>
      </w:pPr>
      <w:proofErr w:type="spellStart"/>
      <w:r>
        <w:t>d.</w:t>
      </w:r>
      <w:proofErr w:type="spellEnd"/>
      <w:r>
        <w:tab/>
        <w:t>begunstigden aan te wijzen of de begunstiging te wijzigen en om andere wijzigingen in de verzekeringen te doen aanbrengen of toe te staan;</w:t>
      </w:r>
    </w:p>
    <w:p w:rsidR="004A369F" w:rsidRDefault="00326FD1" w:rsidP="006F4571">
      <w:pPr>
        <w:suppressAutoHyphens/>
        <w:ind w:left="426" w:hanging="426"/>
      </w:pPr>
      <w:r>
        <w:t>e.</w:t>
      </w:r>
      <w:r>
        <w:tab/>
        <w:t>indien het recht van hypotheek wordt gevestigd op een appartementsrecht; om de uitkering onder de namens de vereniging van eigenaren gesloten opstalverzekering te innen;</w:t>
      </w:r>
    </w:p>
    <w:p w:rsidR="004A369F" w:rsidRDefault="00326FD1" w:rsidP="006F4571">
      <w:pPr>
        <w:suppressAutoHyphens/>
        <w:ind w:left="426" w:hanging="426"/>
      </w:pPr>
      <w:r>
        <w:t>f.</w:t>
      </w:r>
      <w:r>
        <w:tab/>
        <w:t>indien het recht van hypotheek wordt gevestigd op een appartementsrecht, na de opheffing van de splitsing voor en namens de Hypotheekgever mee te werken aan de scheiding en deling van de gemeenschappelijke eigendom, waarbij de Hypotheekgever alleen na schriftelijke toestemming van ASR zal mogen meewerken aan de verdeling van de gemeenschappelijke eigendom na opheffing van de splitsing;</w:t>
      </w:r>
    </w:p>
    <w:p w:rsidR="004A369F" w:rsidRDefault="00326FD1" w:rsidP="006F4571">
      <w:pPr>
        <w:suppressAutoHyphens/>
        <w:ind w:left="426" w:hanging="426"/>
      </w:pPr>
      <w:r>
        <w:t>g.</w:t>
      </w:r>
      <w:r>
        <w:tab/>
        <w:t xml:space="preserve">alle rechten, bevoegdheden, rechtsvorderingen en andere (rechts)handelingen verbonden aan of verband houdende met de hierbij aan ASR verpande rechten en vorderingen in en buiten rechte uit te oefenen en te verrichten, geschillen ter zake van deze rechten te onderwerpen aan arbitrage of bindend advies, daaromtrent dadingen aan te gaan en al hetgeen de Hypotheekgever te dier zaken te vorderen heeft, daaronder begrepen het door verzekeraars verschuldigde, in en buiten rechte te innen en daarvoor kwijting te verlenen; </w:t>
      </w:r>
    </w:p>
    <w:p w:rsidR="004A369F" w:rsidRDefault="00326FD1" w:rsidP="006F4571">
      <w:pPr>
        <w:suppressAutoHyphens/>
        <w:ind w:left="426" w:hanging="426"/>
      </w:pPr>
      <w:r>
        <w:t>h.</w:t>
      </w:r>
      <w:r>
        <w:tab/>
        <w:t>de overeenkomst(en) met de Instelling(en) ter zake van de Beleggersrekening(en) en / of Spaarrekening(en) op te zeggen en over te gaan tot verkoop van de aan haar verpande Effecten en andere goederen; en</w:t>
      </w:r>
    </w:p>
    <w:p w:rsidR="004A369F" w:rsidRDefault="00326FD1" w:rsidP="006F4571">
      <w:pPr>
        <w:suppressAutoHyphens/>
        <w:ind w:left="426" w:hanging="426"/>
      </w:pPr>
      <w:r>
        <w:t>i.</w:t>
      </w:r>
      <w:r>
        <w:tab/>
        <w:t xml:space="preserve">indien schade niet binnen vier maanden na het ontstaan ten genoegen van ASR met de opstalverzekeraar is geregeld, de regeling van de schade van de Hypotheekgever over te nemen en </w:t>
      </w:r>
      <w:r>
        <w:lastRenderedPageBreak/>
        <w:t xml:space="preserve">geheel naar eigen inzicht af te wikkelen en zo nodig daarover te procederen. </w:t>
      </w:r>
    </w:p>
    <w:p w:rsidR="004A369F" w:rsidRDefault="00326FD1" w:rsidP="006F4571">
      <w:pPr>
        <w:suppressAutoHyphens/>
      </w:pPr>
      <w:r>
        <w:t>Deze volmacht geldt ook in het geval de gevolmachtigde als wederpartij van de volmachtgever optreedt.</w:t>
      </w:r>
    </w:p>
    <w:p w:rsidR="004A369F" w:rsidRDefault="00326FD1" w:rsidP="00217757">
      <w:pPr>
        <w:pStyle w:val="Lijstalinea"/>
        <w:numPr>
          <w:ilvl w:val="0"/>
          <w:numId w:val="8"/>
        </w:numPr>
        <w:ind w:left="425" w:hanging="425"/>
        <w:rPr>
          <w:b/>
        </w:rPr>
      </w:pPr>
      <w:r>
        <w:rPr>
          <w:b/>
        </w:rPr>
        <w:t>SLOT</w:t>
      </w:r>
    </w:p>
    <w:p w:rsidR="004A369F" w:rsidRDefault="00326FD1" w:rsidP="00217757">
      <w:pPr>
        <w:suppressAutoHyphens/>
        <w:rPr>
          <w:b/>
        </w:rPr>
      </w:pPr>
      <w:r>
        <w:rPr>
          <w:b/>
        </w:rPr>
        <w:t>Slotbepalingen</w:t>
      </w:r>
    </w:p>
    <w:p w:rsidR="004A369F" w:rsidRDefault="00326FD1" w:rsidP="00217757">
      <w:pPr>
        <w:suppressAutoHyphens/>
        <w:rPr>
          <w:u w:val="single"/>
        </w:rPr>
      </w:pPr>
      <w:r>
        <w:rPr>
          <w:u w:val="single"/>
        </w:rPr>
        <w:t>Geregistreerd partnerschap</w:t>
      </w:r>
    </w:p>
    <w:p w:rsidR="004A369F" w:rsidRDefault="00326FD1" w:rsidP="00217757">
      <w:pPr>
        <w:suppressAutoHyphens/>
      </w:pPr>
      <w:r>
        <w:t xml:space="preserve">Bepalingen in deze akte en de leningsvoorwaarden, betrekking hebbende op de onderhavige Lening, die rechtsgevolgen verbinden aan het aangaan, het bestaan, de beëindiging of het beëindigd zijn van een huwelijk, zijn van overeenkomstige toepassing op het aangaan, het bestaan, de beëindiging, </w:t>
      </w:r>
      <w:proofErr w:type="spellStart"/>
      <w:r>
        <w:t>danwel</w:t>
      </w:r>
      <w:proofErr w:type="spellEnd"/>
      <w:r>
        <w:t xml:space="preserve"> het beëindigd zijn van een geregistreerd partnerschap.</w:t>
      </w:r>
    </w:p>
    <w:p w:rsidR="001435E4" w:rsidRPr="001435E4" w:rsidRDefault="001435E4" w:rsidP="00217757">
      <w:pPr>
        <w:suppressAutoHyphens/>
        <w:rPr>
          <w:b/>
          <w:u w:val="single"/>
        </w:rPr>
      </w:pPr>
      <w:r w:rsidRPr="001435E4">
        <w:rPr>
          <w:b/>
          <w:u w:val="single"/>
        </w:rPr>
        <w:t>Toestemming</w:t>
      </w:r>
    </w:p>
    <w:p w:rsidR="001435E4" w:rsidRDefault="001435E4" w:rsidP="00217757">
      <w:pPr>
        <w:suppressAutoHyphens/>
      </w:pPr>
      <w:r w:rsidRPr="001435E4">
        <w:t>De comparanten sub 2 verklaarden elkaar toestemming als vereist in artikel 88 Boek 1 Bu</w:t>
      </w:r>
      <w:bookmarkStart w:id="1" w:name="_GoBack"/>
      <w:bookmarkEnd w:id="1"/>
      <w:r w:rsidRPr="001435E4">
        <w:t>rgerlijk Wetboek te hebben verleend.</w:t>
      </w:r>
    </w:p>
    <w:p w:rsidR="004A369F" w:rsidRDefault="00326FD1" w:rsidP="00217757">
      <w:pPr>
        <w:suppressAutoHyphens/>
        <w:rPr>
          <w:b/>
          <w:bCs/>
          <w:u w:val="single"/>
        </w:rPr>
      </w:pPr>
      <w:r>
        <w:rPr>
          <w:b/>
          <w:bCs/>
          <w:u w:val="single"/>
        </w:rPr>
        <w:t>Rechtskeuze</w:t>
      </w:r>
    </w:p>
    <w:p w:rsidR="004A369F" w:rsidRDefault="00326FD1" w:rsidP="00217757">
      <w:pPr>
        <w:suppressAutoHyphens/>
      </w:pPr>
      <w:r>
        <w:t>Op het bepaalde in deze akte is Nederlands recht van toepassing.</w:t>
      </w:r>
    </w:p>
    <w:p w:rsidR="004A369F" w:rsidRDefault="00326FD1" w:rsidP="00217757">
      <w:pPr>
        <w:suppressAutoHyphens/>
        <w:rPr>
          <w:b/>
          <w:bCs/>
          <w:u w:val="single"/>
        </w:rPr>
      </w:pPr>
      <w:r>
        <w:rPr>
          <w:b/>
          <w:bCs/>
          <w:u w:val="single"/>
        </w:rPr>
        <w:t>Volmacht</w:t>
      </w:r>
    </w:p>
    <w:p w:rsidR="004A369F" w:rsidRDefault="00326FD1" w:rsidP="00217757">
      <w:pPr>
        <w:suppressAutoHyphens/>
      </w:pPr>
      <w:r>
        <w:t>Van het bestaan van voormelde volmacht(en) is mij, notaris genoegzaam gebleken.</w:t>
      </w:r>
    </w:p>
    <w:p w:rsidR="004A369F" w:rsidRDefault="00F05387" w:rsidP="00217757">
      <w:pPr>
        <w:suppressAutoHyphens/>
      </w:pPr>
      <w:r>
        <w:t>De comparanten zijn mij, notaris, bekend. De identiteit van de comparanten en de eventuele volmachtgever(s) is door mij, notaris, aan de hand van de hiervoor vermelde documenten vastgesteld.</w:t>
      </w:r>
    </w:p>
    <w:p w:rsidR="00E21EEE" w:rsidRDefault="00E21EEE" w:rsidP="00217757">
      <w:pPr>
        <w:suppressAutoHyphens/>
      </w:pPr>
      <w:r w:rsidRPr="00E21EEE">
        <w:rPr>
          <w:b/>
          <w:u w:val="single"/>
        </w:rPr>
        <w:t>Volmacht hypothecaire inschrijving(en)</w:t>
      </w:r>
      <w:r w:rsidR="004E0321">
        <w:br/>
        <w:t xml:space="preserve">De hypotheekgever geeft volmacht aan ieder van de medewerkers van </w:t>
      </w:r>
      <w:r w:rsidR="004E0321">
        <w:br/>
        <w:t xml:space="preserve">De Rivieren Notarissen om </w:t>
      </w:r>
      <w:proofErr w:type="spellStart"/>
      <w:r w:rsidR="004E0321">
        <w:t>zonodig</w:t>
      </w:r>
      <w:proofErr w:type="spellEnd"/>
      <w:r w:rsidR="004E0321">
        <w:t xml:space="preserve"> namens hem de afstand van hypotheekrechten aan te nemen, voor zover deze nog ten laste van de hypotheekgever en anderen dan de hypotheekgever mochten zijn ingeschreven op het onderpand.</w:t>
      </w:r>
      <w:r w:rsidR="004E0321">
        <w:br/>
      </w:r>
      <w:proofErr w:type="spellStart"/>
      <w:r w:rsidRPr="00E21EEE">
        <w:rPr>
          <w:b/>
          <w:u w:val="single"/>
        </w:rPr>
        <w:t>Volmachtverlening</w:t>
      </w:r>
      <w:proofErr w:type="spellEnd"/>
      <w:r w:rsidRPr="00E21EEE">
        <w:rPr>
          <w:b/>
          <w:u w:val="single"/>
        </w:rPr>
        <w:t xml:space="preserve"> rectificatie</w:t>
      </w:r>
      <w:r w:rsidR="004E0321">
        <w:br/>
        <w:t>Partijen verlenen hierbij, voor zoveel nodig onherroepelijk, volmacht aan ieder van de medewerkers van De Rivieren Notarissen om namens hen of één van hen:</w:t>
      </w:r>
      <w:r w:rsidR="004E0321">
        <w:br/>
        <w:t xml:space="preserve">a.      te verschijnen in een akte van rectificatie als in deze akte een </w:t>
      </w:r>
    </w:p>
    <w:p w:rsidR="00E21EEE" w:rsidRDefault="00E21EEE" w:rsidP="00217757">
      <w:pPr>
        <w:suppressAutoHyphens/>
      </w:pPr>
      <w:r>
        <w:t xml:space="preserve">         </w:t>
      </w:r>
      <w:r w:rsidR="004E0321">
        <w:t xml:space="preserve">onjuistheid </w:t>
      </w:r>
      <w:proofErr w:type="spellStart"/>
      <w:r w:rsidR="004E0321">
        <w:t>casu</w:t>
      </w:r>
      <w:proofErr w:type="spellEnd"/>
      <w:r w:rsidR="004E0321">
        <w:t xml:space="preserve"> quo onvolledigheid wordt geconstateerd;</w:t>
      </w:r>
      <w:r w:rsidR="004E0321">
        <w:br/>
        <w:t xml:space="preserve">b.      verder al datgene meer te doen wat in verband met het  </w:t>
      </w:r>
    </w:p>
    <w:p w:rsidR="004A369F" w:rsidRDefault="00E21EEE" w:rsidP="00217757">
      <w:pPr>
        <w:suppressAutoHyphens/>
      </w:pPr>
      <w:r>
        <w:t xml:space="preserve">         </w:t>
      </w:r>
      <w:r w:rsidR="004E0321">
        <w:t>vorenstaande nodig mocht zijn.</w:t>
      </w:r>
      <w:r w:rsidR="004E0321">
        <w:br/>
      </w:r>
      <w:r w:rsidRPr="00E21EEE">
        <w:rPr>
          <w:b/>
          <w:u w:val="single"/>
        </w:rPr>
        <w:t>Bijlagen</w:t>
      </w:r>
      <w:r>
        <w:t xml:space="preserve"> </w:t>
      </w:r>
      <w:r w:rsidR="004E0321">
        <w:br/>
        <w:t>Aan deze akte is het volgende stuk vastgemaakt:</w:t>
      </w:r>
      <w:r w:rsidR="004E0321">
        <w:br/>
        <w:t>-</w:t>
      </w:r>
      <w:r w:rsidR="004E0321">
        <w:tab/>
        <w:t xml:space="preserve">de </w:t>
      </w:r>
      <w:r>
        <w:t>getekende offerte</w:t>
      </w:r>
      <w:r w:rsidR="000E0715">
        <w:t xml:space="preserve"> </w:t>
      </w:r>
      <w:r w:rsidR="004E0321">
        <w:br/>
      </w:r>
      <w:r w:rsidR="00E94506">
        <w:rPr>
          <w:b/>
        </w:rPr>
        <w:lastRenderedPageBreak/>
        <w:t>S</w:t>
      </w:r>
      <w:r w:rsidR="000E0715" w:rsidRPr="000E0715">
        <w:rPr>
          <w:b/>
        </w:rPr>
        <w:t>lot akte</w:t>
      </w:r>
      <w:r w:rsidR="000E0715">
        <w:br/>
        <w:t>Deze akte is verleden te Andel</w:t>
      </w:r>
      <w:r w:rsidR="004E0321">
        <w:t>, gemeente Altena, op de datum in het hoofd van deze akte vermeld.</w:t>
      </w:r>
      <w:r w:rsidR="004E0321">
        <w:br/>
        <w:t>De verschenen personen zijn mij, notaris, bekend en de identiteit van de bij deze akte betrokken verschenen personen is door mij, notaris, aan de hand van de daartoe bestemde documenten vastgesteld.</w:t>
      </w:r>
      <w:r w:rsidR="004E0321">
        <w:br/>
        <w:t>De zakelijke inhoud van de akte is aan de verschenen personen opgegeven en toegelicht.</w:t>
      </w:r>
      <w:r w:rsidR="004E0321">
        <w:br/>
        <w:t>De verschenen personen hebben verklaard op volledige voorlezing van de akte geen prijs te stellen en dat zij en hun volmachtgever(s) tijdig voor het verlijden van de inhoud van de akte hebben kennis genomen en zijn gewezen op de gevolgen die voor partijen uit de akte voortvloeien, alsmede met de inhoud van de akte in te stemmen.</w:t>
      </w:r>
      <w:r w:rsidR="004E0321">
        <w:br/>
        <w:t>Daarna is de akte beperkt voorgelezen en onmiddellijk door de verschenen personen en mij, notaris, ondertekend, om elf uur en negenentwintig minuten.</w:t>
      </w:r>
    </w:p>
    <w:sectPr w:rsidR="004A369F" w:rsidSect="0086164B">
      <w:type w:val="continuous"/>
      <w:pgSz w:w="11907" w:h="16840" w:code="9"/>
      <w:pgMar w:top="3401" w:right="1417" w:bottom="1417" w:left="2834" w:header="1044" w:footer="566" w:gutter="0"/>
      <w:cols w:space="708"/>
      <w:formProt w:val="0"/>
      <w:docGrid w:linePitch="326"/>
      <w:pgNumType w:fmt="decimal"/>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C522C" w:rsidRDefault="008C522C">
      <w:r>
        <w:separator/>
      </w:r>
    </w:p>
  </w:endnote>
  <w:endnote w:type="continuationSeparator" w:id="0">
    <w:p w:rsidR="008C522C" w:rsidRDefault="008C522C">
      <w:r>
        <w:continuationSeparator/>
      </w:r>
    </w:p>
  </w:endnote>
  <w:endnote w:type="continuationNotice" w:id="1">
    <w:p w:rsidR="008C522C" w:rsidRDefault="008C522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C522C" w:rsidRDefault="008C522C">
      <w:r>
        <w:separator/>
      </w:r>
    </w:p>
  </w:footnote>
  <w:footnote w:type="continuationSeparator" w:id="0">
    <w:p w:rsidR="008C522C" w:rsidRDefault="008C522C">
      <w:r>
        <w:continuationSeparator/>
      </w:r>
    </w:p>
  </w:footnote>
  <w:footnote w:type="continuationNotice" w:id="1">
    <w:p w:rsidR="008C522C" w:rsidRDefault="008C522C"/>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jc w:val="right"/>
    </w:pPr>
    <w:r>
      <w:rPr/>
      <w:t xml:space="preserve">- </w:t>
    </w:r>
    <w:r>
      <w:rPr/>
      <w:fldChar w:fldCharType="begin"/>
    </w:r>
    <w:r>
      <w:rPr/>
      <w:instrText xml:space="preserve"> PAGE </w:instrText>
    </w:r>
    <w:r>
      <w:rPr/>
      <w:fldChar w:fldCharType="end"/>
    </w:r>
    <w:r>
      <w:rPr/>
      <w:t xml:space="preserve"> -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6168CE"/>
    <w:multiLevelType w:val="hybridMultilevel"/>
    <w:tmpl w:val="CED8E994"/>
    <w:lvl w:ilvl="0" w:tplc="96B8A310">
      <w:start w:val="6"/>
      <w:numFmt w:val="upperLetter"/>
      <w:lvlText w:val="%1."/>
      <w:lvlJc w:val="left"/>
      <w:pPr>
        <w:ind w:left="720" w:hanging="360"/>
      </w:pPr>
      <w:rPr>
        <w:rFonts w:ascii="Arial" w:hAnsi="Arial" w:cs="Arial"/>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1F8C6498"/>
    <w:multiLevelType w:val="hybridMultilevel"/>
    <w:tmpl w:val="A7224670"/>
    <w:lvl w:ilvl="0" w:tplc="3D2044C8">
      <w:start w:val="1"/>
      <w:numFmt w:val="decimal"/>
      <w:lvlText w:val="%1."/>
      <w:lvlJc w:val="left"/>
      <w:pPr>
        <w:ind w:left="720" w:hanging="360"/>
      </w:pPr>
      <w:rPr>
        <w:rFonts w:ascii="Arial" w:hAnsi="Arial" w:cs="Arial"/>
        <w:b w:val="0"/>
        <w:i w:val="0"/>
        <w:color w:val="auto"/>
        <w:sz w:val="24"/>
        <w:szCs w:val="24"/>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31787552"/>
    <w:multiLevelType w:val="multilevel"/>
    <w:tmpl w:val="86ECAC60"/>
    <w:lvl w:ilvl="0">
      <w:start w:val="2"/>
      <w:numFmt w:val="decimal"/>
      <w:lvlText w:val="%1.    a."/>
      <w:lvlJc w:val="left"/>
      <w:pPr>
        <w:tabs>
          <w:tab w:val="num" w:pos="360"/>
        </w:tabs>
        <w:ind w:left="360" w:hanging="360"/>
      </w:pPr>
      <w:rPr>
        <w:rFonts w:ascii="Arial" w:hAnsi="Arial" w:cs="Arial"/>
        <w:b w:val="0"/>
        <w:i w:val="0"/>
        <w:sz w:val="24"/>
        <w:szCs w:val="24"/>
      </w:rPr>
    </w:lvl>
    <w:lvl w:ilvl="1">
      <w:start w:val="2"/>
      <w:numFmt w:val="lowerLetter"/>
      <w:lvlText w:val="%2."/>
      <w:lvlJc w:val="left"/>
      <w:pPr>
        <w:tabs>
          <w:tab w:val="num" w:pos="1080"/>
        </w:tabs>
        <w:ind w:left="1080" w:hanging="360"/>
      </w:pPr>
      <w:rPr>
        <w:rFonts w:ascii="Arial" w:hAnsi="Arial" w:cs="Arial"/>
      </w:rPr>
    </w:lvl>
    <w:lvl w:ilvl="2">
      <w:start w:val="1"/>
      <w:numFmt w:val="lowerRoman"/>
      <w:lvlText w:val="%3."/>
      <w:lvlJc w:val="right"/>
      <w:pPr>
        <w:tabs>
          <w:tab w:val="num" w:pos="1800"/>
        </w:tabs>
        <w:ind w:left="1800" w:hanging="180"/>
      </w:pPr>
      <w:rPr>
        <w:rFonts w:ascii="Arial" w:hAnsi="Arial" w:cs="Arial"/>
      </w:rPr>
    </w:lvl>
    <w:lvl w:ilvl="3">
      <w:start w:val="1"/>
      <w:numFmt w:val="decimal"/>
      <w:lvlText w:val="%4."/>
      <w:lvlJc w:val="left"/>
      <w:pPr>
        <w:tabs>
          <w:tab w:val="num" w:pos="2520"/>
        </w:tabs>
        <w:ind w:left="2520" w:hanging="360"/>
      </w:pPr>
      <w:rPr>
        <w:rFonts w:ascii="Arial" w:hAnsi="Arial" w:cs="Arial"/>
      </w:rPr>
    </w:lvl>
    <w:lvl w:ilvl="4">
      <w:start w:val="1"/>
      <w:numFmt w:val="lowerLetter"/>
      <w:lvlText w:val="%5."/>
      <w:lvlJc w:val="left"/>
      <w:pPr>
        <w:tabs>
          <w:tab w:val="num" w:pos="3240"/>
        </w:tabs>
        <w:ind w:left="3240" w:hanging="360"/>
      </w:pPr>
      <w:rPr>
        <w:rFonts w:ascii="Arial" w:hAnsi="Arial" w:cs="Arial"/>
      </w:rPr>
    </w:lvl>
    <w:lvl w:ilvl="5">
      <w:start w:val="1"/>
      <w:numFmt w:val="lowerRoman"/>
      <w:lvlText w:val="%6."/>
      <w:lvlJc w:val="right"/>
      <w:pPr>
        <w:tabs>
          <w:tab w:val="num" w:pos="3960"/>
        </w:tabs>
        <w:ind w:left="3960" w:hanging="180"/>
      </w:pPr>
      <w:rPr>
        <w:rFonts w:ascii="Arial" w:hAnsi="Arial" w:cs="Arial"/>
      </w:rPr>
    </w:lvl>
    <w:lvl w:ilvl="6">
      <w:start w:val="1"/>
      <w:numFmt w:val="decimal"/>
      <w:lvlText w:val="%7."/>
      <w:lvlJc w:val="left"/>
      <w:pPr>
        <w:tabs>
          <w:tab w:val="num" w:pos="4680"/>
        </w:tabs>
        <w:ind w:left="4680" w:hanging="360"/>
      </w:pPr>
      <w:rPr>
        <w:rFonts w:ascii="Arial" w:hAnsi="Arial" w:cs="Arial"/>
      </w:rPr>
    </w:lvl>
    <w:lvl w:ilvl="7">
      <w:start w:val="1"/>
      <w:numFmt w:val="lowerLetter"/>
      <w:lvlText w:val="%8."/>
      <w:lvlJc w:val="left"/>
      <w:pPr>
        <w:tabs>
          <w:tab w:val="num" w:pos="5400"/>
        </w:tabs>
        <w:ind w:left="5400" w:hanging="360"/>
      </w:pPr>
      <w:rPr>
        <w:rFonts w:ascii="Arial" w:hAnsi="Arial" w:cs="Arial"/>
      </w:rPr>
    </w:lvl>
    <w:lvl w:ilvl="8">
      <w:start w:val="1"/>
      <w:numFmt w:val="lowerRoman"/>
      <w:lvlText w:val="%9."/>
      <w:lvlJc w:val="right"/>
      <w:pPr>
        <w:tabs>
          <w:tab w:val="num" w:pos="6120"/>
        </w:tabs>
        <w:ind w:left="6120" w:hanging="180"/>
      </w:pPr>
      <w:rPr>
        <w:rFonts w:ascii="Arial" w:hAnsi="Arial" w:cs="Arial"/>
      </w:rPr>
    </w:lvl>
  </w:abstractNum>
  <w:abstractNum w:abstractNumId="3" w15:restartNumberingAfterBreak="0">
    <w:nsid w:val="4878799E"/>
    <w:multiLevelType w:val="hybridMultilevel"/>
    <w:tmpl w:val="CCB4B886"/>
    <w:lvl w:ilvl="0" w:tplc="04130019">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5A041082"/>
    <w:multiLevelType w:val="multilevel"/>
    <w:tmpl w:val="61C065CE"/>
    <w:lvl w:ilvl="0">
      <w:start w:val="1"/>
      <w:numFmt w:val="decimal"/>
      <w:lvlText w:val="%1.    a."/>
      <w:lvlJc w:val="left"/>
      <w:pPr>
        <w:tabs>
          <w:tab w:val="num" w:pos="786"/>
        </w:tabs>
        <w:ind w:left="786" w:hanging="360"/>
      </w:pPr>
      <w:rPr>
        <w:rFonts w:ascii="Arial" w:hAnsi="Arial" w:cs="Arial"/>
        <w:b w:val="0"/>
        <w:i w:val="0"/>
        <w:sz w:val="24"/>
        <w:szCs w:val="24"/>
      </w:rPr>
    </w:lvl>
    <w:lvl w:ilvl="1">
      <w:start w:val="1"/>
      <w:numFmt w:val="lowerLetter"/>
      <w:lvlText w:val="%2."/>
      <w:lvlJc w:val="left"/>
      <w:pPr>
        <w:tabs>
          <w:tab w:val="num" w:pos="1506"/>
        </w:tabs>
        <w:ind w:left="1506" w:hanging="360"/>
      </w:pPr>
      <w:rPr>
        <w:rFonts w:ascii="Arial" w:hAnsi="Arial" w:cs="Arial"/>
      </w:rPr>
    </w:lvl>
    <w:lvl w:ilvl="2">
      <w:start w:val="1"/>
      <w:numFmt w:val="lowerRoman"/>
      <w:lvlText w:val="%3."/>
      <w:lvlJc w:val="right"/>
      <w:pPr>
        <w:tabs>
          <w:tab w:val="num" w:pos="2226"/>
        </w:tabs>
        <w:ind w:left="2226" w:hanging="180"/>
      </w:pPr>
      <w:rPr>
        <w:rFonts w:ascii="Arial" w:hAnsi="Arial" w:cs="Arial"/>
      </w:rPr>
    </w:lvl>
    <w:lvl w:ilvl="3">
      <w:start w:val="1"/>
      <w:numFmt w:val="decimal"/>
      <w:lvlText w:val="%4."/>
      <w:lvlJc w:val="left"/>
      <w:pPr>
        <w:tabs>
          <w:tab w:val="num" w:pos="2946"/>
        </w:tabs>
        <w:ind w:left="2946" w:hanging="360"/>
      </w:pPr>
      <w:rPr>
        <w:rFonts w:ascii="Arial" w:hAnsi="Arial" w:cs="Arial"/>
      </w:rPr>
    </w:lvl>
    <w:lvl w:ilvl="4">
      <w:start w:val="1"/>
      <w:numFmt w:val="lowerLetter"/>
      <w:lvlText w:val="%5."/>
      <w:lvlJc w:val="left"/>
      <w:pPr>
        <w:tabs>
          <w:tab w:val="num" w:pos="3666"/>
        </w:tabs>
        <w:ind w:left="3666" w:hanging="360"/>
      </w:pPr>
      <w:rPr>
        <w:rFonts w:ascii="Arial" w:hAnsi="Arial" w:cs="Arial"/>
      </w:rPr>
    </w:lvl>
    <w:lvl w:ilvl="5">
      <w:start w:val="1"/>
      <w:numFmt w:val="lowerRoman"/>
      <w:lvlText w:val="%6."/>
      <w:lvlJc w:val="right"/>
      <w:pPr>
        <w:tabs>
          <w:tab w:val="num" w:pos="4386"/>
        </w:tabs>
        <w:ind w:left="4386" w:hanging="180"/>
      </w:pPr>
      <w:rPr>
        <w:rFonts w:ascii="Arial" w:hAnsi="Arial" w:cs="Arial"/>
      </w:rPr>
    </w:lvl>
    <w:lvl w:ilvl="6">
      <w:start w:val="1"/>
      <w:numFmt w:val="decimal"/>
      <w:lvlText w:val="%7."/>
      <w:lvlJc w:val="left"/>
      <w:pPr>
        <w:tabs>
          <w:tab w:val="num" w:pos="5106"/>
        </w:tabs>
        <w:ind w:left="5106" w:hanging="360"/>
      </w:pPr>
      <w:rPr>
        <w:rFonts w:ascii="Arial" w:hAnsi="Arial" w:cs="Arial"/>
      </w:rPr>
    </w:lvl>
    <w:lvl w:ilvl="7">
      <w:start w:val="1"/>
      <w:numFmt w:val="lowerLetter"/>
      <w:lvlText w:val="%8."/>
      <w:lvlJc w:val="left"/>
      <w:pPr>
        <w:tabs>
          <w:tab w:val="num" w:pos="5826"/>
        </w:tabs>
        <w:ind w:left="5826" w:hanging="360"/>
      </w:pPr>
      <w:rPr>
        <w:rFonts w:ascii="Arial" w:hAnsi="Arial" w:cs="Arial"/>
      </w:rPr>
    </w:lvl>
    <w:lvl w:ilvl="8">
      <w:start w:val="1"/>
      <w:numFmt w:val="lowerRoman"/>
      <w:lvlText w:val="%9."/>
      <w:lvlJc w:val="right"/>
      <w:pPr>
        <w:tabs>
          <w:tab w:val="num" w:pos="6546"/>
        </w:tabs>
        <w:ind w:left="6546" w:hanging="180"/>
      </w:pPr>
      <w:rPr>
        <w:rFonts w:ascii="Arial" w:hAnsi="Arial" w:cs="Arial"/>
      </w:rPr>
    </w:lvl>
  </w:abstractNum>
  <w:abstractNum w:abstractNumId="5" w15:restartNumberingAfterBreak="0">
    <w:nsid w:val="661E562C"/>
    <w:multiLevelType w:val="hybridMultilevel"/>
    <w:tmpl w:val="A6EC1A90"/>
    <w:lvl w:ilvl="0" w:tplc="53183408">
      <w:start w:val="1"/>
      <w:numFmt w:val="decimal"/>
      <w:pStyle w:val="Lijstalinea"/>
      <w:lvlText w:val="%1.    a."/>
      <w:lvlJc w:val="left"/>
      <w:pPr>
        <w:ind w:left="360" w:hanging="360"/>
      </w:pPr>
      <w:rPr>
        <w:rFonts w:ascii="Arial" w:hAnsi="Arial" w:cs="Arial"/>
        <w:u w:val="none"/>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70FF2855"/>
    <w:multiLevelType w:val="hybridMultilevel"/>
    <w:tmpl w:val="DC08A728"/>
    <w:lvl w:ilvl="0" w:tplc="04130015">
      <w:start w:val="1"/>
      <w:numFmt w:val="upp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7B12417D"/>
    <w:multiLevelType w:val="hybridMultilevel"/>
    <w:tmpl w:val="28F810A8"/>
    <w:lvl w:ilvl="0" w:tplc="A13281FC">
      <w:start w:val="4"/>
      <w:numFmt w:val="lowerLetter"/>
      <w:lvlText w:val="%1."/>
      <w:lvlJc w:val="left"/>
      <w:pPr>
        <w:tabs>
          <w:tab w:val="num" w:pos="360"/>
        </w:tabs>
        <w:ind w:left="360" w:hanging="360"/>
      </w:pPr>
      <w:rPr>
        <w:rFonts w:ascii="Arial" w:hAnsi="Arial" w:cs="Arial"/>
      </w:rPr>
    </w:lvl>
    <w:lvl w:ilvl="1" w:tplc="04130019" w:tentative="1">
      <w:start w:val="1"/>
      <w:numFmt w:val="lowerLetter"/>
      <w:lvlText w:val="%2."/>
      <w:lvlJc w:val="left"/>
      <w:pPr>
        <w:tabs>
          <w:tab w:val="num" w:pos="1080"/>
        </w:tabs>
        <w:ind w:left="1080" w:hanging="360"/>
      </w:pPr>
    </w:lvl>
    <w:lvl w:ilvl="2" w:tplc="0413001B" w:tentative="1">
      <w:start w:val="1"/>
      <w:numFmt w:val="lowerRoman"/>
      <w:lvlText w:val="%3."/>
      <w:lvlJc w:val="right"/>
      <w:pPr>
        <w:tabs>
          <w:tab w:val="num" w:pos="1800"/>
        </w:tabs>
        <w:ind w:left="1800" w:hanging="180"/>
      </w:pPr>
    </w:lvl>
    <w:lvl w:ilvl="3" w:tplc="0413000F" w:tentative="1">
      <w:start w:val="1"/>
      <w:numFmt w:val="decimal"/>
      <w:lvlText w:val="%4."/>
      <w:lvlJc w:val="left"/>
      <w:pPr>
        <w:tabs>
          <w:tab w:val="num" w:pos="2520"/>
        </w:tabs>
        <w:ind w:left="2520" w:hanging="360"/>
      </w:pPr>
    </w:lvl>
    <w:lvl w:ilvl="4" w:tplc="04130019" w:tentative="1">
      <w:start w:val="1"/>
      <w:numFmt w:val="lowerLetter"/>
      <w:lvlText w:val="%5."/>
      <w:lvlJc w:val="left"/>
      <w:pPr>
        <w:tabs>
          <w:tab w:val="num" w:pos="3240"/>
        </w:tabs>
        <w:ind w:left="3240" w:hanging="360"/>
      </w:pPr>
    </w:lvl>
    <w:lvl w:ilvl="5" w:tplc="0413001B" w:tentative="1">
      <w:start w:val="1"/>
      <w:numFmt w:val="lowerRoman"/>
      <w:lvlText w:val="%6."/>
      <w:lvlJc w:val="right"/>
      <w:pPr>
        <w:tabs>
          <w:tab w:val="num" w:pos="3960"/>
        </w:tabs>
        <w:ind w:left="3960" w:hanging="180"/>
      </w:pPr>
    </w:lvl>
    <w:lvl w:ilvl="6" w:tplc="0413000F" w:tentative="1">
      <w:start w:val="1"/>
      <w:numFmt w:val="decimal"/>
      <w:lvlText w:val="%7."/>
      <w:lvlJc w:val="left"/>
      <w:pPr>
        <w:tabs>
          <w:tab w:val="num" w:pos="4680"/>
        </w:tabs>
        <w:ind w:left="4680" w:hanging="360"/>
      </w:pPr>
    </w:lvl>
    <w:lvl w:ilvl="7" w:tplc="04130019" w:tentative="1">
      <w:start w:val="1"/>
      <w:numFmt w:val="lowerLetter"/>
      <w:lvlText w:val="%8."/>
      <w:lvlJc w:val="left"/>
      <w:pPr>
        <w:tabs>
          <w:tab w:val="num" w:pos="5400"/>
        </w:tabs>
        <w:ind w:left="5400" w:hanging="360"/>
      </w:pPr>
    </w:lvl>
    <w:lvl w:ilvl="8" w:tplc="0413001B" w:tentative="1">
      <w:start w:val="1"/>
      <w:numFmt w:val="lowerRoman"/>
      <w:lvlText w:val="%9."/>
      <w:lvlJc w:val="right"/>
      <w:pPr>
        <w:tabs>
          <w:tab w:val="num" w:pos="6120"/>
        </w:tabs>
        <w:ind w:left="6120" w:hanging="180"/>
      </w:pPr>
    </w:lvl>
  </w:abstractNum>
  <w:num w:numId="1">
    <w:abstractNumId w:val="7"/>
  </w:num>
  <w:num w:numId="2">
    <w:abstractNumId w:val="5"/>
  </w:num>
  <w:num w:numId="3">
    <w:abstractNumId w:val="4"/>
  </w:num>
  <w:num w:numId="4">
    <w:abstractNumId w:val="2"/>
  </w:num>
  <w:num w:numId="5">
    <w:abstractNumId w:val="6"/>
  </w:num>
  <w:num w:numId="6">
    <w:abstractNumId w:val="1"/>
  </w:num>
  <w:num w:numId="7">
    <w:abstractNumId w:val="3"/>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cryptProviderType="rsaFull" w:cryptAlgorithmClass="hash" w:cryptAlgorithmType="typeAny" w:cryptAlgorithmSid="4" w:cryptSpinCount="100000" w:hash="Vd4l7jFj4HMJd12BESbEfvrTaZ4=" w:salt="G0FAaLR4pejxIbfRKOVRTw=="/>
  <w:defaultTabStop w:val="425"/>
  <w:hyphenationZone w:val="425"/>
  <w:drawingGridHorizontalSpacing w:val="120"/>
  <w:drawingGridVerticalSpacing w:val="120"/>
  <w:displayVerticalDrawingGridEvery w:val="0"/>
  <w:doNotUseMarginsForDrawingGridOrigin/>
  <w:characterSpacingControl w:val="doNotCompress"/>
  <w:hdrShapeDefaults>
    <o:shapedefaults v:ext="edit" spidmax="6145"/>
  </w:hdrShapeDefaults>
  <w:footnotePr>
    <w:footnote w:id="-1"/>
    <w:footnote w:id="0"/>
    <w:footnote w:id="1"/>
  </w:footnotePr>
  <w:endnotePr>
    <w:endnote w:id="-1"/>
    <w:endnote w:id="0"/>
    <w:endnote w:id="1"/>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6FD1"/>
    <w:rsid w:val="00001382"/>
    <w:rsid w:val="0001142E"/>
    <w:rsid w:val="00011596"/>
    <w:rsid w:val="00017780"/>
    <w:rsid w:val="00022452"/>
    <w:rsid w:val="000313C4"/>
    <w:rsid w:val="0003425B"/>
    <w:rsid w:val="00055845"/>
    <w:rsid w:val="000C50FE"/>
    <w:rsid w:val="000E0715"/>
    <w:rsid w:val="000E537E"/>
    <w:rsid w:val="000E75B6"/>
    <w:rsid w:val="000E7E1D"/>
    <w:rsid w:val="000F4E77"/>
    <w:rsid w:val="00100258"/>
    <w:rsid w:val="00106C98"/>
    <w:rsid w:val="0010778B"/>
    <w:rsid w:val="001116B4"/>
    <w:rsid w:val="00132C6A"/>
    <w:rsid w:val="001435E4"/>
    <w:rsid w:val="00154138"/>
    <w:rsid w:val="001605AF"/>
    <w:rsid w:val="00172D09"/>
    <w:rsid w:val="001A0713"/>
    <w:rsid w:val="001A3339"/>
    <w:rsid w:val="001A7207"/>
    <w:rsid w:val="001A72AE"/>
    <w:rsid w:val="001B22DE"/>
    <w:rsid w:val="001B3024"/>
    <w:rsid w:val="001C071F"/>
    <w:rsid w:val="001C50C3"/>
    <w:rsid w:val="001D652D"/>
    <w:rsid w:val="001E14A9"/>
    <w:rsid w:val="001E1E63"/>
    <w:rsid w:val="001F3DBC"/>
    <w:rsid w:val="001F6167"/>
    <w:rsid w:val="002038B4"/>
    <w:rsid w:val="00205D51"/>
    <w:rsid w:val="00217757"/>
    <w:rsid w:val="00221253"/>
    <w:rsid w:val="00226366"/>
    <w:rsid w:val="00226A41"/>
    <w:rsid w:val="00265269"/>
    <w:rsid w:val="00296BB6"/>
    <w:rsid w:val="002A10EF"/>
    <w:rsid w:val="002A5DC5"/>
    <w:rsid w:val="002A7767"/>
    <w:rsid w:val="002B360E"/>
    <w:rsid w:val="002D71F6"/>
    <w:rsid w:val="002E533B"/>
    <w:rsid w:val="002F3819"/>
    <w:rsid w:val="0030001B"/>
    <w:rsid w:val="00304CAD"/>
    <w:rsid w:val="00310CE9"/>
    <w:rsid w:val="00321385"/>
    <w:rsid w:val="0032418C"/>
    <w:rsid w:val="00324341"/>
    <w:rsid w:val="00326FD1"/>
    <w:rsid w:val="0033339B"/>
    <w:rsid w:val="003340DC"/>
    <w:rsid w:val="00336787"/>
    <w:rsid w:val="00363482"/>
    <w:rsid w:val="00366A5F"/>
    <w:rsid w:val="003759DC"/>
    <w:rsid w:val="00382E00"/>
    <w:rsid w:val="00384B9B"/>
    <w:rsid w:val="003908E9"/>
    <w:rsid w:val="003E3F83"/>
    <w:rsid w:val="003E42B2"/>
    <w:rsid w:val="00417139"/>
    <w:rsid w:val="00426DA3"/>
    <w:rsid w:val="00441A35"/>
    <w:rsid w:val="00441FDF"/>
    <w:rsid w:val="00456A60"/>
    <w:rsid w:val="00476F19"/>
    <w:rsid w:val="004A369F"/>
    <w:rsid w:val="004A5705"/>
    <w:rsid w:val="004B79C8"/>
    <w:rsid w:val="004C72A1"/>
    <w:rsid w:val="004D1328"/>
    <w:rsid w:val="004E0321"/>
    <w:rsid w:val="004E116C"/>
    <w:rsid w:val="004E668E"/>
    <w:rsid w:val="005128BA"/>
    <w:rsid w:val="00515B6C"/>
    <w:rsid w:val="00524163"/>
    <w:rsid w:val="005242F6"/>
    <w:rsid w:val="00530653"/>
    <w:rsid w:val="00536A32"/>
    <w:rsid w:val="005536C2"/>
    <w:rsid w:val="00553A78"/>
    <w:rsid w:val="005713FE"/>
    <w:rsid w:val="0057767E"/>
    <w:rsid w:val="0059460F"/>
    <w:rsid w:val="00594649"/>
    <w:rsid w:val="005A12C4"/>
    <w:rsid w:val="005B1DAE"/>
    <w:rsid w:val="005C2537"/>
    <w:rsid w:val="005C2EBA"/>
    <w:rsid w:val="005C360B"/>
    <w:rsid w:val="005C38E7"/>
    <w:rsid w:val="005C6AC8"/>
    <w:rsid w:val="005E1CB0"/>
    <w:rsid w:val="005E6320"/>
    <w:rsid w:val="005F3A34"/>
    <w:rsid w:val="00611288"/>
    <w:rsid w:val="00611DB5"/>
    <w:rsid w:val="00616187"/>
    <w:rsid w:val="00625791"/>
    <w:rsid w:val="00627449"/>
    <w:rsid w:val="00635C75"/>
    <w:rsid w:val="006404C1"/>
    <w:rsid w:val="006432C0"/>
    <w:rsid w:val="00680601"/>
    <w:rsid w:val="00695B2A"/>
    <w:rsid w:val="006B22A8"/>
    <w:rsid w:val="006B53F0"/>
    <w:rsid w:val="006F0C84"/>
    <w:rsid w:val="006F4571"/>
    <w:rsid w:val="00721371"/>
    <w:rsid w:val="00725FE9"/>
    <w:rsid w:val="007373FF"/>
    <w:rsid w:val="00737C52"/>
    <w:rsid w:val="007454B7"/>
    <w:rsid w:val="007465AC"/>
    <w:rsid w:val="00746BA4"/>
    <w:rsid w:val="00751207"/>
    <w:rsid w:val="0075316B"/>
    <w:rsid w:val="00764141"/>
    <w:rsid w:val="00771281"/>
    <w:rsid w:val="00772DF4"/>
    <w:rsid w:val="007858EB"/>
    <w:rsid w:val="00791F98"/>
    <w:rsid w:val="00797DC0"/>
    <w:rsid w:val="007A32DC"/>
    <w:rsid w:val="007C3CCC"/>
    <w:rsid w:val="007E61D9"/>
    <w:rsid w:val="007F2699"/>
    <w:rsid w:val="007F7B99"/>
    <w:rsid w:val="008021EF"/>
    <w:rsid w:val="00805309"/>
    <w:rsid w:val="00812182"/>
    <w:rsid w:val="00830EED"/>
    <w:rsid w:val="00836385"/>
    <w:rsid w:val="008371ED"/>
    <w:rsid w:val="008473A8"/>
    <w:rsid w:val="0085449B"/>
    <w:rsid w:val="0086164B"/>
    <w:rsid w:val="00861CB8"/>
    <w:rsid w:val="00864AE5"/>
    <w:rsid w:val="00866936"/>
    <w:rsid w:val="00892E9D"/>
    <w:rsid w:val="008A5F8E"/>
    <w:rsid w:val="008A6DAF"/>
    <w:rsid w:val="008C0B64"/>
    <w:rsid w:val="008C522C"/>
    <w:rsid w:val="008D632B"/>
    <w:rsid w:val="009044C0"/>
    <w:rsid w:val="009213CF"/>
    <w:rsid w:val="00946B0E"/>
    <w:rsid w:val="00964746"/>
    <w:rsid w:val="00974541"/>
    <w:rsid w:val="009750AA"/>
    <w:rsid w:val="00975F9D"/>
    <w:rsid w:val="00977E56"/>
    <w:rsid w:val="00986FF8"/>
    <w:rsid w:val="00994736"/>
    <w:rsid w:val="009A3A34"/>
    <w:rsid w:val="009B2651"/>
    <w:rsid w:val="009C7034"/>
    <w:rsid w:val="009C7682"/>
    <w:rsid w:val="009D6230"/>
    <w:rsid w:val="009E4A42"/>
    <w:rsid w:val="009E685B"/>
    <w:rsid w:val="009E68A1"/>
    <w:rsid w:val="009F2B35"/>
    <w:rsid w:val="00A03CB4"/>
    <w:rsid w:val="00A26CC8"/>
    <w:rsid w:val="00A43D11"/>
    <w:rsid w:val="00A52CF0"/>
    <w:rsid w:val="00A52E28"/>
    <w:rsid w:val="00A801C6"/>
    <w:rsid w:val="00A843ED"/>
    <w:rsid w:val="00A860A3"/>
    <w:rsid w:val="00AA0790"/>
    <w:rsid w:val="00AA5254"/>
    <w:rsid w:val="00AC59A7"/>
    <w:rsid w:val="00AD1445"/>
    <w:rsid w:val="00B024BC"/>
    <w:rsid w:val="00B071AA"/>
    <w:rsid w:val="00B21380"/>
    <w:rsid w:val="00B25A59"/>
    <w:rsid w:val="00B33B42"/>
    <w:rsid w:val="00B34F25"/>
    <w:rsid w:val="00B37C09"/>
    <w:rsid w:val="00B42618"/>
    <w:rsid w:val="00B53996"/>
    <w:rsid w:val="00B76EAA"/>
    <w:rsid w:val="00B80467"/>
    <w:rsid w:val="00B819D6"/>
    <w:rsid w:val="00B8721E"/>
    <w:rsid w:val="00B93A90"/>
    <w:rsid w:val="00BA4A81"/>
    <w:rsid w:val="00BB33B3"/>
    <w:rsid w:val="00BB3D7A"/>
    <w:rsid w:val="00BB70A8"/>
    <w:rsid w:val="00BB73D2"/>
    <w:rsid w:val="00BC1938"/>
    <w:rsid w:val="00BC66F3"/>
    <w:rsid w:val="00BE17A7"/>
    <w:rsid w:val="00C11760"/>
    <w:rsid w:val="00C16FED"/>
    <w:rsid w:val="00C2174A"/>
    <w:rsid w:val="00C3007A"/>
    <w:rsid w:val="00C319AF"/>
    <w:rsid w:val="00C43170"/>
    <w:rsid w:val="00C51B13"/>
    <w:rsid w:val="00C53038"/>
    <w:rsid w:val="00C63775"/>
    <w:rsid w:val="00C63933"/>
    <w:rsid w:val="00C90757"/>
    <w:rsid w:val="00C93817"/>
    <w:rsid w:val="00CB1E3F"/>
    <w:rsid w:val="00CC768A"/>
    <w:rsid w:val="00CD00B7"/>
    <w:rsid w:val="00CE4FCA"/>
    <w:rsid w:val="00D0390F"/>
    <w:rsid w:val="00D071B8"/>
    <w:rsid w:val="00D23E58"/>
    <w:rsid w:val="00D45ED6"/>
    <w:rsid w:val="00D474FA"/>
    <w:rsid w:val="00D66FCE"/>
    <w:rsid w:val="00D742A4"/>
    <w:rsid w:val="00D807E6"/>
    <w:rsid w:val="00D80EC1"/>
    <w:rsid w:val="00D84A1D"/>
    <w:rsid w:val="00D84F8E"/>
    <w:rsid w:val="00D85AF6"/>
    <w:rsid w:val="00D862F3"/>
    <w:rsid w:val="00D94527"/>
    <w:rsid w:val="00DA0477"/>
    <w:rsid w:val="00DA695C"/>
    <w:rsid w:val="00DC22A4"/>
    <w:rsid w:val="00DC4DEC"/>
    <w:rsid w:val="00DC553E"/>
    <w:rsid w:val="00DD3903"/>
    <w:rsid w:val="00DE787A"/>
    <w:rsid w:val="00E21EEE"/>
    <w:rsid w:val="00E3070D"/>
    <w:rsid w:val="00E526E0"/>
    <w:rsid w:val="00E633D1"/>
    <w:rsid w:val="00E665E6"/>
    <w:rsid w:val="00E720DB"/>
    <w:rsid w:val="00E82634"/>
    <w:rsid w:val="00E91772"/>
    <w:rsid w:val="00E94506"/>
    <w:rsid w:val="00E96B74"/>
    <w:rsid w:val="00EA0958"/>
    <w:rsid w:val="00EA35A2"/>
    <w:rsid w:val="00EB008A"/>
    <w:rsid w:val="00EC5484"/>
    <w:rsid w:val="00EC6CD4"/>
    <w:rsid w:val="00ED0F49"/>
    <w:rsid w:val="00EE27F8"/>
    <w:rsid w:val="00EE6778"/>
    <w:rsid w:val="00EE7A22"/>
    <w:rsid w:val="00EF3175"/>
    <w:rsid w:val="00EF5B0E"/>
    <w:rsid w:val="00F05387"/>
    <w:rsid w:val="00F15BBA"/>
    <w:rsid w:val="00F25F7D"/>
    <w:rsid w:val="00F552F9"/>
    <w:rsid w:val="00F603A2"/>
    <w:rsid w:val="00F809AB"/>
    <w:rsid w:val="00F821F5"/>
    <w:rsid w:val="00F851CA"/>
    <w:rsid w:val="00F91733"/>
    <w:rsid w:val="00F97054"/>
    <w:rsid w:val="00FA2E12"/>
    <w:rsid w:val="00FC5067"/>
    <w:rsid w:val="00FC7BD1"/>
    <w:rsid w:val="00FE19D4"/>
    <w:rsid w:val="00FE3524"/>
    <w:rsid w:val="00FF33E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3E142719"/>
  <w15:docId w15:val="{E8F8C5BA-C532-4085-8F3F-6C8AE9D62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hAnsi="Arial" w:cs="Arial"/>
        <w:sz w:val="24"/>
        <w:szCs w:val="24"/>
        <w:lang w:val="nl-NL" w:eastAsia="nl-NL" w:bidi="ar-SA"/>
      </w:rPr>
    </w:rPrDefault>
    <w:pPrDefault>
      <w:pPr>
        <w:spacing w:line="276" w:lineRule="auto"/>
      </w:pPr>
    </w:pPrDefault>
  </w:docDefaults>
  <w:latentStyles w:defLockedState="0" w:defUIPriority="0" w:defSemiHidden="0" w:defUnhideWhenUsed="0" w:defQFormat="0" w:count="371">
    <w:lsdException w:name="Normal"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ard">
    <w:name w:val="Normal"/>
    <w:qFormat/>
    <w:rPr>
      <w:rFonts w:ascii="Arial" w:hAnsi="Arial" w:cs="Arial"/>
      <w:sz w:val="24"/>
      <w:szCs w:val="24"/>
    </w:rPr>
    <w:pPr>
      <w:spacing w:line="276" w:lineRule="auto"/>
    </w:pPr>
  </w:style>
  <w:style w:type="paragraph" w:styleId="Kop1">
    <w:name w:val="heading 1"/>
    <w:basedOn w:val="Standaard"/>
    <w:link w:val="Kop1Char2"/>
    <w:uiPriority w:val="9"/>
    <w:qFormat/>
    <w:pPr>
      <w:outlineLvl w:val="0"/>
      <w:spacing w:line="276" w:lineRule="auto"/>
    </w:pPr>
    <w:rPr>
      <w:b/>
      <w:bCs/>
      <w:kern w:val="36"/>
      <w:rFonts w:ascii="Arial" w:hAnsi="Arial" w:cs="Arial"/>
      <w:sz w:val="24"/>
      <w:szCs w:val="24"/>
    </w:rPr>
  </w:style>
  <w:style w:type="paragraph" w:styleId="Kop2">
    <w:name w:val="heading 2"/>
    <w:basedOn w:val="Standaard"/>
    <w:link w:val="Kop2Char1"/>
    <w:uiPriority w:val="9"/>
    <w:qFormat/>
    <w:pPr>
      <w:outlineLvl w:val="1"/>
      <w:spacing w:line="276" w:lineRule="auto"/>
    </w:pPr>
    <w:rPr>
      <w:b/>
      <w:bCs/>
      <w:rFonts w:ascii="Arial" w:hAnsi="Arial" w:cs="Arial"/>
      <w:sz w:val="24"/>
      <w:szCs w:val="24"/>
    </w:rPr>
  </w:style>
  <w:style w:type="paragraph" w:styleId="Kop3">
    <w:name w:val="heading 3"/>
    <w:basedOn w:val="Standaard"/>
    <w:link w:val="Kop3Char1"/>
    <w:uiPriority w:val="9"/>
    <w:qFormat/>
    <w:pPr>
      <w:outlineLvl w:val="2"/>
      <w:spacing w:line="276" w:lineRule="auto"/>
    </w:pPr>
    <w:rPr>
      <w:b/>
      <w:bCs/>
      <w:rFonts w:ascii="Arial" w:hAnsi="Arial" w:cs="Arial"/>
      <w:sz w:val="24"/>
      <w:szCs w:val="24"/>
    </w:rPr>
  </w:style>
  <w:style w:type="paragraph" w:styleId="Kop4">
    <w:name w:val="heading 4"/>
    <w:basedOn w:val="Standaard"/>
    <w:link w:val="Kop4Char1"/>
    <w:uiPriority w:val="9"/>
    <w:qFormat/>
    <w:pPr>
      <w:outlineLvl w:val="3"/>
      <w:spacing w:line="276" w:lineRule="auto"/>
    </w:pPr>
    <w:rPr>
      <w:b/>
      <w:bCs/>
      <w:rFonts w:ascii="Arial" w:hAnsi="Arial" w:cs="Arial"/>
      <w:sz w:val="24"/>
      <w:szCs w:val="24"/>
    </w:rPr>
  </w:style>
  <w:style w:type="paragraph" w:styleId="Kop5">
    <w:name w:val="heading 5"/>
    <w:basedOn w:val="Standaard"/>
    <w:link w:val="Kop5Char1"/>
    <w:uiPriority w:val="9"/>
    <w:qFormat/>
    <w:pPr>
      <w:outlineLvl w:val="4"/>
      <w:spacing w:line="276" w:lineRule="auto"/>
    </w:pPr>
    <w:rPr>
      <w:b/>
      <w:bCs/>
      <w:rFonts w:ascii="Arial" w:hAnsi="Arial" w:cs="Arial"/>
      <w:sz w:val="24"/>
      <w:szCs w:val="24"/>
    </w:rPr>
  </w:style>
  <w:style w:type="paragraph" w:styleId="Kop6">
    <w:name w:val="heading 6"/>
    <w:basedOn w:val="Standaard"/>
    <w:link w:val="Kop6Char1"/>
    <w:uiPriority w:val="9"/>
    <w:qFormat/>
    <w:pPr>
      <w:outlineLvl w:val="5"/>
      <w:spacing w:line="276" w:lineRule="auto"/>
    </w:pPr>
    <w:rPr>
      <w:b/>
      <w:bCs/>
      <w:rFonts w:ascii="Arial" w:hAnsi="Arial" w:cs="Arial"/>
      <w:sz w:val="24"/>
      <w:szCs w:val="24"/>
    </w:rPr>
  </w:style>
  <w:style w:type="character" w:default="1" w:styleId="Standaardalinea-lettertype">
    <w:name w:val="Default Paragraph Font"/>
    <w:uiPriority w:val="1"/>
    <w:semiHidden/>
    <w:unhideWhenUsed/>
    <w:rPr>
      <w:rFonts w:ascii="Arial" w:hAnsi="Arial" w:cs="Arial"/>
      <w:sz w:val="24"/>
      <w:szCs w:val="24"/>
    </w:rPr>
    <w:pPr>
      <w:spacing w:line="276" w:lineRule="auto"/>
    </w:pPr>
  </w:style>
  <w:style w:type="table" w:default="1" w:styleId="Standaardtabel">
    <w:name w:val="Normal Table"/>
    <w:uiPriority w:val="99"/>
    <w:semiHidden/>
    <w:unhideWhenUsed/>
    <w:tblPr>
      <w:tblInd w:w="0" w:type="dxa"/>
      <w:tblCellMar>
        <w:top w:w="0" w:type="dxa"/>
        <w:left w:w="108" w:type="dxa"/>
        <w:bottom w:w="0" w:type="dxa"/>
        <w:right w:w="108" w:type="dxa"/>
      </w:tblCellMar>
    </w:tblPr>
    <w:rPr>
      <w:rFonts w:ascii="Arial" w:hAnsi="Arial" w:cs="Arial"/>
      <w:sz w:val="24"/>
      <w:szCs w:val="24"/>
    </w:rPr>
    <w:pPr>
      <w:spacing w:line="276" w:lineRule="auto"/>
    </w:pPr>
  </w:style>
  <w:style w:type="numbering" w:default="1" w:styleId="Geenlijst">
    <w:name w:val="No List"/>
    <w:uiPriority w:val="99"/>
    <w:semiHidden/>
    <w:unhideWhenUsed/>
    <w:rPr>
      <w:rFonts w:ascii="Arial" w:hAnsi="Arial" w:cs="Arial"/>
      <w:sz w:val="24"/>
      <w:szCs w:val="24"/>
    </w:rPr>
    <w:pPr>
      <w:spacing w:line="276" w:lineRule="auto"/>
    </w:pPr>
  </w:style>
  <w:style w:type="paragraph" w:customStyle="1" w:styleId="1aniveau">
    <w:name w:val="1a niveau"/>
    <w:basedOn w:val="Standaard"/>
    <w:pPr>
      <w:tabs>
        <w:tab w:val="left" w:pos="851"/>
      </w:tabs>
      <w:ind w:left="851" w:hanging="851"/>
      <w:spacing w:line="276" w:lineRule="auto"/>
    </w:pPr>
    <w:rPr>
      <w:rFonts w:ascii="Arial" w:hAnsi="Arial" w:cs="Arial"/>
      <w:sz w:val="24"/>
      <w:szCs w:val="24"/>
    </w:rPr>
  </w:style>
  <w:style w:type="paragraph" w:styleId="Koptekst">
    <w:name w:val="header"/>
    <w:basedOn w:val="Standaard"/>
    <w:link w:val="KoptekstChar"/>
    <w:uiPriority w:val="99"/>
    <w:pPr>
      <w:tabs>
        <w:tab w:val="center" w:pos="4536"/>
        <w:tab w:val="right" w:pos="9072"/>
      </w:tabs>
      <w:spacing w:line="276" w:lineRule="auto"/>
    </w:pPr>
    <w:rPr>
      <w:rFonts w:ascii="Arial" w:hAnsi="Arial" w:cs="Arial"/>
      <w:sz w:val="24"/>
      <w:szCs w:val="24"/>
    </w:rPr>
  </w:style>
  <w:style w:type="paragraph" w:styleId="Voettekst">
    <w:name w:val="footer"/>
    <w:basedOn w:val="Standaard"/>
    <w:link w:val="VoettekstChar"/>
    <w:uiPriority w:val="99"/>
    <w:pPr>
      <w:tabs>
        <w:tab w:val="center" w:pos="4536"/>
        <w:tab w:val="right" w:pos="9072"/>
      </w:tabs>
      <w:spacing w:line="276" w:lineRule="auto"/>
    </w:pPr>
    <w:rPr>
      <w:rFonts w:ascii="Arial" w:hAnsi="Arial" w:cs="Arial"/>
      <w:sz w:val="24"/>
      <w:szCs w:val="24"/>
    </w:rPr>
  </w:style>
  <w:style w:type="character" w:styleId="Paginanummer">
    <w:name w:val="page number"/>
    <w:basedOn w:val="Standaardalinea-lettertype"/>
    <w:rPr>
      <w:rFonts w:ascii="Arial" w:hAnsi="Arial" w:cs="Arial"/>
      <w:sz w:val="24"/>
      <w:szCs w:val="24"/>
    </w:rPr>
    <w:pPr>
      <w:spacing w:line="276" w:lineRule="auto"/>
    </w:pPr>
  </w:style>
  <w:style w:type="paragraph" w:customStyle="1" w:styleId="Bedragenkolomaltg">
    <w:name w:val="Bedragenkolom (alt+g)"/>
    <w:basedOn w:val="Standaard"/>
    <w:pPr>
      <w:tabs>
        <w:tab w:val="left" w:pos="4961"/>
        <w:tab w:val="decimal" w:pos="6237"/>
        <w:tab w:val="left" w:pos="6804"/>
        <w:tab w:val="decimal" w:pos="8080"/>
      </w:tabs>
      <w:spacing w:line="276" w:lineRule="auto"/>
    </w:pPr>
    <w:rPr>
      <w:rFonts w:ascii="Arial" w:hAnsi="Arial" w:cs="Arial"/>
      <w:sz w:val="24"/>
      <w:szCs w:val="24"/>
    </w:rPr>
  </w:style>
  <w:style w:type="paragraph" w:customStyle="1" w:styleId="Bedragkolomaltf">
    <w:name w:val="Bedragkolom (alt+f)"/>
    <w:basedOn w:val="Standaard"/>
    <w:pPr>
      <w:tabs>
        <w:tab w:val="left" w:pos="6804"/>
        <w:tab w:val="decimal" w:pos="8080"/>
      </w:tabs>
      <w:spacing w:line="276" w:lineRule="auto"/>
    </w:pPr>
    <w:rPr>
      <w:rFonts w:ascii="Arial" w:hAnsi="Arial" w:cs="Arial"/>
      <w:sz w:val="24"/>
      <w:szCs w:val="24"/>
    </w:rPr>
  </w:style>
  <w:style w:type="paragraph" w:customStyle="1" w:styleId="eersteregel">
    <w:name w:val="eerste regel"/>
    <w:basedOn w:val="Standaard"/>
    <w:next w:val="Standaard"/>
    <w:pPr>
      <w:ind w:firstLine="425"/>
      <w:spacing w:line="276" w:lineRule="auto"/>
    </w:pPr>
    <w:rPr>
      <w:rFonts w:ascii="Arial" w:hAnsi="Arial" w:cs="Arial"/>
      <w:sz w:val="24"/>
      <w:szCs w:val="24"/>
    </w:rPr>
  </w:style>
  <w:style w:type="paragraph" w:customStyle="1" w:styleId="Inpsr1aalta">
    <w:name w:val="Inpsr_1a (alt+a)"/>
    <w:basedOn w:val="Standaard"/>
    <w:pPr>
      <w:ind w:left="709" w:hanging="709"/>
      <w:spacing w:line="276" w:lineRule="auto"/>
    </w:pPr>
    <w:rPr>
      <w:rFonts w:ascii="Arial" w:hAnsi="Arial" w:cs="Arial"/>
      <w:sz w:val="24"/>
      <w:szCs w:val="24"/>
    </w:rPr>
  </w:style>
  <w:style w:type="paragraph" w:customStyle="1" w:styleId="Inspr1alt1">
    <w:name w:val="Inspr_1 (alt+1)"/>
    <w:basedOn w:val="Standaard"/>
    <w:pPr>
      <w:ind w:left="425" w:hanging="425"/>
      <w:spacing w:line="276" w:lineRule="auto"/>
    </w:pPr>
    <w:rPr>
      <w:rFonts w:ascii="Arial" w:hAnsi="Arial" w:cs="Arial"/>
      <w:sz w:val="24"/>
      <w:szCs w:val="24"/>
    </w:rPr>
  </w:style>
  <w:style w:type="paragraph" w:customStyle="1" w:styleId="Inspr2alt2">
    <w:name w:val="Inspr_2 (alt+2)"/>
    <w:basedOn w:val="Standaard"/>
    <w:next w:val="Standaard"/>
    <w:pPr>
      <w:ind w:left="709" w:hanging="284"/>
      <w:spacing w:line="276" w:lineRule="auto"/>
    </w:pPr>
    <w:rPr>
      <w:rFonts w:ascii="Arial" w:hAnsi="Arial" w:cs="Arial"/>
      <w:sz w:val="24"/>
      <w:szCs w:val="24"/>
    </w:rPr>
  </w:style>
  <w:style w:type="paragraph" w:customStyle="1" w:styleId="Inspr3alt3">
    <w:name w:val="Inspr_3 (alt+3)"/>
    <w:basedOn w:val="Standaard"/>
    <w:pPr>
      <w:ind w:left="993" w:hanging="284"/>
      <w:spacing w:line="276" w:lineRule="auto"/>
    </w:pPr>
    <w:rPr>
      <w:rFonts w:ascii="Arial" w:hAnsi="Arial" w:cs="Arial"/>
      <w:sz w:val="24"/>
      <w:szCs w:val="24"/>
    </w:rPr>
  </w:style>
  <w:style w:type="paragraph" w:customStyle="1" w:styleId="niveau1">
    <w:name w:val="niveau 1"/>
    <w:basedOn w:val="Standaard"/>
    <w:pPr>
      <w:ind w:left="425" w:hanging="425"/>
      <w:spacing w:line="276" w:lineRule="auto"/>
    </w:pPr>
    <w:rPr>
      <w:rFonts w:ascii="Arial" w:hAnsi="Arial" w:cs="Arial"/>
      <w:sz w:val="24"/>
      <w:szCs w:val="24"/>
    </w:rPr>
  </w:style>
  <w:style w:type="paragraph" w:customStyle="1" w:styleId="niveau2">
    <w:name w:val="niveau 2"/>
    <w:basedOn w:val="niveau1"/>
    <w:pPr>
      <w:ind w:left="851" w:hanging="851"/>
      <w:spacing w:line="276" w:lineRule="auto"/>
    </w:pPr>
    <w:rPr>
      <w:rFonts w:ascii="Arial" w:hAnsi="Arial" w:cs="Arial"/>
      <w:sz w:val="24"/>
      <w:szCs w:val="24"/>
    </w:rPr>
  </w:style>
  <w:style w:type="paragraph" w:customStyle="1" w:styleId="niveau3">
    <w:name w:val="niveau 3"/>
    <w:basedOn w:val="niveau2"/>
    <w:pPr>
      <w:tabs>
        <w:tab w:val="left" w:pos="851"/>
      </w:tabs>
      <w:ind w:left="1276" w:hanging="1276"/>
      <w:spacing w:line="276" w:lineRule="auto"/>
    </w:pPr>
    <w:rPr>
      <w:rFonts w:ascii="Arial" w:hAnsi="Arial" w:cs="Arial"/>
      <w:sz w:val="24"/>
      <w:szCs w:val="24"/>
    </w:rPr>
  </w:style>
  <w:style w:type="paragraph" w:customStyle="1" w:styleId="niveau4">
    <w:name w:val="niveau 4"/>
    <w:basedOn w:val="niveau3"/>
    <w:pPr>
      <w:tabs>
        <w:tab w:val="left" w:pos="1276"/>
      </w:tabs>
      <w:ind w:left="1701" w:hanging="1701"/>
      <w:spacing w:line="276" w:lineRule="auto"/>
    </w:pPr>
    <w:rPr>
      <w:rFonts w:ascii="Arial" w:hAnsi="Arial" w:cs="Arial"/>
      <w:sz w:val="24"/>
      <w:szCs w:val="24"/>
    </w:rPr>
  </w:style>
  <w:style w:type="paragraph" w:customStyle="1" w:styleId="niveau5">
    <w:name w:val="niveau 5"/>
    <w:basedOn w:val="niveau4"/>
    <w:pPr>
      <w:tabs>
        <w:tab w:val="left" w:pos="1701"/>
      </w:tabs>
      <w:ind w:left="2126" w:hanging="2126"/>
      <w:spacing w:line="276" w:lineRule="auto"/>
    </w:pPr>
    <w:rPr>
      <w:rFonts w:ascii="Arial" w:hAnsi="Arial" w:cs="Arial"/>
      <w:sz w:val="24"/>
      <w:szCs w:val="24"/>
    </w:rPr>
  </w:style>
  <w:style w:type="paragraph" w:styleId="Lijstalinea">
    <w:name w:val="List Paragraph"/>
    <w:basedOn w:val="Standaard"/>
    <w:uiPriority w:val="34"/>
    <w:qFormat/>
    <w:rsid w:val="00326FD1"/>
    <w:pPr>
      <w:numPr>
        <w:numId w:val="2"/>
      </w:numPr>
      <w:suppressAutoHyphens/>
      <w:contextualSpacing/>
      <w:spacing w:line="276" w:lineRule="auto"/>
    </w:pPr>
    <w:rPr>
      <w:lang w:eastAsia="en-US"/>
      <w:rFonts w:ascii="Arial" w:hAnsi="Arial" w:cs="Arial"/>
      <w:sz w:val="24"/>
      <w:szCs w:val="24"/>
    </w:rPr>
  </w:style>
  <w:style w:type="table" w:styleId="Tabelraster">
    <w:name w:val="Table Grid"/>
    <w:basedOn w:val="Standaardtabel"/>
    <w:rsid w:val="00D23E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rPr>
      <w:rFonts w:ascii="Arial" w:hAnsi="Arial" w:cs="Arial"/>
      <w:sz w:val="24"/>
      <w:szCs w:val="24"/>
    </w:rPr>
    <w:pPr>
      <w:spacing w:line="276" w:lineRule="auto"/>
    </w:pPr>
  </w:style>
  <w:style w:type="character" w:customStyle="1" w:styleId="Kop1Char">
    <w:name w:val="Kop 1 Char"/>
    <w:basedOn w:val="Standaardalinea-lettertype"/>
    <w:rsid w:val="0086164B"/>
    <w:rPr>
      <w:rFonts w:ascii="Arial" w:hAnsi="Arial" w:cs="Arial"/>
      <w:snapToGrid w:val="0"/>
      <w:color w:val="365F91" w:themeColor="accent1" w:themeShade="BF"/>
      <w:sz w:val="24"/>
      <w:szCs w:val="24"/>
    </w:rPr>
    <w:pPr>
      <w:spacing w:line="276" w:lineRule="auto"/>
    </w:pPr>
  </w:style>
  <w:style w:type="character" w:customStyle="1" w:styleId="VoettekstChar">
    <w:name w:val="Voettekst Char"/>
    <w:basedOn w:val="Standaardalinea-lettertype"/>
    <w:link w:val="Voettekst"/>
    <w:uiPriority w:val="99"/>
    <w:rsid w:val="00C319AF"/>
    <w:rPr>
      <w:rFonts w:ascii="Arial" w:hAnsi="Arial" w:cs="Arial"/>
      <w:snapToGrid w:val="0"/>
      <w:sz w:val="24"/>
      <w:szCs w:val="24"/>
    </w:rPr>
    <w:pPr>
      <w:spacing w:line="276" w:lineRule="auto"/>
    </w:pPr>
  </w:style>
  <w:style w:type="character" w:customStyle="1" w:styleId="KoptekstChar">
    <w:name w:val="Koptekst Char"/>
    <w:basedOn w:val="Standaardalinea-lettertype"/>
    <w:link w:val="Koptekst"/>
    <w:uiPriority w:val="99"/>
    <w:rsid w:val="00C319AF"/>
    <w:rPr>
      <w:rFonts w:ascii="Arial" w:hAnsi="Arial" w:cs="Arial"/>
      <w:snapToGrid w:val="0"/>
      <w:sz w:val="24"/>
      <w:szCs w:val="24"/>
    </w:rPr>
    <w:pPr>
      <w:spacing w:line="276" w:lineRule="auto"/>
    </w:pPr>
  </w:style>
  <w:style w:type="character" w:styleId="Hyperlink">
    <w:name w:val="Hyperlink"/>
    <w:basedOn w:val="Standaardalinea-lettertype"/>
    <w:uiPriority w:val="99"/>
    <w:semiHidden/>
    <w:unhideWhenUsed/>
    <w:rPr>
      <w:rFonts w:ascii="Arial" w:hAnsi="Arial" w:cs="Arial"/>
      <w:color w:val="0000FF"/>
      <w:sz w:val="24"/>
      <w:szCs w:val="24"/>
      <w:u w:val="single"/>
    </w:rPr>
    <w:pPr>
      <w:spacing w:line="276" w:lineRule="auto"/>
    </w:pPr>
  </w:style>
  <w:style w:type="character" w:styleId="GevolgdeHyperlink">
    <w:name w:val="FollowedHyperlink"/>
    <w:basedOn w:val="Standaardalinea-lettertype"/>
    <w:uiPriority w:val="99"/>
    <w:semiHidden/>
    <w:unhideWhenUsed/>
    <w:rPr>
      <w:rFonts w:ascii="Arial" w:hAnsi="Arial" w:cs="Arial"/>
      <w:color w:val="800080"/>
      <w:sz w:val="24"/>
      <w:szCs w:val="24"/>
      <w:u w:val="single"/>
    </w:rPr>
    <w:pPr>
      <w:spacing w:line="276" w:lineRule="auto"/>
    </w:pPr>
  </w:style>
  <w:style w:type="character" w:customStyle="1" w:styleId="Kop1Char1">
    <w:name w:val="Kop 1 Char1"/>
    <w:basedOn w:val="Standaardalinea-lettertype"/>
    <w:uiPriority w:val="9"/>
    <w:rPr>
      <w:rFonts w:ascii="Arial" w:hAnsi="Arial" w:cs="Arial"/>
      <w:color w:val="365F91" w:themeColor="accent1" w:themeShade="BF"/>
      <w:sz w:val="24"/>
      <w:szCs w:val="24"/>
    </w:rPr>
    <w:pPr>
      <w:spacing w:line="276" w:lineRule="auto"/>
    </w:pPr>
  </w:style>
  <w:style w:type="character" w:customStyle="1" w:styleId="Kop2Char">
    <w:name w:val="Kop 2 Char"/>
    <w:basedOn w:val="Standaardalinea-lettertype"/>
    <w:uiPriority w:val="9"/>
    <w:semiHidden/>
    <w:rPr>
      <w:rFonts w:ascii="Arial" w:hAnsi="Arial" w:cs="Arial"/>
      <w:color w:val="365F91" w:themeColor="accent1" w:themeShade="BF"/>
      <w:sz w:val="24"/>
      <w:szCs w:val="24"/>
    </w:rPr>
    <w:pPr>
      <w:spacing w:line="276" w:lineRule="auto"/>
    </w:pPr>
  </w:style>
  <w:style w:type="character" w:customStyle="1" w:styleId="Kop3Char">
    <w:name w:val="Kop 3 Char"/>
    <w:basedOn w:val="Standaardalinea-lettertype"/>
    <w:uiPriority w:val="9"/>
    <w:semiHidden/>
    <w:rPr>
      <w:rFonts w:ascii="Arial" w:hAnsi="Arial" w:cs="Arial"/>
      <w:color w:val="243F60" w:themeColor="accent1" w:themeShade="7F"/>
      <w:sz w:val="24"/>
      <w:szCs w:val="24"/>
    </w:rPr>
    <w:pPr>
      <w:spacing w:line="276" w:lineRule="auto"/>
    </w:pPr>
  </w:style>
  <w:style w:type="character" w:customStyle="1" w:styleId="Kop4Char">
    <w:name w:val="Kop 4 Char"/>
    <w:basedOn w:val="Standaardalinea-lettertype"/>
    <w:uiPriority w:val="9"/>
    <w:semiHidden/>
    <w:rPr>
      <w:rFonts w:ascii="Arial" w:hAnsi="Arial" w:cs="Arial"/>
      <w:i/>
      <w:iCs/>
      <w:color w:val="365F91" w:themeColor="accent1" w:themeShade="BF"/>
      <w:sz w:val="24"/>
      <w:szCs w:val="24"/>
    </w:rPr>
    <w:pPr>
      <w:spacing w:line="276" w:lineRule="auto"/>
    </w:pPr>
  </w:style>
  <w:style w:type="character" w:customStyle="1" w:styleId="Kop5Char">
    <w:name w:val="Kop 5 Char"/>
    <w:basedOn w:val="Standaardalinea-lettertype"/>
    <w:uiPriority w:val="9"/>
    <w:semiHidden/>
    <w:rPr>
      <w:rFonts w:ascii="Arial" w:hAnsi="Arial" w:cs="Arial"/>
      <w:color w:val="365F91" w:themeColor="accent1" w:themeShade="BF"/>
      <w:sz w:val="24"/>
      <w:szCs w:val="24"/>
    </w:rPr>
    <w:pPr>
      <w:spacing w:line="276" w:lineRule="auto"/>
    </w:pPr>
  </w:style>
  <w:style w:type="character" w:customStyle="1" w:styleId="Kop6Char">
    <w:name w:val="Kop 6 Char"/>
    <w:basedOn w:val="Standaardalinea-lettertype"/>
    <w:uiPriority w:val="9"/>
    <w:semiHidden/>
    <w:rPr>
      <w:rFonts w:ascii="Arial" w:hAnsi="Arial" w:cs="Arial"/>
      <w:color w:val="243F60" w:themeColor="accent1" w:themeShade="7F"/>
      <w:sz w:val="24"/>
      <w:szCs w:val="24"/>
    </w:rPr>
    <w:pPr>
      <w:spacing w:line="276" w:lineRule="auto"/>
    </w:pPr>
  </w:style>
  <w:style w:type="paragraph" w:customStyle="1" w:styleId="msonormal0">
    <w:name w:val="msonormal"/>
    <w:basedOn w:val="Standaard"/>
    <w:rPr>
      <w:rFonts w:ascii="Arial" w:hAnsi="Arial" w:cs="Arial"/>
      <w:sz w:val="24"/>
      <w:szCs w:val="24"/>
    </w:rPr>
    <w:pPr>
      <w:spacing w:line="276" w:lineRule="auto"/>
    </w:pPr>
  </w:style>
  <w:style w:type="paragraph" w:styleId="Normaalweb">
    <w:name w:val="Normal (Web)"/>
    <w:basedOn w:val="Standaard"/>
    <w:uiPriority w:val="99"/>
    <w:semiHidden/>
    <w:unhideWhenUsed/>
    <w:rPr>
      <w:rFonts w:ascii="Arial" w:hAnsi="Arial" w:cs="Arial"/>
      <w:sz w:val="24"/>
      <w:szCs w:val="24"/>
    </w:rPr>
    <w:pPr>
      <w:spacing w:line="276" w:lineRule="auto"/>
    </w:pPr>
  </w:style>
  <w:style w:type="paragraph" w:customStyle="1" w:styleId="number">
    <w:name w:val="number"/>
    <w:basedOn w:val="Standaard"/>
    <w:pPr>
      <w:textAlignment w:val="top"/>
      <w:spacing w:line="276" w:lineRule="auto"/>
    </w:pPr>
    <w:rPr>
      <w:rFonts w:ascii="Arial" w:hAnsi="Arial" w:cs="Arial"/>
      <w:sz w:val="24"/>
      <w:szCs w:val="24"/>
    </w:rPr>
  </w:style>
  <w:style w:type="paragraph" w:customStyle="1" w:styleId="roman">
    <w:name w:val="roman"/>
    <w:basedOn w:val="Standaard"/>
    <w:pPr>
      <w:textAlignment w:val="top"/>
      <w:spacing w:line="276" w:lineRule="auto"/>
    </w:pPr>
    <w:rPr>
      <w:rFonts w:ascii="Arial" w:hAnsi="Arial" w:cs="Arial"/>
      <w:sz w:val="24"/>
      <w:szCs w:val="24"/>
    </w:rPr>
  </w:style>
  <w:style w:type="paragraph" w:customStyle="1" w:styleId="indent-1">
    <w:name w:val="indent-1"/>
    <w:basedOn w:val="Standaard"/>
    <w:pPr>
      <w:ind w:left="450"/>
      <w:spacing w:line="276" w:lineRule="auto"/>
    </w:pPr>
    <w:rPr>
      <w:rFonts w:ascii="Arial" w:hAnsi="Arial" w:cs="Arial"/>
      <w:sz w:val="24"/>
      <w:szCs w:val="24"/>
    </w:rPr>
  </w:style>
  <w:style w:type="paragraph" w:customStyle="1" w:styleId="indent-2">
    <w:name w:val="indent-2"/>
    <w:basedOn w:val="Standaard"/>
    <w:pPr>
      <w:ind w:left="900"/>
      <w:spacing w:line="276" w:lineRule="auto"/>
    </w:pPr>
    <w:rPr>
      <w:rFonts w:ascii="Arial" w:hAnsi="Arial" w:cs="Arial"/>
      <w:sz w:val="24"/>
      <w:szCs w:val="24"/>
    </w:rPr>
  </w:style>
  <w:style w:type="paragraph" w:customStyle="1" w:styleId="indent-3">
    <w:name w:val="indent-3"/>
    <w:basedOn w:val="Standaard"/>
    <w:pPr>
      <w:ind w:left="1350"/>
      <w:spacing w:line="276" w:lineRule="auto"/>
    </w:pPr>
    <w:rPr>
      <w:rFonts w:ascii="Arial" w:hAnsi="Arial" w:cs="Arial"/>
      <w:sz w:val="24"/>
      <w:szCs w:val="24"/>
    </w:rPr>
  </w:style>
  <w:style w:type="paragraph" w:customStyle="1" w:styleId="indent-4">
    <w:name w:val="indent-4"/>
    <w:basedOn w:val="Standaard"/>
    <w:pPr>
      <w:ind w:left="1800"/>
      <w:spacing w:line="276" w:lineRule="auto"/>
    </w:pPr>
    <w:rPr>
      <w:rFonts w:ascii="Arial" w:hAnsi="Arial" w:cs="Arial"/>
      <w:sz w:val="24"/>
      <w:szCs w:val="24"/>
    </w:rPr>
  </w:style>
  <w:style w:type="paragraph" w:customStyle="1" w:styleId="indent-5">
    <w:name w:val="indent-5"/>
    <w:basedOn w:val="Standaard"/>
    <w:pPr>
      <w:ind w:left="2250"/>
      <w:spacing w:line="276" w:lineRule="auto"/>
    </w:pPr>
    <w:rPr>
      <w:rFonts w:ascii="Arial" w:hAnsi="Arial" w:cs="Arial"/>
      <w:sz w:val="24"/>
      <w:szCs w:val="24"/>
    </w:rPr>
  </w:style>
  <w:style w:type="character" w:customStyle="1" w:styleId="naam-natuurlijk-persoon">
    <w:name w:val="naam-natuurlijk-persoon"/>
    <w:basedOn w:val="Standaardalinea-lettertype"/>
    <w:rPr>
      <w:rFonts w:ascii="Arial" w:hAnsi="Arial" w:cs="Arial"/>
      <w:sz w:val="24"/>
      <w:szCs w:val="24"/>
      <w:bdr w:val="none" w:sz="0" w:space="0" w:color="auto" w:frame="1"/>
    </w:rPr>
    <w:pPr>
      <w:spacing w:line="276" w:lineRule="auto"/>
    </w:pPr>
  </w:style>
  <w:style w:type="character" w:customStyle="1" w:styleId="naam-rechtspersoon">
    <w:name w:val="naam-rechtspersoon"/>
    <w:basedOn w:val="Standaardalinea-lettertype"/>
    <w:rPr>
      <w:rFonts w:ascii="Arial" w:hAnsi="Arial" w:cs="Arial"/>
      <w:sz w:val="24"/>
      <w:szCs w:val="24"/>
      <w:bdr w:val="none" w:sz="0" w:space="0" w:color="auto" w:frame="1"/>
    </w:rPr>
    <w:pPr>
      <w:spacing w:line="276" w:lineRule="auto"/>
    </w:pPr>
  </w:style>
  <w:style w:type="character" w:styleId="Zwaar">
    <w:name w:val="Strong"/>
    <w:basedOn w:val="Standaardalinea-lettertype"/>
    <w:uiPriority w:val="22"/>
    <w:qFormat/>
    <w:rPr>
      <w:rFonts w:ascii="Arial" w:hAnsi="Arial" w:cs="Arial"/>
      <w:b/>
      <w:bCs/>
      <w:sz w:val="24"/>
      <w:szCs w:val="24"/>
    </w:rPr>
    <w:pPr>
      <w:spacing w:line="276" w:lineRule="auto"/>
    </w:pPr>
  </w:style>
  <w:style w:type="character" w:customStyle="1" w:styleId="Kop1Char2">
    <w:name w:val="Kop 1 Char2"/>
    <w:basedOn w:val="Standaardalinea-lettertype"/>
    <w:link w:val="Kop1"/>
    <w:uiPriority w:val="9"/>
    <w:rPr>
      <w:rFonts w:ascii="Arial" w:hAnsi="Arial" w:cs="Arial"/>
      <w:color w:val="365F91" w:themeColor="accent1" w:themeShade="BF"/>
      <w:sz w:val="24"/>
      <w:szCs w:val="24"/>
    </w:rPr>
    <w:pPr>
      <w:spacing w:line="276" w:lineRule="auto"/>
    </w:pPr>
  </w:style>
  <w:style w:type="character" w:customStyle="1" w:styleId="Kop2Char1">
    <w:name w:val="Kop 2 Char1"/>
    <w:basedOn w:val="Standaardalinea-lettertype"/>
    <w:link w:val="Kop2"/>
    <w:uiPriority w:val="9"/>
    <w:semiHidden/>
    <w:rPr>
      <w:rFonts w:ascii="Arial" w:hAnsi="Arial" w:cs="Arial"/>
      <w:color w:val="365F91" w:themeColor="accent1" w:themeShade="BF"/>
      <w:sz w:val="24"/>
      <w:szCs w:val="24"/>
    </w:rPr>
    <w:pPr>
      <w:spacing w:line="276" w:lineRule="auto"/>
    </w:pPr>
  </w:style>
  <w:style w:type="character" w:customStyle="1" w:styleId="Kop3Char1">
    <w:name w:val="Kop 3 Char1"/>
    <w:basedOn w:val="Standaardalinea-lettertype"/>
    <w:link w:val="Kop3"/>
    <w:uiPriority w:val="9"/>
    <w:semiHidden/>
    <w:rPr>
      <w:rFonts w:ascii="Arial" w:hAnsi="Arial" w:cs="Arial"/>
      <w:color w:val="243F60" w:themeColor="accent1" w:themeShade="7F"/>
      <w:sz w:val="24"/>
      <w:szCs w:val="24"/>
    </w:rPr>
    <w:pPr>
      <w:spacing w:line="276" w:lineRule="auto"/>
    </w:pPr>
  </w:style>
  <w:style w:type="character" w:customStyle="1" w:styleId="Kop4Char1">
    <w:name w:val="Kop 4 Char1"/>
    <w:basedOn w:val="Standaardalinea-lettertype"/>
    <w:link w:val="Kop4"/>
    <w:uiPriority w:val="9"/>
    <w:semiHidden/>
    <w:rPr>
      <w:rFonts w:ascii="Arial" w:hAnsi="Arial" w:cs="Arial"/>
      <w:i/>
      <w:iCs/>
      <w:color w:val="365F91" w:themeColor="accent1" w:themeShade="BF"/>
      <w:sz w:val="24"/>
      <w:szCs w:val="24"/>
    </w:rPr>
    <w:pPr>
      <w:spacing w:line="276" w:lineRule="auto"/>
    </w:pPr>
  </w:style>
  <w:style w:type="character" w:customStyle="1" w:styleId="Kop5Char1">
    <w:name w:val="Kop 5 Char1"/>
    <w:basedOn w:val="Standaardalinea-lettertype"/>
    <w:link w:val="Kop5"/>
    <w:uiPriority w:val="9"/>
    <w:semiHidden/>
    <w:rPr>
      <w:rFonts w:ascii="Arial" w:hAnsi="Arial" w:cs="Arial"/>
      <w:color w:val="365F91" w:themeColor="accent1" w:themeShade="BF"/>
      <w:sz w:val="24"/>
      <w:szCs w:val="24"/>
    </w:rPr>
    <w:pPr>
      <w:spacing w:line="276" w:lineRule="auto"/>
    </w:pPr>
  </w:style>
  <w:style w:type="character" w:customStyle="1" w:styleId="Kop6Char1">
    <w:name w:val="Kop 6 Char1"/>
    <w:basedOn w:val="Standaardalinea-lettertype"/>
    <w:link w:val="Kop6"/>
    <w:uiPriority w:val="9"/>
    <w:semiHidden/>
    <w:rPr>
      <w:rFonts w:ascii="Arial" w:hAnsi="Arial" w:cs="Arial"/>
      <w:color w:val="243F60" w:themeColor="accent1" w:themeShade="7F"/>
      <w:sz w:val="24"/>
      <w:szCs w:val="24"/>
    </w:rPr>
    <w:pPr>
      <w:spacing w:line="276" w:lineRule="auto"/>
    </w:pPr>
  </w:style>
  <w:style w:type="paragraph" w:customStyle="1" w:styleId="msonormal1">
    <w:name w:val="msonormal"/>
    <w:basedOn w:val="Standaard"/>
    <w:rPr>
      <w:rFonts w:ascii="Arial" w:hAnsi="Arial" w:cs="Arial"/>
      <w:sz w:val="24"/>
      <w:szCs w:val="24"/>
    </w:rPr>
    <w:pPr>
      <w:spacing w:line="276" w:lineRule="auto"/>
    </w:pPr>
  </w:style>
  <w:style w:type="paragraph" w:customStyle="1" w:styleId="number0">
    <w:name w:val="number"/>
    <w:basedOn w:val="Standaard"/>
    <w:pPr>
      <w:textAlignment w:val="top"/>
      <w:spacing w:line="276" w:lineRule="auto"/>
    </w:pPr>
    <w:rPr>
      <w:rFonts w:ascii="Arial" w:hAnsi="Arial" w:cs="Arial"/>
      <w:sz w:val="24"/>
      <w:szCs w:val="24"/>
    </w:rPr>
  </w:style>
  <w:style w:type="paragraph" w:customStyle="1" w:styleId="roman0">
    <w:name w:val="roman"/>
    <w:basedOn w:val="Standaard"/>
    <w:pPr>
      <w:textAlignment w:val="top"/>
      <w:spacing w:line="276" w:lineRule="auto"/>
    </w:pPr>
    <w:rPr>
      <w:rFonts w:ascii="Arial" w:hAnsi="Arial" w:cs="Arial"/>
      <w:sz w:val="24"/>
      <w:szCs w:val="24"/>
    </w:rPr>
  </w:style>
  <w:style w:type="paragraph" w:customStyle="1" w:styleId="indent-10">
    <w:name w:val="indent-1"/>
    <w:basedOn w:val="Standaard"/>
    <w:pPr>
      <w:ind w:left="450"/>
      <w:spacing w:line="276" w:lineRule="auto"/>
    </w:pPr>
    <w:rPr>
      <w:rFonts w:ascii="Arial" w:hAnsi="Arial" w:cs="Arial"/>
      <w:sz w:val="24"/>
      <w:szCs w:val="24"/>
    </w:rPr>
  </w:style>
  <w:style w:type="paragraph" w:customStyle="1" w:styleId="indent-20">
    <w:name w:val="indent-2"/>
    <w:basedOn w:val="Standaard"/>
    <w:pPr>
      <w:ind w:left="900"/>
      <w:spacing w:line="276" w:lineRule="auto"/>
    </w:pPr>
    <w:rPr>
      <w:rFonts w:ascii="Arial" w:hAnsi="Arial" w:cs="Arial"/>
      <w:sz w:val="24"/>
      <w:szCs w:val="24"/>
    </w:rPr>
  </w:style>
  <w:style w:type="paragraph" w:customStyle="1" w:styleId="indent-30">
    <w:name w:val="indent-3"/>
    <w:basedOn w:val="Standaard"/>
    <w:pPr>
      <w:ind w:left="1350"/>
      <w:spacing w:line="276" w:lineRule="auto"/>
    </w:pPr>
    <w:rPr>
      <w:rFonts w:ascii="Arial" w:hAnsi="Arial" w:cs="Arial"/>
      <w:sz w:val="24"/>
      <w:szCs w:val="24"/>
    </w:rPr>
  </w:style>
  <w:style w:type="paragraph" w:customStyle="1" w:styleId="indent-40">
    <w:name w:val="indent-4"/>
    <w:basedOn w:val="Standaard"/>
    <w:pPr>
      <w:ind w:left="1800"/>
      <w:spacing w:line="276" w:lineRule="auto"/>
    </w:pPr>
    <w:rPr>
      <w:rFonts w:ascii="Arial" w:hAnsi="Arial" w:cs="Arial"/>
      <w:sz w:val="24"/>
      <w:szCs w:val="24"/>
    </w:rPr>
  </w:style>
  <w:style w:type="paragraph" w:customStyle="1" w:styleId="indent-50">
    <w:name w:val="indent-5"/>
    <w:basedOn w:val="Standaard"/>
    <w:pPr>
      <w:ind w:left="2250"/>
      <w:spacing w:line="276" w:lineRule="auto"/>
    </w:pPr>
    <w:rPr>
      <w:rFonts w:ascii="Arial" w:hAnsi="Arial" w:cs="Arial"/>
      <w:sz w:val="24"/>
      <w:szCs w:val="24"/>
    </w:rPr>
  </w:style>
  <w:style w:type="character" w:customStyle="1" w:styleId="naam-natuurlijk-persoon0">
    <w:name w:val="naam-natuurlijk-persoon"/>
    <w:basedOn w:val="Standaardalinea-lettertype"/>
    <w:rPr>
      <w:rFonts w:ascii="Arial" w:hAnsi="Arial" w:cs="Arial"/>
      <w:sz w:val="24"/>
      <w:szCs w:val="24"/>
      <w:bdr w:val="none" w:sz="0" w:space="0" w:color="auto" w:frame="1"/>
    </w:rPr>
    <w:pPr>
      <w:spacing w:line="276" w:lineRule="auto"/>
    </w:pPr>
  </w:style>
  <w:style w:type="character" w:customStyle="1" w:styleId="naam-rechtspersoon0">
    <w:name w:val="naam-rechtspersoon"/>
    <w:basedOn w:val="Standaardalinea-lettertype"/>
    <w:rPr>
      <w:rFonts w:ascii="Arial" w:hAnsi="Arial" w:cs="Arial"/>
      <w:sz w:val="24"/>
      <w:szCs w:val="24"/>
      <w:bdr w:val="none" w:sz="0" w:space="0" w:color="auto" w:frame="1"/>
    </w:rPr>
    <w:pPr>
      <w:spacing w:line="276" w:lineRule="auto"/>
    </w:pPr>
  </w:style>
  <w:style w:type="paragraph" w:default="1" w:styleId="Normal">
    <w:name w:val="Normal"/>
    <w:qFormat/>
    <w:rPr>
      <w:rFonts w:ascii="Arial" w:hAnsi="Arial" w:cs="Arial"/>
      <w:sz w:val="24"/>
      <w:szCs w:val="24"/>
    </w:rPr>
    <w:pPr>
      <w:spacing w:line="276" w:lineRule="auto"/>
    </w:pPr>
  </w:style>
  <w:style w:type="paragraph" w:styleId="Heading1">
    <w:name w:val="heading 1"/>
    <w:basedOn w:val="Normal"/>
    <w:link w:val="Heading1Char"/>
    <w:uiPriority w:val="9"/>
    <w:qFormat/>
    <w:pPr>
      <w:spacing w:line="276" w:lineRule="auto"/>
      <w:outlineLvl w:val="0"/>
    </w:pPr>
    <w:rPr>
      <w:rFonts w:ascii="Arial" w:hAnsi="Arial" w:cs="Arial"/>
      <w:b/>
      <w:bCs/>
      <w:kern w:val="36"/>
      <w:sz w:val="24"/>
      <w:szCs w:val="24"/>
    </w:rPr>
  </w:style>
  <w:style w:type="paragraph" w:styleId="Heading2">
    <w:name w:val="heading 2"/>
    <w:basedOn w:val="Normal"/>
    <w:link w:val="Heading2Char"/>
    <w:uiPriority w:val="9"/>
    <w:qFormat/>
    <w:pPr>
      <w:spacing w:line="276" w:lineRule="auto"/>
      <w:outlineLvl w:val="1"/>
    </w:pPr>
    <w:rPr>
      <w:rFonts w:ascii="Arial" w:hAnsi="Arial" w:cs="Arial"/>
      <w:b/>
      <w:bCs/>
      <w:sz w:val="24"/>
      <w:szCs w:val="24"/>
    </w:rPr>
  </w:style>
  <w:style w:type="paragraph" w:styleId="Heading3">
    <w:name w:val="heading 3"/>
    <w:basedOn w:val="Normal"/>
    <w:link w:val="Heading3Char"/>
    <w:uiPriority w:val="9"/>
    <w:qFormat/>
    <w:pPr>
      <w:spacing w:line="276" w:lineRule="auto"/>
      <w:outlineLvl w:val="2"/>
    </w:pPr>
    <w:rPr>
      <w:rFonts w:ascii="Arial" w:hAnsi="Arial" w:cs="Arial"/>
      <w:b/>
      <w:bCs/>
      <w:sz w:val="24"/>
      <w:szCs w:val="24"/>
    </w:rPr>
  </w:style>
  <w:style w:type="paragraph" w:styleId="Heading4">
    <w:name w:val="heading 4"/>
    <w:basedOn w:val="Normal"/>
    <w:link w:val="Heading4Char"/>
    <w:uiPriority w:val="9"/>
    <w:qFormat/>
    <w:pPr>
      <w:spacing w:line="276" w:lineRule="auto"/>
      <w:outlineLvl w:val="3"/>
    </w:pPr>
    <w:rPr>
      <w:rFonts w:ascii="Arial" w:hAnsi="Arial" w:cs="Arial"/>
      <w:b/>
      <w:bCs/>
      <w:sz w:val="24"/>
      <w:szCs w:val="24"/>
    </w:rPr>
  </w:style>
  <w:style w:type="paragraph" w:styleId="Heading5">
    <w:name w:val="heading 5"/>
    <w:basedOn w:val="Normal"/>
    <w:link w:val="Heading5Char"/>
    <w:uiPriority w:val="9"/>
    <w:qFormat/>
    <w:pPr>
      <w:spacing w:line="276" w:lineRule="auto"/>
      <w:outlineLvl w:val="4"/>
    </w:pPr>
    <w:rPr>
      <w:rFonts w:ascii="Arial" w:hAnsi="Arial" w:cs="Arial"/>
      <w:b/>
      <w:bCs/>
      <w:sz w:val="24"/>
      <w:szCs w:val="24"/>
    </w:rPr>
  </w:style>
  <w:style w:type="paragraph" w:styleId="Heading6">
    <w:name w:val="heading 6"/>
    <w:basedOn w:val="Normal"/>
    <w:link w:val="Heading6Char"/>
    <w:uiPriority w:val="9"/>
    <w:qFormat/>
    <w:pPr>
      <w:spacing w:line="276" w:lineRule="auto"/>
      <w:outlineLvl w:val="5"/>
    </w:pPr>
    <w:rPr>
      <w:rFonts w:ascii="Arial" w:hAnsi="Arial" w:cs="Arial"/>
      <w:b/>
      <w:bCs/>
      <w:sz w:val="24"/>
      <w:szCs w:val="24"/>
    </w:rPr>
  </w:style>
  <w:style w:type="character" w:default="1" w:styleId="DefaultParagraphFont">
    <w:name w:val="Default Paragraph Font"/>
    <w:uiPriority w:val="1"/>
    <w:semiHidden/>
    <w:unhideWhenUsed/>
    <w:rPr>
      <w:rFonts w:ascii="Arial" w:hAnsi="Arial" w:cs="Arial"/>
      <w:sz w:val="24"/>
      <w:szCs w:val="24"/>
    </w:rPr>
    <w:pPr>
      <w:spacing w:line="276" w:lineRule="auto"/>
    </w:pPr>
  </w:style>
  <w:style w:type="table" w:default="1" w:styleId="TableNormal">
    <w:name w:val="Normal Table"/>
    <w:uiPriority w:val="99"/>
    <w:semiHidden/>
    <w:unhideWhenUsed/>
    <w:tblPr>
      <w:tblInd w:w="0" w:type="dxa"/>
      <w:tblCellMar>
        <w:top w:w="0" w:type="dxa"/>
        <w:left w:w="108" w:type="dxa"/>
        <w:bottom w:w="0" w:type="dxa"/>
        <w:right w:w="108" w:type="dxa"/>
      </w:tblCellMar>
    </w:tblPr>
    <w:rPr>
      <w:rFonts w:ascii="Arial" w:hAnsi="Arial" w:cs="Arial"/>
      <w:sz w:val="24"/>
      <w:szCs w:val="24"/>
    </w:rPr>
    <w:pPr>
      <w:spacing w:line="276" w:lineRule="auto"/>
    </w:pPr>
  </w:style>
  <w:style w:type="numbering" w:default="1" w:styleId="NoList">
    <w:name w:val="No List"/>
    <w:uiPriority w:val="99"/>
    <w:semiHidden/>
    <w:unhideWhenUsed/>
    <w:rPr>
      <w:rFonts w:ascii="Arial" w:hAnsi="Arial" w:cs="Arial"/>
      <w:sz w:val="24"/>
      <w:szCs w:val="24"/>
    </w:rPr>
    <w:pPr>
      <w:spacing w:line="276" w:lineRule="auto"/>
    </w:pPr>
  </w:style>
  <w:style w:type="character" w:styleId="Hyperlink_2">
    <w:name w:val="Hyperlink"/>
    <w:basedOn w:val="DefaultParagraphFont"/>
    <w:uiPriority w:val="99"/>
    <w:semiHidden/>
    <w:unhideWhenUsed/>
    <w:rPr>
      <w:color w:val="0000FF"/>
      <w:u w:val="single"/>
      <w:rFonts w:ascii="Arial" w:hAnsi="Arial" w:cs="Arial"/>
      <w:sz w:val="24"/>
      <w:szCs w:val="24"/>
    </w:rPr>
    <w:pPr>
      <w:spacing w:line="276" w:lineRule="auto"/>
    </w:pPr>
  </w:style>
  <w:style w:type="character" w:styleId="FollowedHyperlink">
    <w:name w:val="FollowedHyperlink"/>
    <w:basedOn w:val="DefaultParagraphFont"/>
    <w:uiPriority w:val="99"/>
    <w:semiHidden/>
    <w:unhideWhenUsed/>
    <w:rPr>
      <w:color w:val="800080"/>
      <w:u w:val="single"/>
      <w:rFonts w:ascii="Arial" w:hAnsi="Arial" w:cs="Arial"/>
      <w:sz w:val="24"/>
      <w:szCs w:val="24"/>
    </w:rPr>
    <w:pPr>
      <w:spacing w:line="276" w:lineRule="auto"/>
    </w:pPr>
  </w:style>
  <w:style w:type="character" w:customStyle="1" w:styleId="Heading1Char">
    <w:name w:val="Heading 1 Char"/>
    <w:basedOn w:val="DefaultParagraphFont"/>
    <w:link w:val="Heading1"/>
    <w:uiPriority w:val="9"/>
    <w:rPr>
      <w:rFonts w:ascii="Arial" w:hAnsi="Arial" w:cs="Arial"/>
      <w:color w:val="2F5496" w:themeColor="accent1" w:themeShade="BF"/>
      <w:sz w:val="24"/>
      <w:szCs w:val="24"/>
    </w:rPr>
    <w:pPr>
      <w:spacing w:line="276" w:lineRule="auto"/>
    </w:pPr>
  </w:style>
  <w:style w:type="character" w:customStyle="1" w:styleId="Heading2Char">
    <w:name w:val="Heading 2 Char"/>
    <w:basedOn w:val="DefaultParagraphFont"/>
    <w:link w:val="Heading2"/>
    <w:uiPriority w:val="9"/>
    <w:semiHidden/>
    <w:rPr>
      <w:rFonts w:ascii="Arial" w:hAnsi="Arial" w:cs="Arial"/>
      <w:color w:val="2F5496" w:themeColor="accent1" w:themeShade="BF"/>
      <w:sz w:val="24"/>
      <w:szCs w:val="24"/>
    </w:rPr>
    <w:pPr>
      <w:spacing w:line="276" w:lineRule="auto"/>
    </w:pPr>
  </w:style>
  <w:style w:type="character" w:customStyle="1" w:styleId="Heading3Char">
    <w:name w:val="Heading 3 Char"/>
    <w:basedOn w:val="DefaultParagraphFont"/>
    <w:link w:val="Heading3"/>
    <w:uiPriority w:val="9"/>
    <w:semiHidden/>
    <w:rPr>
      <w:rFonts w:ascii="Arial" w:hAnsi="Arial" w:cs="Arial"/>
      <w:color w:val="1F3763" w:themeColor="accent1" w:themeShade="7F"/>
      <w:sz w:val="24"/>
      <w:szCs w:val="24"/>
    </w:rPr>
    <w:pPr>
      <w:spacing w:line="276" w:lineRule="auto"/>
    </w:pPr>
  </w:style>
  <w:style w:type="character" w:customStyle="1" w:styleId="Heading4Char">
    <w:name w:val="Heading 4 Char"/>
    <w:basedOn w:val="DefaultParagraphFont"/>
    <w:link w:val="Heading4"/>
    <w:uiPriority w:val="9"/>
    <w:semiHidden/>
    <w:rPr>
      <w:rFonts w:ascii="Arial" w:hAnsi="Arial" w:cs="Arial"/>
      <w:i/>
      <w:iCs/>
      <w:color w:val="2F5496" w:themeColor="accent1" w:themeShade="BF"/>
      <w:sz w:val="24"/>
      <w:szCs w:val="24"/>
    </w:rPr>
    <w:pPr>
      <w:spacing w:line="276" w:lineRule="auto"/>
    </w:pPr>
  </w:style>
  <w:style w:type="character" w:customStyle="1" w:styleId="Heading5Char">
    <w:name w:val="Heading 5 Char"/>
    <w:basedOn w:val="DefaultParagraphFont"/>
    <w:link w:val="Heading5"/>
    <w:uiPriority w:val="9"/>
    <w:semiHidden/>
    <w:rPr>
      <w:rFonts w:ascii="Arial" w:hAnsi="Arial" w:cs="Arial"/>
      <w:color w:val="2F5496" w:themeColor="accent1" w:themeShade="BF"/>
      <w:sz w:val="24"/>
      <w:szCs w:val="24"/>
    </w:rPr>
    <w:pPr>
      <w:spacing w:line="276" w:lineRule="auto"/>
    </w:pPr>
  </w:style>
  <w:style w:type="character" w:customStyle="1" w:styleId="Heading6Char">
    <w:name w:val="Heading 6 Char"/>
    <w:basedOn w:val="DefaultParagraphFont"/>
    <w:link w:val="Heading6"/>
    <w:uiPriority w:val="9"/>
    <w:semiHidden/>
    <w:rPr>
      <w:rFonts w:ascii="Arial" w:hAnsi="Arial" w:cs="Arial"/>
      <w:color w:val="1F3763" w:themeColor="accent1" w:themeShade="7F"/>
      <w:sz w:val="24"/>
      <w:szCs w:val="24"/>
    </w:rPr>
    <w:pPr>
      <w:spacing w:line="276" w:lineRule="auto"/>
    </w:pPr>
  </w:style>
  <w:style w:type="paragraph" w:customStyle="1" w:styleId="msonormal0_2">
    <w:name w:val="msonormal"/>
    <w:basedOn w:val="Normal"/>
    <w:pPr>
      <w:spacing w:line="276" w:lineRule="auto"/>
    </w:pPr>
    <w:rPr>
      <w:rFonts w:ascii="Arial" w:hAnsi="Arial" w:cs="Arial"/>
      <w:sz w:val="24"/>
      <w:szCs w:val="24"/>
    </w:rPr>
  </w:style>
  <w:style w:type="paragraph" w:styleId="NormalWeb">
    <w:name w:val="Normal (Web)"/>
    <w:basedOn w:val="Normal"/>
    <w:uiPriority w:val="99"/>
    <w:semiHidden/>
    <w:unhideWhenUsed/>
    <w:pPr>
      <w:spacing w:line="276" w:lineRule="auto"/>
    </w:pPr>
    <w:rPr>
      <w:rFonts w:ascii="Arial" w:hAnsi="Arial" w:cs="Arial"/>
      <w:sz w:val="24"/>
      <w:szCs w:val="24"/>
    </w:rPr>
  </w:style>
  <w:style w:type="paragraph" w:customStyle="1" w:styleId="number_2">
    <w:name w:val="number"/>
    <w:basedOn w:val="Normal"/>
    <w:pPr>
      <w:spacing w:line="276" w:lineRule="auto"/>
      <w:textAlignment w:val="top"/>
    </w:pPr>
    <w:rPr>
      <w:rFonts w:ascii="Arial" w:hAnsi="Arial" w:cs="Arial"/>
      <w:sz w:val="24"/>
      <w:szCs w:val="24"/>
    </w:rPr>
  </w:style>
  <w:style w:type="paragraph" w:customStyle="1" w:styleId="roman_2">
    <w:name w:val="roman"/>
    <w:basedOn w:val="Normal"/>
    <w:pPr>
      <w:spacing w:line="276" w:lineRule="auto"/>
      <w:textAlignment w:val="top"/>
    </w:pPr>
    <w:rPr>
      <w:rFonts w:ascii="Arial" w:hAnsi="Arial" w:cs="Arial"/>
      <w:sz w:val="24"/>
      <w:szCs w:val="24"/>
    </w:rPr>
  </w:style>
  <w:style w:type="paragraph" w:customStyle="1" w:styleId="indent-1_2">
    <w:name w:val="indent-1"/>
    <w:basedOn w:val="Normal"/>
    <w:pPr>
      <w:spacing w:line="276" w:lineRule="auto"/>
      <w:ind w:left="450"/>
    </w:pPr>
    <w:rPr>
      <w:rFonts w:ascii="Arial" w:hAnsi="Arial" w:cs="Arial"/>
      <w:sz w:val="24"/>
      <w:szCs w:val="24"/>
    </w:rPr>
  </w:style>
  <w:style w:type="paragraph" w:customStyle="1" w:styleId="indent-2_2">
    <w:name w:val="indent-2"/>
    <w:basedOn w:val="Normal"/>
    <w:pPr>
      <w:spacing w:line="276" w:lineRule="auto"/>
      <w:ind w:left="900"/>
    </w:pPr>
    <w:rPr>
      <w:rFonts w:ascii="Arial" w:hAnsi="Arial" w:cs="Arial"/>
      <w:sz w:val="24"/>
      <w:szCs w:val="24"/>
    </w:rPr>
  </w:style>
  <w:style w:type="paragraph" w:customStyle="1" w:styleId="indent-3_2">
    <w:name w:val="indent-3"/>
    <w:basedOn w:val="Normal"/>
    <w:pPr>
      <w:spacing w:line="276" w:lineRule="auto"/>
      <w:ind w:left="1350"/>
    </w:pPr>
    <w:rPr>
      <w:rFonts w:ascii="Arial" w:hAnsi="Arial" w:cs="Arial"/>
      <w:sz w:val="24"/>
      <w:szCs w:val="24"/>
    </w:rPr>
  </w:style>
  <w:style w:type="paragraph" w:customStyle="1" w:styleId="indent-4_2">
    <w:name w:val="indent-4"/>
    <w:basedOn w:val="Normal"/>
    <w:pPr>
      <w:spacing w:line="276" w:lineRule="auto"/>
      <w:ind w:left="1800"/>
    </w:pPr>
    <w:rPr>
      <w:rFonts w:ascii="Arial" w:hAnsi="Arial" w:cs="Arial"/>
      <w:sz w:val="24"/>
      <w:szCs w:val="24"/>
    </w:rPr>
  </w:style>
  <w:style w:type="paragraph" w:customStyle="1" w:styleId="indent-5_2">
    <w:name w:val="indent-5"/>
    <w:basedOn w:val="Normal"/>
    <w:pPr>
      <w:spacing w:line="276" w:lineRule="auto"/>
      <w:ind w:left="2250"/>
    </w:pPr>
    <w:rPr>
      <w:rFonts w:ascii="Arial" w:hAnsi="Arial" w:cs="Arial"/>
      <w:sz w:val="24"/>
      <w:szCs w:val="24"/>
    </w:rPr>
  </w:style>
  <w:style w:type="character" w:customStyle="1" w:styleId="naam-natuurlijk-persoon_2">
    <w:name w:val="naam-natuurlijk-persoon"/>
    <w:basedOn w:val="DefaultParagraphFont"/>
    <w:rPr>
      <w:rFonts w:ascii="Arial" w:hAnsi="Arial" w:cs="Arial"/>
      <w:sz w:val="24"/>
      <w:szCs w:val="24"/>
      <w:bdr w:val="none" w:sz="0" w:space="0" w:color="auto" w:frame="1"/>
    </w:rPr>
    <w:pPr>
      <w:spacing w:line="276" w:lineRule="auto"/>
    </w:pPr>
  </w:style>
  <w:style w:type="character" w:customStyle="1" w:styleId="naam-rechtspersoon_2">
    <w:name w:val="naam-rechtspersoon"/>
    <w:basedOn w:val="DefaultParagraphFont"/>
    <w:rPr>
      <w:rFonts w:ascii="Arial" w:hAnsi="Arial" w:cs="Arial"/>
      <w:sz w:val="24"/>
      <w:szCs w:val="24"/>
      <w:bdr w:val="none" w:sz="0" w:space="0" w:color="auto" w:frame="1"/>
    </w:rPr>
    <w:pPr>
      <w:spacing w:line="276" w:lineRule="auto"/>
    </w:pPr>
  </w:style>
  <w:style w:type="character" w:styleId="Strong">
    <w:name w:val="Strong"/>
    <w:basedOn w:val="DefaultParagraphFont"/>
    <w:uiPriority w:val="22"/>
    <w:qFormat/>
    <w:rPr>
      <w:b/>
      <w:bCs/>
      <w:rFonts w:ascii="Arial" w:hAnsi="Arial" w:cs="Arial"/>
      <w:sz w:val="24"/>
      <w:szCs w:val="24"/>
    </w:rPr>
    <w:pPr>
      <w:spacing w:line="276"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944545">
      <w:bodyDiv w:val="1"/>
      <w:marLeft w:val="0"/>
      <w:marRight w:val="0"/>
      <w:marTop w:val="0"/>
      <w:marBottom w:val="0"/>
      <w:divBdr>
        <w:top w:val="none" w:sz="0" w:space="0" w:color="auto"/>
        <w:left w:val="none" w:sz="0" w:space="0" w:color="auto"/>
        <w:bottom w:val="none" w:sz="0" w:space="0" w:color="auto"/>
        <w:right w:val="none" w:sz="0" w:space="0" w:color="auto"/>
      </w:divBdr>
    </w:div>
    <w:div w:id="1487822476">
      <w:bodyDiv w:val="1"/>
      <w:marLeft w:val="0"/>
      <w:marRight w:val="0"/>
      <w:marTop w:val="0"/>
      <w:marBottom w:val="0"/>
      <w:divBdr>
        <w:top w:val="none" w:sz="0" w:space="0" w:color="auto"/>
        <w:left w:val="none" w:sz="0" w:space="0" w:color="auto"/>
        <w:bottom w:val="none" w:sz="0" w:space="0" w:color="auto"/>
        <w:right w:val="none" w:sz="0" w:space="0" w:color="auto"/>
      </w:divBdr>
    </w:div>
    <w:div w:id="1882933864">
      <w:bodyDiv w:val="1"/>
      <w:marLeft w:val="0"/>
      <w:marRight w:val="0"/>
      <w:marTop w:val="0"/>
      <w:marBottom w:val="0"/>
      <w:divBdr>
        <w:top w:val="none" w:sz="0" w:space="0" w:color="auto"/>
        <w:left w:val="none" w:sz="0" w:space="0" w:color="auto"/>
        <w:bottom w:val="none" w:sz="0" w:space="0" w:color="auto"/>
        <w:right w:val="none" w:sz="0" w:space="0" w:color="auto"/>
      </w:divBdr>
    </w:div>
    <w:div w:id="1916745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Arial"/>
        <a:ea typeface=""/>
        <a:cs typeface=""/>
      </a:majorFont>
      <a:minorFont>
        <a:latin typeface="Arial"/>
        <a:ea typeface=""/>
        <a:cs typeface=""/>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13</Pages>
  <Words>3725</Words>
  <Characters>21166</Characters>
  <Application>Microsoft Office Word</Application>
  <DocSecurity>0</DocSecurity>
  <Lines>176</Lines>
  <Paragraphs>49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24842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Notarisdossier;OpenTBS 1.9.12</dc:creator>
  <dc:description/>
  <cp:lastModifiedBy>D. (Dennis) van Wijgerden | De Rivieren Notarissen</cp:lastModifiedBy>
  <cp:revision>3</cp:revision>
  <cp:lastPrinted>2010-02-09T12:32:00Z</cp:lastPrinted>
  <dcterms:created xsi:type="dcterms:W3CDTF">2021-03-01T15:16:00Z</dcterms:created>
  <dcterms:modified xsi:type="dcterms:W3CDTF">2021-03-04T11:53:00Z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D Model">
    <vt:lpwstr>ND HYSTASR00 (ASR Levensverzekering N.V., ASR 19.01) 06-05-2019.docx</vt:lpwstr>
  </property>
  <property fmtid="{D5CDD505-2E9C-101B-9397-08002B2CF9AE}" pid="3" name="ND Versienummer">
    <vt:lpwstr>20210301160354</vt:lpwstr>
  </property>
  <property fmtid="{D5CDD505-2E9C-101B-9397-08002B2CF9AE}" pid="4" name="case_id">
    <vt:i4>2968793</vt:i4>
  </property>
  <property fmtid="{D5CDD505-2E9C-101B-9397-08002B2CF9AE}" pid="5" name="nd_kik_instrument_id">
    <vt:i4>58048</vt:i4>
  </property>
  <property fmtid="{D5CDD505-2E9C-101B-9397-08002B2CF9AE}" pid="6" name="nd_kik_instrument_created">
    <vt:i4>1614698567</vt:i4>
  </property>
  <property fmtid="{D5CDD505-2E9C-101B-9397-08002B2CF9AE}" pid="7" name="nd_kik_instrument_updated">
    <vt:i4>1617017210</vt:i4>
  </property>
  <property fmtid="{D5CDD505-2E9C-101B-9397-08002B2CF9AE}" pid="8" name="nd_kik_instrument_revision">
    <vt:i4>3</vt:i4>
  </property>
</Properties>
</file>