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color w:val="737373"/>
          <w:sz w:val="18"/>
        </w:rPr>
        <w:t>JURIDISCHE ANALYSE — DOSSIER</w:t>
      </w:r>
    </w:p>
    <w:p>
      <w:pPr>
        <w:spacing w:before="0" w:after="80"/>
      </w:pPr>
      <w:r>
        <w:rPr>
          <w:rFonts w:ascii="Calibri" w:hAnsi="Calibri"/>
          <w:b/>
          <w:i w:val="0"/>
          <w:color w:val="000000"/>
          <w:sz w:val="36"/>
        </w:rPr>
        <w:t>Aandachtspunten zaak 20260722_183517</w:t>
      </w:r>
    </w:p>
    <w:p>
      <w:pPr>
        <w:spacing w:after="160"/>
      </w:pPr>
      <w:r>
        <w:rPr>
          <w:rFonts w:ascii="Calibri" w:hAnsi="Calibri"/>
          <w:b/>
          <w:i w:val="0"/>
          <w:color w:val="737373"/>
          <w:sz w:val="20"/>
        </w:rPr>
        <w:t xml:space="preserve">Bank: </w:t>
      </w:r>
      <w:r>
        <w:rPr>
          <w:rFonts w:ascii="Calibri" w:hAnsi="Calibri"/>
          <w:b w:val="0"/>
          <w:i w:val="0"/>
          <w:color w:val="4C4848"/>
          <w:sz w:val="20"/>
        </w:rPr>
        <w:t>Onbekend</w:t>
      </w:r>
      <w:r>
        <w:rPr>
          <w:rFonts w:ascii="Calibri" w:hAnsi="Calibri"/>
          <w:b w:val="0"/>
          <w:i w:val="0"/>
          <w:color w:val="737373"/>
          <w:sz w:val="20"/>
        </w:rPr>
        <w:t xml:space="preserve">   ·   </w:t>
      </w:r>
      <w:r>
        <w:rPr>
          <w:rFonts w:ascii="Calibri" w:hAnsi="Calibri"/>
          <w:b/>
          <w:i w:val="0"/>
          <w:color w:val="737373"/>
          <w:sz w:val="20"/>
        </w:rPr>
        <w:t xml:space="preserve">Cliënt: </w:t>
      </w:r>
      <w:r>
        <w:rPr>
          <w:rFonts w:ascii="Calibri" w:hAnsi="Calibri"/>
          <w:b w:val="0"/>
          <w:i w:val="0"/>
          <w:color w:val="4C4848"/>
          <w:sz w:val="20"/>
        </w:rPr>
        <w:t>—</w:t>
      </w:r>
      <w:r>
        <w:rPr>
          <w:rFonts w:ascii="Calibri" w:hAnsi="Calibri"/>
          <w:b w:val="0"/>
          <w:i w:val="0"/>
          <w:color w:val="737373"/>
          <w:sz w:val="20"/>
        </w:rPr>
        <w:t xml:space="preserve">   ·   </w:t>
      </w:r>
      <w:r>
        <w:rPr>
          <w:rFonts w:ascii="Calibri" w:hAnsi="Calibri"/>
          <w:b/>
          <w:i w:val="0"/>
          <w:color w:val="737373"/>
          <w:sz w:val="20"/>
        </w:rPr>
        <w:t xml:space="preserve">Gegenereerd: </w:t>
      </w:r>
      <w:r>
        <w:rPr>
          <w:rFonts w:ascii="Calibri" w:hAnsi="Calibri"/>
          <w:b w:val="0"/>
          <w:i w:val="0"/>
          <w:color w:val="4C4848"/>
          <w:sz w:val="20"/>
        </w:rPr>
        <w:t>22-07-2026 18:37</w:t>
      </w:r>
    </w:p>
    <w:p>
      <w:pPr>
        <w:spacing w:after="40"/>
      </w:pPr>
      <w:r>
        <w:rPr>
          <w:rFonts w:ascii="Calibri" w:hAnsi="Calibri"/>
          <w:b/>
          <w:i w:val="0"/>
          <w:color w:val="737373"/>
          <w:sz w:val="20"/>
        </w:rPr>
        <w:t xml:space="preserve">Kritiek: </w:t>
      </w:r>
      <w:r>
        <w:rPr>
          <w:rFonts w:ascii="Calibri" w:hAnsi="Calibri"/>
          <w:b/>
          <w:i w:val="0"/>
          <w:color w:val="8B2635"/>
          <w:sz w:val="20"/>
        </w:rPr>
        <w:t>2</w:t>
      </w:r>
      <w:r>
        <w:rPr>
          <w:rFonts w:ascii="Calibri" w:hAnsi="Calibri"/>
          <w:b/>
          <w:i w:val="0"/>
          <w:color w:val="737373"/>
          <w:sz w:val="20"/>
        </w:rPr>
        <w:t xml:space="preserve">  ·  Aandacht: </w:t>
      </w:r>
      <w:r>
        <w:rPr>
          <w:rFonts w:ascii="Calibri" w:hAnsi="Calibri"/>
          <w:b/>
          <w:i w:val="0"/>
          <w:color w:val="E6A210"/>
          <w:sz w:val="20"/>
        </w:rPr>
        <w:t>0</w:t>
      </w:r>
      <w:r>
        <w:rPr>
          <w:rFonts w:ascii="Calibri" w:hAnsi="Calibri"/>
          <w:b/>
          <w:i w:val="0"/>
          <w:color w:val="737373"/>
          <w:sz w:val="20"/>
        </w:rPr>
        <w:t xml:space="preserve">  ·  Informatief: </w:t>
      </w:r>
      <w:r>
        <w:rPr>
          <w:rFonts w:ascii="Calibri" w:hAnsi="Calibri"/>
          <w:b/>
          <w:i w:val="0"/>
          <w:color w:val="095AA5"/>
          <w:sz w:val="20"/>
        </w:rPr>
        <w:t>1</w:t>
      </w:r>
    </w:p>
    <w:p>
      <w:pPr>
        <w:spacing w:before="160" w:after="80"/>
      </w:pPr>
      <w:r>
        <w:rPr>
          <w:rFonts w:ascii="Calibri" w:hAnsi="Calibri"/>
          <w:b/>
          <w:i w:val="0"/>
          <w:color w:val="000000"/>
          <w:sz w:val="26"/>
        </w:rPr>
        <w:t>Samenvatting</w:t>
      </w:r>
    </w:p>
    <w:p>
      <w:pPr>
        <w:spacing w:after="160"/>
      </w:pPr>
      <w:r>
        <w:rPr>
          <w:rFonts w:ascii="Calibri" w:hAnsi="Calibri"/>
          <w:b w:val="0"/>
          <w:i w:val="0"/>
          <w:color w:val="4C4848"/>
          <w:sz w:val="22"/>
        </w:rPr>
        <w:t>Het dossier bevat informatie over het kadastrale object Woudrichem H 2173, waarvan de eigendom is afkomstig uit Hyp3 5483/8 Breda en later van Hyp3 12349/7 Breda. Er zijn geen aangeleverde bank, hypotheekbedrag of looptijd. De dossierbehandeling beperkt zich tot de kadastrale informatie en burgerlijke staat van de partijen. Er is een huwelijk tussen Bernhard Juliaan van Haaften en Maria Wilhelmina Rochat op 06-10-1989 in Aalburg, Nederland. De analyse signaleert 3 aandachtspunten (2× kritiek, 1× info). Kritiek: Executoriaal beslag; Toestemming echtgenoot ontbreekt.</w:t>
      </w:r>
    </w:p>
    <w:p>
      <w:pPr>
        <w:spacing w:before="160" w:after="80"/>
      </w:pPr>
      <w:r>
        <w:rPr>
          <w:rFonts w:ascii="Calibri" w:hAnsi="Calibri"/>
          <w:b/>
          <w:i w:val="0"/>
          <w:color w:val="000000"/>
          <w:sz w:val="26"/>
        </w:rPr>
        <w:t>Aandachtspunten</w:t>
      </w:r>
    </w:p>
    <w:p>
      <w:pPr>
        <w:spacing w:before="200" w:after="40"/>
      </w:pPr>
      <w:r>
        <w:rPr>
          <w:rFonts w:ascii="Calibri" w:hAnsi="Calibri"/>
          <w:b/>
          <w:i w:val="0"/>
          <w:color w:val="8B2635"/>
          <w:sz w:val="18"/>
        </w:rPr>
        <w:t xml:space="preserve"> KRITIEK </w:t>
      </w:r>
      <w:r>
        <w:rPr>
          <w:rFonts w:ascii="Calibri" w:hAnsi="Calibri"/>
          <w:b w:val="0"/>
          <w:i w:val="0"/>
          <w:color w:val="737373"/>
          <w:sz w:val="22"/>
        </w:rPr>
        <w:t xml:space="preserve">   </w:t>
      </w:r>
      <w:r>
        <w:rPr>
          <w:rFonts w:ascii="Calibri" w:hAnsi="Calibri"/>
          <w:b/>
          <w:i w:val="0"/>
          <w:color w:val="000000"/>
          <w:sz w:val="24"/>
        </w:rPr>
        <w:t xml:space="preserve">1. </w:t>
      </w:r>
      <w:r>
        <w:rPr>
          <w:rFonts w:ascii="Calibri" w:hAnsi="Calibri"/>
          <w:b/>
          <w:i w:val="0"/>
          <w:color w:val="000000"/>
          <w:sz w:val="24"/>
        </w:rPr>
        <w:t>Executoriaal beslag</w:t>
      </w:r>
    </w:p>
    <w:p>
      <w:pPr>
        <w:spacing w:after="40"/>
      </w:pPr>
      <w:r>
        <w:rPr>
          <w:rFonts w:ascii="Calibri" w:hAnsi="Calibri"/>
          <w:b/>
          <w:i w:val="0"/>
          <w:color w:val="737373"/>
          <w:sz w:val="16"/>
        </w:rPr>
        <w:t xml:space="preserve">CATEGORIE  </w:t>
      </w:r>
      <w:r>
        <w:rPr>
          <w:rFonts w:ascii="Calibri" w:hAnsi="Calibri"/>
          <w:b w:val="0"/>
          <w:i w:val="0"/>
          <w:color w:val="4C4848"/>
          <w:sz w:val="22"/>
        </w:rPr>
        <w:t>Lasten en beperkingen</w:t>
      </w:r>
    </w:p>
    <w:p>
      <w:pPr>
        <w:spacing w:after="40"/>
      </w:pPr>
      <w:r>
        <w:rPr>
          <w:rFonts w:ascii="Calibri" w:hAnsi="Calibri"/>
          <w:b/>
          <w:i w:val="0"/>
          <w:color w:val="737373"/>
          <w:sz w:val="16"/>
        </w:rPr>
        <w:t xml:space="preserve">BRON(NEN)  </w:t>
      </w:r>
      <w:r>
        <w:rPr>
          <w:rFonts w:ascii="Calibri" w:hAnsi="Calibri"/>
          <w:b w:val="0"/>
          <w:i w:val="0"/>
          <w:color w:val="4C4848"/>
          <w:sz w:val="22"/>
        </w:rPr>
        <w:t>kadaster</w:t>
      </w:r>
    </w:p>
    <w:p>
      <w:pPr>
        <w:spacing w:after="20"/>
      </w:pPr>
      <w:r>
        <w:rPr>
          <w:rFonts w:ascii="Calibri" w:hAnsi="Calibri"/>
          <w:b/>
          <w:i w:val="0"/>
          <w:color w:val="737373"/>
          <w:sz w:val="18"/>
        </w:rPr>
        <w:t>Constatering</w:t>
      </w:r>
    </w:p>
    <w:p>
      <w:pPr>
        <w:spacing w:after="80"/>
      </w:pPr>
      <w:r>
        <w:rPr>
          <w:rFonts w:ascii="Calibri" w:hAnsi="Calibri"/>
          <w:b w:val="0"/>
          <w:i w:val="0"/>
          <w:color w:val="4C4848"/>
          <w:sz w:val="22"/>
        </w:rPr>
        <w:t>VOLLEDIG GESIGNALEERD T/M 06-09-2021 - 09:57</w:t>
      </w:r>
    </w:p>
    <w:p>
      <w:pPr>
        <w:spacing w:after="20"/>
      </w:pPr>
      <w:r>
        <w:rPr>
          <w:rFonts w:ascii="Calibri" w:hAnsi="Calibri"/>
          <w:b/>
          <w:i w:val="0"/>
          <w:color w:val="737373"/>
          <w:sz w:val="18"/>
        </w:rPr>
        <w:t>Juridisch kader</w:t>
      </w:r>
    </w:p>
    <w:p>
      <w:pPr>
        <w:spacing w:after="80"/>
      </w:pPr>
      <w:r>
        <w:rPr>
          <w:rFonts w:ascii="Calibri" w:hAnsi="Calibri"/>
          <w:b w:val="0"/>
          <w:i w:val="0"/>
          <w:color w:val="4C4848"/>
          <w:sz w:val="22"/>
        </w:rPr>
        <w:t>Art. 3:268 BW (executoriale verkoop hypotheekhouder); Rv. Boek 3 (executoriaal beslag)</w:t>
      </w:r>
    </w:p>
    <w:p>
      <w:pPr>
        <w:spacing w:after="20"/>
      </w:pPr>
      <w:r>
        <w:rPr>
          <w:rFonts w:ascii="Calibri" w:hAnsi="Calibri"/>
          <w:b/>
          <w:i w:val="0"/>
          <w:color w:val="737373"/>
          <w:sz w:val="18"/>
        </w:rPr>
        <w:t>Aanbevolen actie</w:t>
      </w:r>
    </w:p>
    <w:p>
      <w:pPr>
        <w:spacing w:after="40"/>
      </w:pPr>
      <w:r>
        <w:rPr>
          <w:rFonts w:ascii="Calibri" w:hAnsi="Calibri"/>
          <w:b w:val="0"/>
          <w:i w:val="0"/>
          <w:color w:val="4C4848"/>
          <w:sz w:val="22"/>
        </w:rPr>
        <w:t>Controleer of de hypotheek van derde partij automatisch geroyeerd wordt bij passeren.</w:t>
      </w:r>
    </w:p>
    <w:p>
      <w:pPr>
        <w:spacing w:before="200" w:after="40"/>
      </w:pPr>
      <w:r>
        <w:rPr>
          <w:rFonts w:ascii="Calibri" w:hAnsi="Calibri"/>
          <w:b/>
          <w:i w:val="0"/>
          <w:color w:val="8B2635"/>
          <w:sz w:val="18"/>
        </w:rPr>
        <w:t xml:space="preserve"> KRITIEK </w:t>
      </w:r>
      <w:r>
        <w:rPr>
          <w:rFonts w:ascii="Calibri" w:hAnsi="Calibri"/>
          <w:b w:val="0"/>
          <w:i w:val="0"/>
          <w:color w:val="737373"/>
          <w:sz w:val="22"/>
        </w:rPr>
        <w:t xml:space="preserve">   </w:t>
      </w:r>
      <w:r>
        <w:rPr>
          <w:rFonts w:ascii="Calibri" w:hAnsi="Calibri"/>
          <w:b/>
          <w:i w:val="0"/>
          <w:color w:val="000000"/>
          <w:sz w:val="24"/>
        </w:rPr>
        <w:t xml:space="preserve">2. </w:t>
      </w:r>
      <w:r>
        <w:rPr>
          <w:rFonts w:ascii="Calibri" w:hAnsi="Calibri"/>
          <w:b/>
          <w:i w:val="0"/>
          <w:color w:val="000000"/>
          <w:sz w:val="24"/>
        </w:rPr>
        <w:t>Toestemming echtgenoot ontbreekt</w:t>
      </w:r>
    </w:p>
    <w:p>
      <w:pPr>
        <w:spacing w:after="40"/>
      </w:pPr>
      <w:r>
        <w:rPr>
          <w:rFonts w:ascii="Calibri" w:hAnsi="Calibri"/>
          <w:b/>
          <w:i w:val="0"/>
          <w:color w:val="737373"/>
          <w:sz w:val="16"/>
        </w:rPr>
        <w:t xml:space="preserve">CATEGORIE  </w:t>
      </w:r>
      <w:r>
        <w:rPr>
          <w:rFonts w:ascii="Calibri" w:hAnsi="Calibri"/>
          <w:b w:val="0"/>
          <w:i w:val="0"/>
          <w:color w:val="4C4848"/>
          <w:sz w:val="22"/>
        </w:rPr>
        <w:t>Burgerlijke staat</w:t>
      </w:r>
    </w:p>
    <w:p>
      <w:pPr>
        <w:spacing w:after="40"/>
      </w:pPr>
      <w:r>
        <w:rPr>
          <w:rFonts w:ascii="Calibri" w:hAnsi="Calibri"/>
          <w:b/>
          <w:i w:val="0"/>
          <w:color w:val="737373"/>
          <w:sz w:val="16"/>
        </w:rPr>
        <w:t xml:space="preserve">BRON(NEN)  </w:t>
      </w:r>
      <w:r>
        <w:rPr>
          <w:rFonts w:ascii="Calibri" w:hAnsi="Calibri"/>
          <w:b w:val="0"/>
          <w:i w:val="0"/>
          <w:color w:val="4C4848"/>
          <w:sz w:val="22"/>
        </w:rPr>
        <w:t>passeeropdracht, kadaster, brp</w:t>
      </w:r>
    </w:p>
    <w:p>
      <w:pPr>
        <w:spacing w:after="20"/>
      </w:pPr>
      <w:r>
        <w:rPr>
          <w:rFonts w:ascii="Calibri" w:hAnsi="Calibri"/>
          <w:b/>
          <w:i w:val="0"/>
          <w:color w:val="737373"/>
          <w:sz w:val="18"/>
        </w:rPr>
        <w:t>Constatering</w:t>
      </w:r>
    </w:p>
    <w:p>
      <w:pPr>
        <w:spacing w:after="80"/>
      </w:pPr>
      <w:r>
        <w:rPr>
          <w:rFonts w:ascii="Calibri" w:hAnsi="Calibri"/>
          <w:b w:val="0"/>
          <w:i w:val="0"/>
          <w:color w:val="4C4848"/>
          <w:sz w:val="22"/>
        </w:rPr>
        <w:t>De kadastrale eigendomsinformatie toont dat de woning op naam van B.J. van Haaften is, terwijl de BRP-uitdraai en passeeropdracht een huwelijk tussen B.J. van Haaften en M.W. Rochat tonen. Artikel 1:88 BW vereist medewerking van de echtgenoot bij het vestigen van een hypotheek op de woning.</w:t>
      </w:r>
    </w:p>
    <w:p>
      <w:pPr>
        <w:spacing w:after="20"/>
      </w:pPr>
      <w:r>
        <w:rPr>
          <w:rFonts w:ascii="Calibri" w:hAnsi="Calibri"/>
          <w:b/>
          <w:i w:val="0"/>
          <w:color w:val="737373"/>
          <w:sz w:val="18"/>
        </w:rPr>
        <w:t>Juridisch kader</w:t>
      </w:r>
    </w:p>
    <w:p>
      <w:pPr>
        <w:spacing w:after="80"/>
      </w:pPr>
      <w:r>
        <w:rPr>
          <w:rFonts w:ascii="Calibri" w:hAnsi="Calibri"/>
          <w:b w:val="0"/>
          <w:i w:val="0"/>
          <w:color w:val="4C4848"/>
          <w:sz w:val="22"/>
        </w:rPr>
        <w:t>Artikel 1:88 BW (rechtshandelingen echtelijke woning)</w:t>
      </w:r>
    </w:p>
    <w:p>
      <w:pPr>
        <w:spacing w:after="20"/>
      </w:pPr>
      <w:r>
        <w:rPr>
          <w:rFonts w:ascii="Calibri" w:hAnsi="Calibri"/>
          <w:b/>
          <w:i w:val="0"/>
          <w:color w:val="737373"/>
          <w:sz w:val="18"/>
        </w:rPr>
        <w:t>Aanbevolen actie</w:t>
      </w:r>
    </w:p>
    <w:p>
      <w:pPr>
        <w:spacing w:after="40"/>
      </w:pPr>
      <w:r>
        <w:rPr>
          <w:rFonts w:ascii="Calibri" w:hAnsi="Calibri"/>
          <w:b w:val="0"/>
          <w:i w:val="0"/>
          <w:color w:val="4C4848"/>
          <w:sz w:val="22"/>
        </w:rPr>
        <w:t>Controleer of er toestemming is verkregen van M.W. Rochat voor het vestigen van de hypotheek op de woning.</w:t>
      </w:r>
    </w:p>
    <w:p>
      <w:pPr>
        <w:spacing w:before="200" w:after="40"/>
      </w:pPr>
      <w:r>
        <w:rPr>
          <w:rFonts w:ascii="Calibri" w:hAnsi="Calibri"/>
          <w:b/>
          <w:i w:val="0"/>
          <w:color w:val="095AA5"/>
          <w:sz w:val="18"/>
        </w:rPr>
        <w:t xml:space="preserve"> INFORMATIEF </w:t>
      </w:r>
      <w:r>
        <w:rPr>
          <w:rFonts w:ascii="Calibri" w:hAnsi="Calibri"/>
          <w:b w:val="0"/>
          <w:i w:val="0"/>
          <w:color w:val="737373"/>
          <w:sz w:val="22"/>
        </w:rPr>
        <w:t xml:space="preserve">   </w:t>
      </w:r>
      <w:r>
        <w:rPr>
          <w:rFonts w:ascii="Calibri" w:hAnsi="Calibri"/>
          <w:b/>
          <w:i w:val="0"/>
          <w:color w:val="000000"/>
          <w:sz w:val="24"/>
        </w:rPr>
        <w:t xml:space="preserve">3. </w:t>
      </w:r>
      <w:r>
        <w:rPr>
          <w:rFonts w:ascii="Calibri" w:hAnsi="Calibri"/>
          <w:b/>
          <w:i w:val="0"/>
          <w:color w:val="000000"/>
          <w:sz w:val="24"/>
        </w:rPr>
        <w:t>Kadastrale informatie</w:t>
      </w:r>
    </w:p>
    <w:p>
      <w:pPr>
        <w:spacing w:after="40"/>
      </w:pPr>
      <w:r>
        <w:rPr>
          <w:rFonts w:ascii="Calibri" w:hAnsi="Calibri"/>
          <w:b/>
          <w:i w:val="0"/>
          <w:color w:val="737373"/>
          <w:sz w:val="16"/>
        </w:rPr>
        <w:t xml:space="preserve">CATEGORIE  </w:t>
      </w:r>
      <w:r>
        <w:rPr>
          <w:rFonts w:ascii="Calibri" w:hAnsi="Calibri"/>
          <w:b w:val="0"/>
          <w:i w:val="0"/>
          <w:color w:val="4C4848"/>
          <w:sz w:val="22"/>
        </w:rPr>
        <w:t>Documentatie</w:t>
      </w:r>
    </w:p>
    <w:p>
      <w:pPr>
        <w:spacing w:after="40"/>
      </w:pPr>
      <w:r>
        <w:rPr>
          <w:rFonts w:ascii="Calibri" w:hAnsi="Calibri"/>
          <w:b/>
          <w:i w:val="0"/>
          <w:color w:val="737373"/>
          <w:sz w:val="16"/>
        </w:rPr>
        <w:t xml:space="preserve">BRON(NEN)  </w:t>
      </w:r>
      <w:r>
        <w:rPr>
          <w:rFonts w:ascii="Calibri" w:hAnsi="Calibri"/>
          <w:b w:val="0"/>
          <w:i w:val="0"/>
          <w:color w:val="4C4848"/>
          <w:sz w:val="22"/>
        </w:rPr>
        <w:t>kadaster</w:t>
      </w:r>
    </w:p>
    <w:p>
      <w:pPr>
        <w:spacing w:after="20"/>
      </w:pPr>
      <w:r>
        <w:rPr>
          <w:rFonts w:ascii="Calibri" w:hAnsi="Calibri"/>
          <w:b/>
          <w:i w:val="0"/>
          <w:color w:val="737373"/>
          <w:sz w:val="18"/>
        </w:rPr>
        <w:t>Constatering</w:t>
      </w:r>
    </w:p>
    <w:p>
      <w:pPr>
        <w:spacing w:after="80"/>
      </w:pPr>
      <w:r>
        <w:rPr>
          <w:rFonts w:ascii="Calibri" w:hAnsi="Calibri"/>
          <w:b w:val="0"/>
          <w:i w:val="0"/>
          <w:color w:val="4C4848"/>
          <w:sz w:val="22"/>
        </w:rPr>
        <w:t>Het kadastrale object Woudrichem H 2173 is van grootte 314 m² en heeft geen publiekrechtelijke beperkingen.</w:t>
      </w:r>
    </w:p>
    <w:p>
      <w:pPr>
        <w:spacing w:after="20"/>
      </w:pPr>
      <w:r>
        <w:rPr>
          <w:rFonts w:ascii="Calibri" w:hAnsi="Calibri"/>
          <w:b/>
          <w:i w:val="0"/>
          <w:color w:val="737373"/>
          <w:sz w:val="18"/>
        </w:rPr>
        <w:t>Juridisch kader</w:t>
      </w:r>
    </w:p>
    <w:p>
      <w:pPr>
        <w:spacing w:after="80"/>
      </w:pPr>
      <w:r>
        <w:rPr>
          <w:rFonts w:ascii="Calibri" w:hAnsi="Calibri"/>
          <w:b w:val="0"/>
          <w:i w:val="0"/>
          <w:color w:val="4C4848"/>
          <w:sz w:val="22"/>
        </w:rPr>
        <w:t>De kadastrale informatie is relevant voor de status van het onderpand, maar er zijn momenteel geen aandachtspunten te constateren.</w:t>
      </w:r>
    </w:p>
    <w:p>
      <w:pPr>
        <w:spacing w:after="20"/>
      </w:pPr>
      <w:r>
        <w:rPr>
          <w:rFonts w:ascii="Calibri" w:hAnsi="Calibri"/>
          <w:b/>
          <w:i w:val="0"/>
          <w:color w:val="737373"/>
          <w:sz w:val="18"/>
        </w:rPr>
        <w:t>Aanbevolen actie</w:t>
      </w:r>
    </w:p>
    <w:p>
      <w:pPr>
        <w:spacing w:after="40"/>
      </w:pPr>
      <w:r>
        <w:rPr>
          <w:rFonts w:ascii="Calibri" w:hAnsi="Calibri"/>
          <w:b w:val="0"/>
          <w:i w:val="0"/>
          <w:color w:val="4C4848"/>
          <w:sz w:val="22"/>
        </w:rPr>
        <w:t>Controleer of deze informatie in overeenstemming is met andere documenten en of er nieuwe beperkingen zijn ingeschreven sinds de laatste kadastrale actie.</w:t>
      </w:r>
    </w:p>
    <w:p>
      <w:pPr>
        <w:spacing w:before="360"/>
        <w:jc w:val="center"/>
      </w:pPr>
      <w:r>
        <w:rPr>
          <w:rFonts w:ascii="Calibri" w:hAnsi="Calibri"/>
          <w:b w:val="0"/>
          <w:i/>
          <w:color w:val="737373"/>
          <w:sz w:val="18"/>
        </w:rPr>
        <w:t>Deze analyse is automatisch gegenereerd op basis van de aangeleverde stukken en dient ter ondersteuning. De behandelaar blijft verantwoordelijk voor de juridische beoordeling.</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