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20260512_200822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12-05-2026 20:08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2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om een hypotheekakte te passeren voor een woning in WERKENDAM. De leningbedrag bedraagt €231.500 met inschrijvingsbedrag van €337.500.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Verervingsafwikkeling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Overig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In de passeeropdracht staat 'Coöperatieve Rabobank U.A. statutair gevestigd te Amsterdam, kantoorhoudende te Utrecht'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De overleden rechthebbende moet verervings- en boedelafwikkelingstraject nemen.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er een verervings- en/of boedelafwikkelingstraject is.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Adresmismatch onderpand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Overig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Woonhuis, Hoekhuis rij, Sasdijk 46, 4251 AB te WERKENDAM komt overeen met het perceelnummer in de passeeropdracht.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Het adres van het onderpand moet overeenkomen met het kadastrale perceel.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adresmismatch is en eventueel aanvullende documenten verzenden.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3. </w:t>
      </w:r>
      <w:r>
        <w:rPr>
          <w:rFonts w:ascii="Calibri" w:hAnsi="Calibri"/>
          <w:b/>
          <w:i w:val="0"/>
          <w:color w:val="000000"/>
          <w:sz w:val="24"/>
        </w:rPr>
        <w:t>Beslag / Overbrugging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Overig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In de passeeropdracht wordt overbrugging genoemd.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Een beslag of overbrugging vereist specifieke documenten en toestemming.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benodigde stukken (offerte, verzekeringspolis, beleggingsrekening) zijn aangeleverd.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