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737373"/>
          <w:sz w:val="18"/>
        </w:rPr>
        <w:t>JURIDISCHE ANALYSE — DOSSIER</w:t>
      </w:r>
    </w:p>
    <w:p>
      <w:pPr>
        <w:spacing w:before="0" w:after="80"/>
      </w:pPr>
      <w:r>
        <w:rPr>
          <w:rFonts w:ascii="Calibri" w:hAnsi="Calibri"/>
          <w:b/>
          <w:i w:val="0"/>
          <w:color w:val="000000"/>
          <w:sz w:val="36"/>
        </w:rPr>
        <w:t>Aandachtspunten zaak 20260713_201152</w:t>
      </w:r>
    </w:p>
    <w:p>
      <w:pPr>
        <w:spacing w:after="160"/>
      </w:pPr>
      <w:r>
        <w:rPr>
          <w:rFonts w:ascii="Calibri" w:hAnsi="Calibri"/>
          <w:b/>
          <w:i w:val="0"/>
          <w:color w:val="737373"/>
          <w:sz w:val="20"/>
        </w:rPr>
        <w:t xml:space="preserve">Bank: </w:t>
      </w:r>
      <w:r>
        <w:rPr>
          <w:rFonts w:ascii="Calibri" w:hAnsi="Calibri"/>
          <w:b w:val="0"/>
          <w:i w:val="0"/>
          <w:color w:val="4C4848"/>
          <w:sz w:val="20"/>
        </w:rPr>
        <w:t>Onbekend</w:t>
      </w:r>
      <w:r>
        <w:rPr>
          <w:rFonts w:ascii="Calibri" w:hAnsi="Calibri"/>
          <w:b w:val="0"/>
          <w:i w:val="0"/>
          <w:color w:val="737373"/>
          <w:sz w:val="20"/>
        </w:rPr>
        <w:t xml:space="preserve">   ·   </w:t>
      </w:r>
      <w:r>
        <w:rPr>
          <w:rFonts w:ascii="Calibri" w:hAnsi="Calibri"/>
          <w:b/>
          <w:i w:val="0"/>
          <w:color w:val="737373"/>
          <w:sz w:val="20"/>
        </w:rPr>
        <w:t xml:space="preserve">Cliënt: </w:t>
      </w:r>
      <w:r>
        <w:rPr>
          <w:rFonts w:ascii="Calibri" w:hAnsi="Calibri"/>
          <w:b w:val="0"/>
          <w:i w:val="0"/>
          <w:color w:val="4C4848"/>
          <w:sz w:val="20"/>
        </w:rPr>
        <w:t>—</w:t>
      </w:r>
      <w:r>
        <w:rPr>
          <w:rFonts w:ascii="Calibri" w:hAnsi="Calibri"/>
          <w:b w:val="0"/>
          <w:i w:val="0"/>
          <w:color w:val="737373"/>
          <w:sz w:val="20"/>
        </w:rPr>
        <w:t xml:space="preserve">   ·   </w:t>
      </w:r>
      <w:r>
        <w:rPr>
          <w:rFonts w:ascii="Calibri" w:hAnsi="Calibri"/>
          <w:b/>
          <w:i w:val="0"/>
          <w:color w:val="737373"/>
          <w:sz w:val="20"/>
        </w:rPr>
        <w:t xml:space="preserve">Gegenereerd: </w:t>
      </w:r>
      <w:r>
        <w:rPr>
          <w:rFonts w:ascii="Calibri" w:hAnsi="Calibri"/>
          <w:b w:val="0"/>
          <w:i w:val="0"/>
          <w:color w:val="4C4848"/>
          <w:sz w:val="20"/>
        </w:rPr>
        <w:t>13-07-2026 20:13</w:t>
      </w:r>
    </w:p>
    <w:p>
      <w:pPr>
        <w:spacing w:after="40"/>
      </w:pPr>
      <w:r>
        <w:rPr>
          <w:rFonts w:ascii="Calibri" w:hAnsi="Calibri"/>
          <w:b/>
          <w:i w:val="0"/>
          <w:color w:val="737373"/>
          <w:sz w:val="20"/>
        </w:rPr>
        <w:t xml:space="preserve">Kritiek: </w:t>
      </w:r>
      <w:r>
        <w:rPr>
          <w:rFonts w:ascii="Calibri" w:hAnsi="Calibri"/>
          <w:b/>
          <w:i w:val="0"/>
          <w:color w:val="8B2635"/>
          <w:sz w:val="20"/>
        </w:rPr>
        <w:t>0</w:t>
      </w:r>
      <w:r>
        <w:rPr>
          <w:rFonts w:ascii="Calibri" w:hAnsi="Calibri"/>
          <w:b/>
          <w:i w:val="0"/>
          <w:color w:val="737373"/>
          <w:sz w:val="20"/>
        </w:rPr>
        <w:t xml:space="preserve">  ·  Aandacht: </w:t>
      </w:r>
      <w:r>
        <w:rPr>
          <w:rFonts w:ascii="Calibri" w:hAnsi="Calibri"/>
          <w:b/>
          <w:i w:val="0"/>
          <w:color w:val="E6A210"/>
          <w:sz w:val="20"/>
        </w:rPr>
        <w:t>0</w:t>
      </w:r>
      <w:r>
        <w:rPr>
          <w:rFonts w:ascii="Calibri" w:hAnsi="Calibri"/>
          <w:b/>
          <w:i w:val="0"/>
          <w:color w:val="737373"/>
          <w:sz w:val="20"/>
        </w:rPr>
        <w:t xml:space="preserve">  ·  Informatief: </w:t>
      </w:r>
      <w:r>
        <w:rPr>
          <w:rFonts w:ascii="Calibri" w:hAnsi="Calibri"/>
          <w:b/>
          <w:i w:val="0"/>
          <w:color w:val="095AA5"/>
          <w:sz w:val="20"/>
        </w:rPr>
        <w:t>1</w:t>
      </w:r>
    </w:p>
    <w:p>
      <w:pPr>
        <w:spacing w:before="160" w:after="80"/>
      </w:pPr>
      <w:r>
        <w:rPr>
          <w:rFonts w:ascii="Calibri" w:hAnsi="Calibri"/>
          <w:b/>
          <w:i w:val="0"/>
          <w:color w:val="000000"/>
          <w:sz w:val="26"/>
        </w:rPr>
        <w:t>Samenvatting</w:t>
      </w:r>
    </w:p>
    <w:p>
      <w:pPr>
        <w:spacing w:after="160"/>
      </w:pPr>
      <w:r>
        <w:rPr>
          <w:rFonts w:ascii="Calibri" w:hAnsi="Calibri"/>
          <w:b w:val="0"/>
          <w:i w:val="0"/>
          <w:color w:val="4C4848"/>
          <w:sz w:val="22"/>
        </w:rPr>
        <w:t>Dit dossier betreft een hypotheek op een onroerende zaak van P. Bikker en M.A. Crum, die in huwelijk staan sinds 2014. De onderpandlocatie is in Molenlanden, Hoornaar. De bank is ABN AMRO. Het bedrag van de hypotheek is niet vermeld. De analyse signaleert 1 aandachtspunt (1× info).</w:t>
      </w:r>
    </w:p>
    <w:p>
      <w:pPr>
        <w:spacing w:before="160" w:after="80"/>
      </w:pPr>
      <w:r>
        <w:rPr>
          <w:rFonts w:ascii="Calibri" w:hAnsi="Calibri"/>
          <w:b/>
          <w:i w:val="0"/>
          <w:color w:val="000000"/>
          <w:sz w:val="26"/>
        </w:rPr>
        <w:t>Aandachtspunten</w:t>
      </w:r>
    </w:p>
    <w:p>
      <w:pPr>
        <w:spacing w:before="200" w:after="40"/>
      </w:pPr>
      <w:r>
        <w:rPr>
          <w:rFonts w:ascii="Calibri" w:hAnsi="Calibri"/>
          <w:b/>
          <w:i w:val="0"/>
          <w:color w:val="095AA5"/>
          <w:sz w:val="18"/>
        </w:rPr>
        <w:t xml:space="preserve"> INFORMATIEF </w:t>
      </w:r>
      <w:r>
        <w:rPr>
          <w:rFonts w:ascii="Calibri" w:hAnsi="Calibri"/>
          <w:b w:val="0"/>
          <w:i w:val="0"/>
          <w:color w:val="737373"/>
          <w:sz w:val="22"/>
        </w:rPr>
        <w:t xml:space="preserve">   </w:t>
      </w:r>
      <w:r>
        <w:rPr>
          <w:rFonts w:ascii="Calibri" w:hAnsi="Calibri"/>
          <w:b/>
          <w:i w:val="0"/>
          <w:color w:val="000000"/>
          <w:sz w:val="24"/>
        </w:rPr>
        <w:t xml:space="preserve">1. </w:t>
      </w:r>
      <w:r>
        <w:rPr>
          <w:rFonts w:ascii="Calibri" w:hAnsi="Calibri"/>
          <w:b/>
          <w:i w:val="0"/>
          <w:color w:val="000000"/>
          <w:sz w:val="24"/>
        </w:rPr>
        <w:t>Huwelijksgeschiedenis</w:t>
      </w:r>
    </w:p>
    <w:p>
      <w:pPr>
        <w:spacing w:after="40"/>
      </w:pPr>
      <w:r>
        <w:rPr>
          <w:rFonts w:ascii="Calibri" w:hAnsi="Calibri"/>
          <w:b/>
          <w:i w:val="0"/>
          <w:color w:val="737373"/>
          <w:sz w:val="16"/>
        </w:rPr>
        <w:t xml:space="preserve">CATEGORIE  </w:t>
      </w:r>
      <w:r>
        <w:rPr>
          <w:rFonts w:ascii="Calibri" w:hAnsi="Calibri"/>
          <w:b w:val="0"/>
          <w:i w:val="0"/>
          <w:color w:val="4C4848"/>
          <w:sz w:val="22"/>
        </w:rPr>
        <w:t>Burgerlijke staat</w:t>
      </w:r>
    </w:p>
    <w:p>
      <w:pPr>
        <w:spacing w:after="40"/>
      </w:pPr>
      <w:r>
        <w:rPr>
          <w:rFonts w:ascii="Calibri" w:hAnsi="Calibri"/>
          <w:b/>
          <w:i w:val="0"/>
          <w:color w:val="737373"/>
          <w:sz w:val="16"/>
        </w:rPr>
        <w:t xml:space="preserve">BRON(NEN)  </w:t>
      </w:r>
      <w:r>
        <w:rPr>
          <w:rFonts w:ascii="Calibri" w:hAnsi="Calibri"/>
          <w:b w:val="0"/>
          <w:i w:val="0"/>
          <w:color w:val="4C4848"/>
          <w:sz w:val="22"/>
        </w:rPr>
        <w:t>brp</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Huwelijksgeschiedenis: Huwelijk tussen P. Bikker en M.A. Crum op 24-04-2014 in Giessenlanden, Nederland.</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er een verdelingsakte ten aanzien van het registergoed bestaat.</w:t>
      </w:r>
    </w:p>
    <w:p>
      <w:pPr>
        <w:spacing w:before="360"/>
        <w:jc w:val="center"/>
      </w:pPr>
      <w:r>
        <w:rPr>
          <w:rFonts w:ascii="Calibri" w:hAnsi="Calibri"/>
          <w:b w:val="0"/>
          <w:i/>
          <w:color w:val="737373"/>
          <w:sz w:val="18"/>
        </w:rPr>
        <w:t>Deze analyse is automatisch gegenereerd op basis van de aangeleverde stukken en dient ter ondersteuning. De behandelaar blijft verantwoordelijk voor de juridische beoordeling.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