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i w:val="0"/>
          <w:color w:val="737373"/>
          <w:sz w:val="18"/>
        </w:rPr>
        <w:t>JURIDISCHE ANALYSE — DOSSIER</w:t>
      </w:r>
    </w:p>
    <w:p>
      <w:pPr>
        <w:spacing w:before="0" w:after="80"/>
      </w:pPr>
      <w:r>
        <w:rPr>
          <w:rFonts w:ascii="Calibri" w:hAnsi="Calibri"/>
          <w:b/>
          <w:i w:val="0"/>
          <w:color w:val="000000"/>
          <w:sz w:val="36"/>
        </w:rPr>
        <w:t>Aandachtspunten zaak 20260714_201902</w:t>
      </w:r>
    </w:p>
    <w:p>
      <w:pPr>
        <w:spacing w:after="160"/>
      </w:pPr>
      <w:r>
        <w:rPr>
          <w:rFonts w:ascii="Calibri" w:hAnsi="Calibri"/>
          <w:b/>
          <w:i w:val="0"/>
          <w:color w:val="737373"/>
          <w:sz w:val="20"/>
        </w:rPr>
        <w:t xml:space="preserve">Bank: </w:t>
      </w:r>
      <w:r>
        <w:rPr>
          <w:rFonts w:ascii="Calibri" w:hAnsi="Calibri"/>
          <w:b w:val="0"/>
          <w:i w:val="0"/>
          <w:color w:val="4C4848"/>
          <w:sz w:val="20"/>
        </w:rPr>
        <w:t>Onbekend</w:t>
      </w:r>
      <w:r>
        <w:rPr>
          <w:rFonts w:ascii="Calibri" w:hAnsi="Calibri"/>
          <w:b w:val="0"/>
          <w:i w:val="0"/>
          <w:color w:val="737373"/>
          <w:sz w:val="20"/>
        </w:rPr>
        <w:t xml:space="preserve">   ·   </w:t>
      </w:r>
      <w:r>
        <w:rPr>
          <w:rFonts w:ascii="Calibri" w:hAnsi="Calibri"/>
          <w:b/>
          <w:i w:val="0"/>
          <w:color w:val="737373"/>
          <w:sz w:val="20"/>
        </w:rPr>
        <w:t xml:space="preserve">Cliënt: </w:t>
      </w:r>
      <w:r>
        <w:rPr>
          <w:rFonts w:ascii="Calibri" w:hAnsi="Calibri"/>
          <w:b w:val="0"/>
          <w:i w:val="0"/>
          <w:color w:val="4C4848"/>
          <w:sz w:val="20"/>
        </w:rPr>
        <w:t>—</w:t>
      </w:r>
      <w:r>
        <w:rPr>
          <w:rFonts w:ascii="Calibri" w:hAnsi="Calibri"/>
          <w:b w:val="0"/>
          <w:i w:val="0"/>
          <w:color w:val="737373"/>
          <w:sz w:val="20"/>
        </w:rPr>
        <w:t xml:space="preserve">   ·   </w:t>
      </w:r>
      <w:r>
        <w:rPr>
          <w:rFonts w:ascii="Calibri" w:hAnsi="Calibri"/>
          <w:b/>
          <w:i w:val="0"/>
          <w:color w:val="737373"/>
          <w:sz w:val="20"/>
        </w:rPr>
        <w:t xml:space="preserve">Gegenereerd: </w:t>
      </w:r>
      <w:r>
        <w:rPr>
          <w:rFonts w:ascii="Calibri" w:hAnsi="Calibri"/>
          <w:b w:val="0"/>
          <w:i w:val="0"/>
          <w:color w:val="4C4848"/>
          <w:sz w:val="20"/>
        </w:rPr>
        <w:t>14-07-2026 20:21</w:t>
      </w:r>
    </w:p>
    <w:p>
      <w:pPr>
        <w:spacing w:after="40"/>
      </w:pPr>
      <w:r>
        <w:rPr>
          <w:rFonts w:ascii="Calibri" w:hAnsi="Calibri"/>
          <w:b/>
          <w:i w:val="0"/>
          <w:color w:val="737373"/>
          <w:sz w:val="20"/>
        </w:rPr>
        <w:t xml:space="preserve">Kritiek: </w:t>
      </w:r>
      <w:r>
        <w:rPr>
          <w:rFonts w:ascii="Calibri" w:hAnsi="Calibri"/>
          <w:b/>
          <w:i w:val="0"/>
          <w:color w:val="8B2635"/>
          <w:sz w:val="20"/>
        </w:rPr>
        <w:t>1</w:t>
      </w:r>
      <w:r>
        <w:rPr>
          <w:rFonts w:ascii="Calibri" w:hAnsi="Calibri"/>
          <w:b/>
          <w:i w:val="0"/>
          <w:color w:val="737373"/>
          <w:sz w:val="20"/>
        </w:rPr>
        <w:t xml:space="preserve">  ·  Aandacht: </w:t>
      </w:r>
      <w:r>
        <w:rPr>
          <w:rFonts w:ascii="Calibri" w:hAnsi="Calibri"/>
          <w:b/>
          <w:i w:val="0"/>
          <w:color w:val="E6A210"/>
          <w:sz w:val="20"/>
        </w:rPr>
        <w:t>0</w:t>
      </w:r>
      <w:r>
        <w:rPr>
          <w:rFonts w:ascii="Calibri" w:hAnsi="Calibri"/>
          <w:b/>
          <w:i w:val="0"/>
          <w:color w:val="737373"/>
          <w:sz w:val="20"/>
        </w:rPr>
        <w:t xml:space="preserve">  ·  Informatief: </w:t>
      </w:r>
      <w:r>
        <w:rPr>
          <w:rFonts w:ascii="Calibri" w:hAnsi="Calibri"/>
          <w:b/>
          <w:i w:val="0"/>
          <w:color w:val="095AA5"/>
          <w:sz w:val="20"/>
        </w:rPr>
        <w:t>1</w:t>
      </w:r>
    </w:p>
    <w:p>
      <w:pPr>
        <w:spacing w:before="160" w:after="80"/>
      </w:pPr>
      <w:r>
        <w:rPr>
          <w:rFonts w:ascii="Calibri" w:hAnsi="Calibri"/>
          <w:b/>
          <w:i w:val="0"/>
          <w:color w:val="000000"/>
          <w:sz w:val="26"/>
        </w:rPr>
        <w:t>Samenvatting</w:t>
      </w:r>
    </w:p>
    <w:p>
      <w:pPr>
        <w:spacing w:after="160"/>
      </w:pPr>
      <w:r>
        <w:rPr>
          <w:rFonts w:ascii="Calibri" w:hAnsi="Calibri"/>
          <w:b w:val="0"/>
          <w:i w:val="0"/>
          <w:color w:val="4C4848"/>
          <w:sz w:val="22"/>
        </w:rPr>
        <w:t>Dossier betreft een hypotheek op een eigendom van Anna Alida de Klerk in Werkendam. De onderpand is gelegen in de straat Achtervliet, huisnummer 34, postcode 4251HR. Het dossier wordt behandeld door een bank en betreft een hypotheekbedrag van €100.000,00 met een termijn van 25 jaar. De koper is Anna Alida de Klerk, die in het verleden getrouwd was geweest met Teunis Schmidt, wiens overlijden leidde tot ontbinding van het huwelijk op 26-01-2009. De analyse signaleert 2 aandachtspunten (1× kritiek, 1× info). Kritiek: Overleden rechthebbende.</w:t>
      </w:r>
    </w:p>
    <w:p>
      <w:pPr>
        <w:spacing w:before="160" w:after="80"/>
      </w:pPr>
      <w:r>
        <w:rPr>
          <w:rFonts w:ascii="Calibri" w:hAnsi="Calibri"/>
          <w:b/>
          <w:i w:val="0"/>
          <w:color w:val="000000"/>
          <w:sz w:val="26"/>
        </w:rPr>
        <w:t>Aandachtspunten</w:t>
      </w:r>
    </w:p>
    <w:p>
      <w:pPr>
        <w:spacing w:before="200" w:after="40"/>
      </w:pPr>
      <w:r>
        <w:rPr>
          <w:rFonts w:ascii="Calibri" w:hAnsi="Calibri"/>
          <w:b/>
          <w:i w:val="0"/>
          <w:color w:val="8B2635"/>
          <w:sz w:val="18"/>
        </w:rPr>
        <w:t xml:space="preserve"> KRITIEK </w:t>
      </w:r>
      <w:r>
        <w:rPr>
          <w:rFonts w:ascii="Calibri" w:hAnsi="Calibri"/>
          <w:b w:val="0"/>
          <w:i w:val="0"/>
          <w:color w:val="737373"/>
          <w:sz w:val="22"/>
        </w:rPr>
        <w:t xml:space="preserve">   </w:t>
      </w:r>
      <w:r>
        <w:rPr>
          <w:rFonts w:ascii="Calibri" w:hAnsi="Calibri"/>
          <w:b/>
          <w:i w:val="0"/>
          <w:color w:val="000000"/>
          <w:sz w:val="24"/>
        </w:rPr>
        <w:t xml:space="preserve">1. </w:t>
      </w:r>
      <w:r>
        <w:rPr>
          <w:rFonts w:ascii="Calibri" w:hAnsi="Calibri"/>
          <w:b/>
          <w:i w:val="0"/>
          <w:color w:val="000000"/>
          <w:sz w:val="24"/>
        </w:rPr>
        <w:t>Overleden rechthebbende</w:t>
      </w:r>
    </w:p>
    <w:p>
      <w:pPr>
        <w:spacing w:after="40"/>
      </w:pPr>
      <w:r>
        <w:rPr>
          <w:rFonts w:ascii="Calibri" w:hAnsi="Calibri"/>
          <w:b/>
          <w:i w:val="0"/>
          <w:color w:val="737373"/>
          <w:sz w:val="16"/>
        </w:rPr>
        <w:t xml:space="preserve">CATEGORIE  </w:t>
      </w:r>
      <w:r>
        <w:rPr>
          <w:rFonts w:ascii="Calibri" w:hAnsi="Calibri"/>
          <w:b w:val="0"/>
          <w:i w:val="0"/>
          <w:color w:val="4C4848"/>
          <w:sz w:val="22"/>
        </w:rPr>
        <w:t>Vererving</w:t>
      </w:r>
    </w:p>
    <w:p>
      <w:pPr>
        <w:spacing w:after="40"/>
      </w:pPr>
      <w:r>
        <w:rPr>
          <w:rFonts w:ascii="Calibri" w:hAnsi="Calibri"/>
          <w:b/>
          <w:i w:val="0"/>
          <w:color w:val="737373"/>
          <w:sz w:val="16"/>
        </w:rPr>
        <w:t xml:space="preserve">BRON(NEN)  </w:t>
      </w:r>
      <w:r>
        <w:rPr>
          <w:rFonts w:ascii="Calibri" w:hAnsi="Calibri"/>
          <w:b w:val="0"/>
          <w:i w:val="0"/>
          <w:color w:val="4C4848"/>
          <w:sz w:val="22"/>
        </w:rPr>
        <w:t>kadaster</w:t>
      </w:r>
    </w:p>
    <w:p>
      <w:pPr>
        <w:spacing w:after="20"/>
      </w:pPr>
      <w:r>
        <w:rPr>
          <w:rFonts w:ascii="Calibri" w:hAnsi="Calibri"/>
          <w:b/>
          <w:i w:val="0"/>
          <w:color w:val="737373"/>
          <w:sz w:val="18"/>
        </w:rPr>
        <w:t>Constatering</w:t>
      </w:r>
    </w:p>
    <w:p>
      <w:pPr>
        <w:spacing w:after="80"/>
      </w:pPr>
      <w:r>
        <w:rPr>
          <w:rFonts w:ascii="Calibri" w:hAnsi="Calibri"/>
          <w:b w:val="0"/>
          <w:i w:val="0"/>
          <w:color w:val="4C4848"/>
          <w:sz w:val="22"/>
        </w:rPr>
        <w:t>'Overleden' achter de naam van Teunis Schmidt</w:t>
      </w:r>
    </w:p>
    <w:p>
      <w:pPr>
        <w:spacing w:after="20"/>
      </w:pPr>
      <w:r>
        <w:rPr>
          <w:rFonts w:ascii="Calibri" w:hAnsi="Calibri"/>
          <w:b/>
          <w:i w:val="0"/>
          <w:color w:val="737373"/>
          <w:sz w:val="18"/>
        </w:rPr>
        <w:t>Juridisch kader</w:t>
      </w:r>
    </w:p>
    <w:p>
      <w:pPr>
        <w:spacing w:after="80"/>
      </w:pPr>
      <w:r>
        <w:rPr>
          <w:rFonts w:ascii="Calibri" w:hAnsi="Calibri"/>
          <w:b w:val="0"/>
          <w:i w:val="0"/>
          <w:color w:val="4C4848"/>
          <w:sz w:val="22"/>
        </w:rPr>
        <w:t>Art. 4:182 BW - saisine erfgenamen treden van rechtswege in plaats van erflater.</w:t>
      </w:r>
    </w:p>
    <w:p>
      <w:pPr>
        <w:spacing w:after="20"/>
      </w:pPr>
      <w:r>
        <w:rPr>
          <w:rFonts w:ascii="Calibri" w:hAnsi="Calibri"/>
          <w:b/>
          <w:i w:val="0"/>
          <w:color w:val="737373"/>
          <w:sz w:val="18"/>
        </w:rPr>
        <w:t>Aanbevolen actie</w:t>
      </w:r>
    </w:p>
    <w:p>
      <w:pPr>
        <w:spacing w:after="40"/>
      </w:pPr>
      <w:r>
        <w:rPr>
          <w:rFonts w:ascii="Calibri" w:hAnsi="Calibri"/>
          <w:b w:val="0"/>
          <w:i w:val="0"/>
          <w:color w:val="4C4848"/>
          <w:sz w:val="22"/>
        </w:rPr>
        <w:t>Controleer of er een acte van verdeling is ingeschreven en of de erfgenamen actief zijn.</w:t>
      </w:r>
    </w:p>
    <w:p>
      <w:pPr>
        <w:spacing w:before="200" w:after="40"/>
      </w:pPr>
      <w:r>
        <w:rPr>
          <w:rFonts w:ascii="Calibri" w:hAnsi="Calibri"/>
          <w:b/>
          <w:i w:val="0"/>
          <w:color w:val="095AA5"/>
          <w:sz w:val="18"/>
        </w:rPr>
        <w:t xml:space="preserve"> INFORMATIEF </w:t>
      </w:r>
      <w:r>
        <w:rPr>
          <w:rFonts w:ascii="Calibri" w:hAnsi="Calibri"/>
          <w:b w:val="0"/>
          <w:i w:val="0"/>
          <w:color w:val="737373"/>
          <w:sz w:val="22"/>
        </w:rPr>
        <w:t xml:space="preserve">   </w:t>
      </w:r>
      <w:r>
        <w:rPr>
          <w:rFonts w:ascii="Calibri" w:hAnsi="Calibri"/>
          <w:b/>
          <w:i w:val="0"/>
          <w:color w:val="000000"/>
          <w:sz w:val="24"/>
        </w:rPr>
        <w:t xml:space="preserve">2. </w:t>
      </w:r>
      <w:r>
        <w:rPr>
          <w:rFonts w:ascii="Calibri" w:hAnsi="Calibri"/>
          <w:b/>
          <w:i w:val="0"/>
          <w:color w:val="000000"/>
          <w:sz w:val="24"/>
        </w:rPr>
        <w:t>Huwelijksgeschiedenis - overlijden echtgenoot</w:t>
      </w:r>
    </w:p>
    <w:p>
      <w:pPr>
        <w:spacing w:after="40"/>
      </w:pPr>
      <w:r>
        <w:rPr>
          <w:rFonts w:ascii="Calibri" w:hAnsi="Calibri"/>
          <w:b/>
          <w:i w:val="0"/>
          <w:color w:val="737373"/>
          <w:sz w:val="16"/>
        </w:rPr>
        <w:t xml:space="preserve">CATEGORIE  </w:t>
      </w:r>
      <w:r>
        <w:rPr>
          <w:rFonts w:ascii="Calibri" w:hAnsi="Calibri"/>
          <w:b w:val="0"/>
          <w:i w:val="0"/>
          <w:color w:val="4C4848"/>
          <w:sz w:val="22"/>
        </w:rPr>
        <w:t>Burgerlijke staat</w:t>
      </w:r>
    </w:p>
    <w:p>
      <w:pPr>
        <w:spacing w:after="40"/>
      </w:pPr>
      <w:r>
        <w:rPr>
          <w:rFonts w:ascii="Calibri" w:hAnsi="Calibri"/>
          <w:b/>
          <w:i w:val="0"/>
          <w:color w:val="737373"/>
          <w:sz w:val="16"/>
        </w:rPr>
        <w:t xml:space="preserve">BRON(NEN)  </w:t>
      </w:r>
      <w:r>
        <w:rPr>
          <w:rFonts w:ascii="Calibri" w:hAnsi="Calibri"/>
          <w:b w:val="0"/>
          <w:i w:val="0"/>
          <w:color w:val="4C4848"/>
          <w:sz w:val="22"/>
        </w:rPr>
        <w:t>brp</w:t>
      </w:r>
    </w:p>
    <w:p>
      <w:pPr>
        <w:spacing w:after="20"/>
      </w:pPr>
      <w:r>
        <w:rPr>
          <w:rFonts w:ascii="Calibri" w:hAnsi="Calibri"/>
          <w:b/>
          <w:i w:val="0"/>
          <w:color w:val="737373"/>
          <w:sz w:val="18"/>
        </w:rPr>
        <w:t>Constatering</w:t>
      </w:r>
    </w:p>
    <w:p>
      <w:pPr>
        <w:spacing w:after="80"/>
      </w:pPr>
      <w:r>
        <w:rPr>
          <w:rFonts w:ascii="Calibri" w:hAnsi="Calibri"/>
          <w:b w:val="0"/>
          <w:i w:val="0"/>
          <w:color w:val="4C4848"/>
          <w:sz w:val="22"/>
        </w:rPr>
        <w:t>Reden ontbinding: Overlijden echtgenoot/geregistreerd partner</w:t>
        <w:br/>
        <w:t>Datum ontbinding: 26-01-2009</w:t>
        <w:br/>
        <w:t>Land ontbinding: Nederland</w:t>
      </w:r>
    </w:p>
    <w:p>
      <w:pPr>
        <w:spacing w:after="20"/>
      </w:pPr>
      <w:r>
        <w:rPr>
          <w:rFonts w:ascii="Calibri" w:hAnsi="Calibri"/>
          <w:b/>
          <w:i w:val="0"/>
          <w:color w:val="737373"/>
          <w:sz w:val="18"/>
        </w:rPr>
        <w:t>Juridisch kader</w:t>
      </w:r>
    </w:p>
    <w:p>
      <w:pPr>
        <w:spacing w:after="80"/>
      </w:pPr>
      <w:r>
        <w:rPr>
          <w:rFonts w:ascii="Calibri" w:hAnsi="Calibri"/>
          <w:b w:val="0"/>
          <w:i w:val="0"/>
          <w:color w:val="4C4848"/>
          <w:sz w:val="22"/>
        </w:rPr>
        <w:t>Art. 1:80b BW (geregistreerd partnerschap)</w:t>
      </w:r>
    </w:p>
    <w:p>
      <w:pPr>
        <w:spacing w:after="20"/>
      </w:pPr>
      <w:r>
        <w:rPr>
          <w:rFonts w:ascii="Calibri" w:hAnsi="Calibri"/>
          <w:b/>
          <w:i w:val="0"/>
          <w:color w:val="737373"/>
          <w:sz w:val="18"/>
        </w:rPr>
        <w:t>Aanbevolen actie</w:t>
      </w:r>
    </w:p>
    <w:p>
      <w:pPr>
        <w:spacing w:after="40"/>
      </w:pPr>
      <w:r>
        <w:rPr>
          <w:rFonts w:ascii="Calibri" w:hAnsi="Calibri"/>
          <w:b w:val="0"/>
          <w:i w:val="0"/>
          <w:color w:val="4C4848"/>
          <w:sz w:val="22"/>
        </w:rPr>
        <w:t>Controleer of er een verdelingsakte bestaat ten aanzien van het registergoed.</w:t>
      </w:r>
    </w:p>
    <w:p>
      <w:pPr>
        <w:spacing w:before="360"/>
        <w:jc w:val="center"/>
      </w:pPr>
      <w:r>
        <w:rPr>
          <w:rFonts w:ascii="Calibri" w:hAnsi="Calibri"/>
          <w:b w:val="0"/>
          <w:i/>
          <w:color w:val="737373"/>
          <w:sz w:val="18"/>
        </w:rPr>
        <w:t>Deze analyse is automatisch gegenereerd op basis van de aangeleverde stukken en dient ter ondersteuning. De behandelaar blijft verantwoordelijk voor de juridische beoordeling.</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