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737373"/>
          <w:sz w:val="18"/>
        </w:rPr>
        <w:t>JURIDISCHE ANALYSE — DOSSIER</w:t>
      </w:r>
    </w:p>
    <w:p>
      <w:pPr>
        <w:spacing w:before="0" w:after="80"/>
      </w:pPr>
      <w:r>
        <w:rPr>
          <w:rFonts w:ascii="Calibri" w:hAnsi="Calibri"/>
          <w:b/>
          <w:i w:val="0"/>
          <w:color w:val="000000"/>
          <w:sz w:val="36"/>
        </w:rPr>
        <w:t>Aandachtspunten zaak 20260714_202920</w:t>
      </w:r>
    </w:p>
    <w:p>
      <w:pPr>
        <w:spacing w:after="160"/>
      </w:pPr>
      <w:r>
        <w:rPr>
          <w:rFonts w:ascii="Calibri" w:hAnsi="Calibri"/>
          <w:b/>
          <w:i w:val="0"/>
          <w:color w:val="737373"/>
          <w:sz w:val="20"/>
        </w:rPr>
        <w:t xml:space="preserve">Bank: </w:t>
      </w:r>
      <w:r>
        <w:rPr>
          <w:rFonts w:ascii="Calibri" w:hAnsi="Calibri"/>
          <w:b w:val="0"/>
          <w:i w:val="0"/>
          <w:color w:val="4C4848"/>
          <w:sz w:val="20"/>
        </w:rPr>
        <w:t>Onbekend</w:t>
      </w:r>
      <w:r>
        <w:rPr>
          <w:rFonts w:ascii="Calibri" w:hAnsi="Calibri"/>
          <w:b w:val="0"/>
          <w:i w:val="0"/>
          <w:color w:val="737373"/>
          <w:sz w:val="20"/>
        </w:rPr>
        <w:t xml:space="preserve">   ·   </w:t>
      </w:r>
      <w:r>
        <w:rPr>
          <w:rFonts w:ascii="Calibri" w:hAnsi="Calibri"/>
          <w:b/>
          <w:i w:val="0"/>
          <w:color w:val="737373"/>
          <w:sz w:val="20"/>
        </w:rPr>
        <w:t xml:space="preserve">Cliënt: </w:t>
      </w:r>
      <w:r>
        <w:rPr>
          <w:rFonts w:ascii="Calibri" w:hAnsi="Calibri"/>
          <w:b w:val="0"/>
          <w:i w:val="0"/>
          <w:color w:val="4C4848"/>
          <w:sz w:val="20"/>
        </w:rPr>
        <w:t>—</w:t>
      </w:r>
      <w:r>
        <w:rPr>
          <w:rFonts w:ascii="Calibri" w:hAnsi="Calibri"/>
          <w:b w:val="0"/>
          <w:i w:val="0"/>
          <w:color w:val="737373"/>
          <w:sz w:val="20"/>
        </w:rPr>
        <w:t xml:space="preserve">   ·   </w:t>
      </w:r>
      <w:r>
        <w:rPr>
          <w:rFonts w:ascii="Calibri" w:hAnsi="Calibri"/>
          <w:b/>
          <w:i w:val="0"/>
          <w:color w:val="737373"/>
          <w:sz w:val="20"/>
        </w:rPr>
        <w:t xml:space="preserve">Gegenereerd: </w:t>
      </w:r>
      <w:r>
        <w:rPr>
          <w:rFonts w:ascii="Calibri" w:hAnsi="Calibri"/>
          <w:b w:val="0"/>
          <w:i w:val="0"/>
          <w:color w:val="4C4848"/>
          <w:sz w:val="20"/>
        </w:rPr>
        <w:t>14-07-2026 20:30</w:t>
      </w:r>
    </w:p>
    <w:p>
      <w:pPr>
        <w:spacing w:after="40"/>
      </w:pPr>
      <w:r>
        <w:rPr>
          <w:rFonts w:ascii="Calibri" w:hAnsi="Calibri"/>
          <w:b/>
          <w:i w:val="0"/>
          <w:color w:val="737373"/>
          <w:sz w:val="20"/>
        </w:rPr>
        <w:t xml:space="preserve">Kritiek: </w:t>
      </w:r>
      <w:r>
        <w:rPr>
          <w:rFonts w:ascii="Calibri" w:hAnsi="Calibri"/>
          <w:b/>
          <w:i w:val="0"/>
          <w:color w:val="8B2635"/>
          <w:sz w:val="20"/>
        </w:rPr>
        <w:t>1</w:t>
      </w:r>
      <w:r>
        <w:rPr>
          <w:rFonts w:ascii="Calibri" w:hAnsi="Calibri"/>
          <w:b/>
          <w:i w:val="0"/>
          <w:color w:val="737373"/>
          <w:sz w:val="20"/>
        </w:rPr>
        <w:t xml:space="preserve">  ·  Aandacht: </w:t>
      </w:r>
      <w:r>
        <w:rPr>
          <w:rFonts w:ascii="Calibri" w:hAnsi="Calibri"/>
          <w:b/>
          <w:i w:val="0"/>
          <w:color w:val="E6A210"/>
          <w:sz w:val="20"/>
        </w:rPr>
        <w:t>0</w:t>
      </w:r>
      <w:r>
        <w:rPr>
          <w:rFonts w:ascii="Calibri" w:hAnsi="Calibri"/>
          <w:b/>
          <w:i w:val="0"/>
          <w:color w:val="737373"/>
          <w:sz w:val="20"/>
        </w:rPr>
        <w:t xml:space="preserve">  ·  Informatief: </w:t>
      </w:r>
      <w:r>
        <w:rPr>
          <w:rFonts w:ascii="Calibri" w:hAnsi="Calibri"/>
          <w:b/>
          <w:i w:val="0"/>
          <w:color w:val="095AA5"/>
          <w:sz w:val="20"/>
        </w:rPr>
        <w:t>1</w:t>
      </w:r>
    </w:p>
    <w:p>
      <w:pPr>
        <w:spacing w:before="160" w:after="80"/>
      </w:pPr>
      <w:r>
        <w:rPr>
          <w:rFonts w:ascii="Calibri" w:hAnsi="Calibri"/>
          <w:b/>
          <w:i w:val="0"/>
          <w:color w:val="000000"/>
          <w:sz w:val="26"/>
        </w:rPr>
        <w:t>Samenvatting</w:t>
      </w:r>
    </w:p>
    <w:p>
      <w:pPr>
        <w:spacing w:after="160"/>
      </w:pPr>
      <w:r>
        <w:rPr>
          <w:rFonts w:ascii="Calibri" w:hAnsi="Calibri"/>
          <w:b w:val="0"/>
          <w:i w:val="0"/>
          <w:color w:val="4C4848"/>
          <w:sz w:val="22"/>
        </w:rPr>
        <w:t>Het dossier bevat een BRP-uitdraai van Anna Alida de Klerk, die getrouwd was met Teunis Schmidt tot 2009. De huidige woonplaats is Werkendam, maar de PK is geregistreerd in Altena. Er zijn geen aangeleverde documenten over het onderpand of bankinformatie. De analyse signaleert 2 aandachtspunten (1× kritiek, 1× info). Kritiek: Overleden rechthebbende.</w:t>
      </w:r>
    </w:p>
    <w:p>
      <w:pPr>
        <w:spacing w:before="160" w:after="80"/>
      </w:pPr>
      <w:r>
        <w:rPr>
          <w:rFonts w:ascii="Calibri" w:hAnsi="Calibri"/>
          <w:b/>
          <w:i w:val="0"/>
          <w:color w:val="000000"/>
          <w:sz w:val="26"/>
        </w:rPr>
        <w:t>Aandachtspunten</w:t>
      </w:r>
    </w:p>
    <w:p>
      <w:pPr>
        <w:spacing w:before="200" w:after="40"/>
      </w:pPr>
      <w:r>
        <w:rPr>
          <w:rFonts w:ascii="Calibri" w:hAnsi="Calibri"/>
          <w:b/>
          <w:i w:val="0"/>
          <w:color w:val="8B2635"/>
          <w:sz w:val="18"/>
        </w:rPr>
        <w:t xml:space="preserve"> KRITIEK </w:t>
      </w:r>
      <w:r>
        <w:rPr>
          <w:rFonts w:ascii="Calibri" w:hAnsi="Calibri"/>
          <w:b w:val="0"/>
          <w:i w:val="0"/>
          <w:color w:val="737373"/>
          <w:sz w:val="22"/>
        </w:rPr>
        <w:t xml:space="preserve">   </w:t>
      </w:r>
      <w:r>
        <w:rPr>
          <w:rFonts w:ascii="Calibri" w:hAnsi="Calibri"/>
          <w:b/>
          <w:i w:val="0"/>
          <w:color w:val="000000"/>
          <w:sz w:val="24"/>
        </w:rPr>
        <w:t xml:space="preserve">1. </w:t>
      </w:r>
      <w:r>
        <w:rPr>
          <w:rFonts w:ascii="Calibri" w:hAnsi="Calibri"/>
          <w:b/>
          <w:i w:val="0"/>
          <w:color w:val="000000"/>
          <w:sz w:val="24"/>
        </w:rPr>
        <w:t>Overleden rechthebbende</w:t>
      </w:r>
    </w:p>
    <w:p>
      <w:pPr>
        <w:spacing w:after="40"/>
      </w:pPr>
      <w:r>
        <w:rPr>
          <w:rFonts w:ascii="Calibri" w:hAnsi="Calibri"/>
          <w:b/>
          <w:i w:val="0"/>
          <w:color w:val="737373"/>
          <w:sz w:val="16"/>
        </w:rPr>
        <w:t xml:space="preserve">CATEGORIE  </w:t>
      </w:r>
      <w:r>
        <w:rPr>
          <w:rFonts w:ascii="Calibri" w:hAnsi="Calibri"/>
          <w:b w:val="0"/>
          <w:i w:val="0"/>
          <w:color w:val="4C4848"/>
          <w:sz w:val="22"/>
        </w:rPr>
        <w:t>Vererving</w:t>
      </w:r>
    </w:p>
    <w:p>
      <w:pPr>
        <w:spacing w:after="40"/>
      </w:pPr>
      <w:r>
        <w:rPr>
          <w:rFonts w:ascii="Calibri" w:hAnsi="Calibri"/>
          <w:b/>
          <w:i w:val="0"/>
          <w:color w:val="737373"/>
          <w:sz w:val="16"/>
        </w:rPr>
        <w:t xml:space="preserve">BRON(NEN)  </w:t>
      </w:r>
      <w:r>
        <w:rPr>
          <w:rFonts w:ascii="Calibri" w:hAnsi="Calibri"/>
          <w:b w:val="0"/>
          <w:i w:val="0"/>
          <w:color w:val="4C4848"/>
          <w:sz w:val="22"/>
        </w:rPr>
        <w:t>kadaster</w:t>
      </w:r>
    </w:p>
    <w:p>
      <w:pPr>
        <w:spacing w:after="20"/>
      </w:pPr>
      <w:r>
        <w:rPr>
          <w:rFonts w:ascii="Calibri" w:hAnsi="Calibri"/>
          <w:b/>
          <w:i w:val="0"/>
          <w:color w:val="737373"/>
          <w:sz w:val="18"/>
        </w:rPr>
        <w:t>Constatering</w:t>
      </w:r>
    </w:p>
    <w:p>
      <w:pPr>
        <w:spacing w:after="80"/>
      </w:pPr>
      <w:r>
        <w:rPr>
          <w:rFonts w:ascii="Calibri" w:hAnsi="Calibri"/>
          <w:b w:val="0"/>
          <w:i w:val="0"/>
          <w:color w:val="4C4848"/>
          <w:sz w:val="22"/>
        </w:rPr>
        <w:t>'Overleden' achter de naam van Teunis Schmidt</w:t>
      </w:r>
    </w:p>
    <w:p>
      <w:pPr>
        <w:spacing w:after="20"/>
      </w:pPr>
      <w:r>
        <w:rPr>
          <w:rFonts w:ascii="Calibri" w:hAnsi="Calibri"/>
          <w:b/>
          <w:i w:val="0"/>
          <w:color w:val="737373"/>
          <w:sz w:val="18"/>
        </w:rPr>
        <w:t>Juridisch kader</w:t>
      </w:r>
    </w:p>
    <w:p>
      <w:pPr>
        <w:spacing w:after="80"/>
      </w:pPr>
      <w:r>
        <w:rPr>
          <w:rFonts w:ascii="Calibri" w:hAnsi="Calibri"/>
          <w:b w:val="0"/>
          <w:i w:val="0"/>
          <w:color w:val="4C4848"/>
          <w:sz w:val="22"/>
        </w:rPr>
        <w:t>Art. 4:182 BW - saisine erfgenamen treden van rechtswege in plaats van erflater.</w:t>
      </w:r>
    </w:p>
    <w:p>
      <w:pPr>
        <w:spacing w:after="20"/>
      </w:pPr>
      <w:r>
        <w:rPr>
          <w:rFonts w:ascii="Calibri" w:hAnsi="Calibri"/>
          <w:b/>
          <w:i w:val="0"/>
          <w:color w:val="737373"/>
          <w:sz w:val="18"/>
        </w:rPr>
        <w:t>Aanbevolen actie</w:t>
      </w:r>
    </w:p>
    <w:p>
      <w:pPr>
        <w:spacing w:after="40"/>
      </w:pPr>
      <w:r>
        <w:rPr>
          <w:rFonts w:ascii="Calibri" w:hAnsi="Calibri"/>
          <w:b w:val="0"/>
          <w:i w:val="0"/>
          <w:color w:val="4C4848"/>
          <w:sz w:val="22"/>
        </w:rPr>
        <w:t>Controleer of er een acte van verdeling is ingeschreven en of de erfgenamen actief zijn.</w:t>
      </w:r>
    </w:p>
    <w:p>
      <w:pPr>
        <w:spacing w:before="200" w:after="40"/>
      </w:pPr>
      <w:r>
        <w:rPr>
          <w:rFonts w:ascii="Calibri" w:hAnsi="Calibri"/>
          <w:b/>
          <w:i w:val="0"/>
          <w:color w:val="095AA5"/>
          <w:sz w:val="18"/>
        </w:rPr>
        <w:t xml:space="preserve"> INFORMATIEF </w:t>
      </w:r>
      <w:r>
        <w:rPr>
          <w:rFonts w:ascii="Calibri" w:hAnsi="Calibri"/>
          <w:b w:val="0"/>
          <w:i w:val="0"/>
          <w:color w:val="737373"/>
          <w:sz w:val="22"/>
        </w:rPr>
        <w:t xml:space="preserve">   </w:t>
      </w:r>
      <w:r>
        <w:rPr>
          <w:rFonts w:ascii="Calibri" w:hAnsi="Calibri"/>
          <w:b/>
          <w:i w:val="0"/>
          <w:color w:val="000000"/>
          <w:sz w:val="24"/>
        </w:rPr>
        <w:t xml:space="preserve">2. </w:t>
      </w:r>
      <w:r>
        <w:rPr>
          <w:rFonts w:ascii="Calibri" w:hAnsi="Calibri"/>
          <w:b/>
          <w:i w:val="0"/>
          <w:color w:val="000000"/>
          <w:sz w:val="24"/>
        </w:rPr>
        <w:t>Huwelijksgeschiedenis - overlijden echtgenoot</w:t>
      </w:r>
    </w:p>
    <w:p>
      <w:pPr>
        <w:spacing w:after="40"/>
      </w:pPr>
      <w:r>
        <w:rPr>
          <w:rFonts w:ascii="Calibri" w:hAnsi="Calibri"/>
          <w:b/>
          <w:i w:val="0"/>
          <w:color w:val="737373"/>
          <w:sz w:val="16"/>
        </w:rPr>
        <w:t xml:space="preserve">CATEGORIE  </w:t>
      </w:r>
      <w:r>
        <w:rPr>
          <w:rFonts w:ascii="Calibri" w:hAnsi="Calibri"/>
          <w:b w:val="0"/>
          <w:i w:val="0"/>
          <w:color w:val="4C4848"/>
          <w:sz w:val="22"/>
        </w:rPr>
        <w:t>Burgerlijke staat</w:t>
      </w:r>
    </w:p>
    <w:p>
      <w:pPr>
        <w:spacing w:after="40"/>
      </w:pPr>
      <w:r>
        <w:rPr>
          <w:rFonts w:ascii="Calibri" w:hAnsi="Calibri"/>
          <w:b/>
          <w:i w:val="0"/>
          <w:color w:val="737373"/>
          <w:sz w:val="16"/>
        </w:rPr>
        <w:t xml:space="preserve">BRON(NEN)  </w:t>
      </w:r>
      <w:r>
        <w:rPr>
          <w:rFonts w:ascii="Calibri" w:hAnsi="Calibri"/>
          <w:b w:val="0"/>
          <w:i w:val="0"/>
          <w:color w:val="4C4848"/>
          <w:sz w:val="22"/>
        </w:rPr>
        <w:t>brp</w:t>
      </w:r>
    </w:p>
    <w:p>
      <w:pPr>
        <w:spacing w:after="20"/>
      </w:pPr>
      <w:r>
        <w:rPr>
          <w:rFonts w:ascii="Calibri" w:hAnsi="Calibri"/>
          <w:b/>
          <w:i w:val="0"/>
          <w:color w:val="737373"/>
          <w:sz w:val="18"/>
        </w:rPr>
        <w:t>Constatering</w:t>
      </w:r>
    </w:p>
    <w:p>
      <w:pPr>
        <w:spacing w:after="80"/>
      </w:pPr>
      <w:r>
        <w:rPr>
          <w:rFonts w:ascii="Calibri" w:hAnsi="Calibri"/>
          <w:b w:val="0"/>
          <w:i w:val="0"/>
          <w:color w:val="4C4848"/>
          <w:sz w:val="22"/>
        </w:rPr>
        <w:t>Reden ontbinding: Overlijden echtgenoot/geregistreerd partner</w:t>
        <w:br/>
        <w:t>Datum ontbinding: 26-01-2009</w:t>
        <w:br/>
        <w:t>Land ontbinding: Nederland</w:t>
      </w:r>
    </w:p>
    <w:p>
      <w:pPr>
        <w:spacing w:after="20"/>
      </w:pPr>
      <w:r>
        <w:rPr>
          <w:rFonts w:ascii="Calibri" w:hAnsi="Calibri"/>
          <w:b/>
          <w:i w:val="0"/>
          <w:color w:val="737373"/>
          <w:sz w:val="18"/>
        </w:rPr>
        <w:t>Juridisch kader</w:t>
      </w:r>
    </w:p>
    <w:p>
      <w:pPr>
        <w:spacing w:after="80"/>
      </w:pPr>
      <w:r>
        <w:rPr>
          <w:rFonts w:ascii="Calibri" w:hAnsi="Calibri"/>
          <w:b w:val="0"/>
          <w:i w:val="0"/>
          <w:color w:val="4C4848"/>
          <w:sz w:val="22"/>
        </w:rPr>
        <w:t>Art. 1:80b BW (geregistreerd partnerschap)</w:t>
      </w:r>
    </w:p>
    <w:p>
      <w:pPr>
        <w:spacing w:after="20"/>
      </w:pPr>
      <w:r>
        <w:rPr>
          <w:rFonts w:ascii="Calibri" w:hAnsi="Calibri"/>
          <w:b/>
          <w:i w:val="0"/>
          <w:color w:val="737373"/>
          <w:sz w:val="18"/>
        </w:rPr>
        <w:t>Aanbevolen actie</w:t>
      </w:r>
    </w:p>
    <w:p>
      <w:pPr>
        <w:spacing w:after="40"/>
      </w:pPr>
      <w:r>
        <w:rPr>
          <w:rFonts w:ascii="Calibri" w:hAnsi="Calibri"/>
          <w:b w:val="0"/>
          <w:i w:val="0"/>
          <w:color w:val="4C4848"/>
          <w:sz w:val="22"/>
        </w:rPr>
        <w:t>Controleer of er een verdelingsakte bestaat ten aanzien van het registergoed.</w:t>
      </w:r>
    </w:p>
    <w:p>
      <w:pPr>
        <w:spacing w:before="360"/>
        <w:jc w:val="center"/>
      </w:pPr>
      <w:r>
        <w:rPr>
          <w:rFonts w:ascii="Calibri" w:hAnsi="Calibri"/>
          <w:b w:val="0"/>
          <w:i/>
          <w:color w:val="737373"/>
          <w:sz w:val="18"/>
        </w:rPr>
        <w:t>Deze analyse is automatisch gegenereerd op basis van de aangeleverde stukken en dient ter ondersteuning. De behandelaar blijft verantwoordelijk voor de juridische beoordeling.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