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20260714_203249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14-07-2026 20:36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3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2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Het dossier betreft het passeren van een hypotheek op twee huishoudens in Werkendam. De hypotheeknemer is Coöperatieve Rabobank U.A., met de schuldenaar Mevrouw A.A. Schmidt-de Klerk, geboren op 11-06-1947. Het leningbedrag bedraagt €231.500,00 en de hypotheek is ingeschreven op twee adressen in Werkendam. De passeerdatum is 07-04-2022. De analyse signaleert 5 aandachtspunten (3× kritiek, 2× aandacht). Kritiek: Overleden rechthebbende; Cliënt niet als rechthebbende herkend; Afwijkende objectaanduiding.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Overleden rechthebbende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Vererving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Burgerservicenummer 028449617: 'Reden ontbinding: Overlijden echtgenoot/geregistreerd partner' en 'Datum ontbinding: 26-01-2009'.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4:182 BW (saisine: erfgenamen treden van rechtswege in de plaats van de erflater).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acte van verdeling is ingeschreven en of de erfgenamen actief zijn.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Cliënt niet als rechthebbende herkend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A.A. Schmidt-de Klerk (passeeropdracht) vs Mevrouw Anna Alida de Klerk (kadaster)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titelketen raakt, mogelijk een tikfout of spellingsvariant.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tikfout is en verifiëer de naam met de cliënt.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Afwijkende objectaanduiding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Achtervliet 34 (passeeropdracht) vs Achtervliet 34, Werkendam R 1275 (kadaster)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aanduiding raakt, kan een ander object zijn.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de exacte locatie met de cliënt en de hypotheeknemer.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4. </w:t>
      </w:r>
      <w:r>
        <w:rPr>
          <w:rFonts w:ascii="Calibri" w:hAnsi="Calibri"/>
          <w:b/>
          <w:i w:val="0"/>
          <w:color w:val="000000"/>
          <w:sz w:val="24"/>
        </w:rPr>
        <w:t>Gescheiden zonder volledige verdeling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BRP-uitdraai wijst op een gescheiden status met reden ontbinding 'overlijden echtgenoot/geregistreerd partner', terwijl de kadastrale eigendomsinformatie nog meerdere rechthebbenden vermeldt.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3:169–3:175 BW (beëindiging gemeenschap o.a. door echtscheiding; verdeling)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akte van verdeling ten aanzien van het registergoed bestaat, of vraag inzage bij de ex-partner.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5. </w:t>
      </w:r>
      <w:r>
        <w:rPr>
          <w:rFonts w:ascii="Calibri" w:hAnsi="Calibri"/>
          <w:b/>
          <w:i w:val="0"/>
          <w:color w:val="000000"/>
          <w:sz w:val="24"/>
        </w:rPr>
        <w:t>Medewerking van ex-partner vereist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kadaster, 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eigendomsinformatie wijst op een gemeenschappelijk bewoonde woning, terwijl de BRP-uitdraai en passeeropdracht geen toestemming van de ex-partner bevestigen.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 (toestemmingsvereiste echtgenoot/medewerking partner)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Vraag inzage bij de ex-partner of controleer of er een akte van verdeling ten aanzien van het registergoed bestaat.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