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20260715_102856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15-07-2026 10:29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Dossier betreft een hypotheek op een onroerende zaak, waarbij de onderpandgegevens en bank niet zijn aangeleverd. De dossierpartijen zijn Pieternella Bikker (BSN: 205444362) en Marinus Adriaan Crum (BSN: 205150512), die in huwelijk staan sinds 24-04-2014. Er is geen aangeleverd document dat de bank, hypotheekbedrag of looptijd bevat. De analyse signaleert 1 aandachtspunt (1× aandacht).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E6A210"/>
          <w:sz w:val="18"/>
        </w:rPr>
        <w:t xml:space="preserve"> AANDACHT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Toestemming echtgenoot vereist bij hypotheek op gezamenlijk bewoonde woning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kadastrale eigendomsinformatie is leeg, terwijl de BRP-uitdraaien van beide cliënten een huwelijk aangeven. Dit wijst op een situatie waarin de medewerking of toestemming van de echtgenoot vereist is.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1:88 BW (rechtshandelingen echtelijke woning)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toestemming van M.A. Crum is voor het vestigen van een hypotheek op de gezamenlijk bewoonde woning.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