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20260712_185510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210616 0404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12-07-2026 18:57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twee schuldenaars, M.A. Crum en P. Crum-Bikker, met als onderpand een woning in Hoornaar. De hypotheekbedragen en leningen zijn gedefinieerd, maar er zijn geen duidelijke aandachtspunten.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Aantal cliënten wijkt af van aantal rechthebbenden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Object en partijen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passeeropdracht, 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Passeeropdracht noemt 2 cliënt(en); Kadaster vermeldt 1 rechthebbende(n).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Schuldenaren in de hypotheekakte moeten in beginsel gelijk zijn aan de rechthebbenden op het onderpand. Afwijking duidt op (gelijktijdige) overdracht, vererving of een ontbrekende partij.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een eigendomsoverdracht gelijktijdig passeert, of dat een rechthebbende ontbreekt in een van de stukken.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