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20260712_191410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210616 0404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12-07-2026 19:16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1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Dit dossier betreft het passeren van een hypotheekakte voor twee schuldenaren, M.A. Crum en P. Crum-Bikker, die wonen in Hoornaar. De hypotheek is opgezet op hun woonhuis met een inschrijvingsbedrag van €202.500,00.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Aantal cliënten wijkt af van aantal rechthebbenden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Passeeropdracht noemt 2 cliënt(en); Kadaster vermeldt 1 rechthebbende(n).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Schuldenaren in de hypotheekakte moeten in beginsel gelijk zijn aan de rechthebbenden op het onderpand. Afwijking duidt op (gelijktijdige) overdracht, vererving of een ontbrekende partij.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een eigendomsoverdracht gelijktijdig passeert, of dat een rechthebbende ontbreekt in een van de stukken.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Dubbele naam in hypotheekakte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Identiteit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brp, passeeropdracht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hypotheekakte bevat de volgende schuldenaren: 'M.A. Crum' en 'Mevrouw P. Crum-Bikker'. De BRP-uitdraai toont geen huwelijk of partnerschap tussen hen.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er een huwelijk/partnerschap bestaat tussen M.A. Crum en P. Crum-Bikker.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