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20260712_192011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210616 0404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19:22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2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twee schuldenaren, M.A. Crum en P. Crum-Bikker, met als onderpand een woning in Hoornaar. De hypotheekbedragen en leningen zijn duidelijk beschreven.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Aantal cliënten wijkt af van aantal rechthebbenden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Passeeropdracht noemt 2 cliënt(en); Kadaster vermeldt 1 rechthebbende(n).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Schuldenaren in de hypotheekakte moeten in beginsel gelijk zijn aan de rechthebbenden op het onderpand. Afwijking duidt op (gelijktijdige) overdracht, vererving of een ontbrekende partij.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een eigendomsoverdracht gelijktijdig passeert, of dat een rechthebbende ontbreekt in een van de stukken.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Huwelijksgeschiedenis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Soort verbintenis: Huwelijk; Datum: 24-04-2014; Geboortedatum partner: 10-02-1991.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 (toestemming echtgenoot/medewerking partner)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actuele verdelingsakte ten aanzien van het registergoed is, aangezien de ex-partner nog mogelijk mede-eigenaar kan zijn.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Dubbele naam in dossier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Identiteit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mevrouw Crum-Bikker is vermeld als schuldenaar, maar er wordt geen volledige achternaam gegeven.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Kennisgeving uitvaardigen aan hypotheeknemer voor volledige identificatie van mevrouw Crum-Bikker.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