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09D5AB">
      <w:pPr>
        <w:spacing w:before="1200"/>
      </w:pPr>
      <w:bookmarkStart w:id="54" w:name="_GoBack"/>
      <w:bookmarkEnd w:id="54"/>
    </w:p>
    <w:p w14:paraId="6EDD8278">
      <w:pPr>
        <w:spacing w:after="600"/>
        <w:jc w:val="center"/>
      </w:pPr>
      <w:r>
        <w:rPr>
          <w:rFonts w:ascii="黑体" w:hAnsi="黑体" w:eastAsia="黑体" w:cs="黑体"/>
          <w:b/>
          <w:bCs/>
          <w:sz w:val="52"/>
          <w:szCs w:val="52"/>
        </w:rPr>
        <w:t>可行性研究报告</w:t>
      </w:r>
    </w:p>
    <w:p w14:paraId="0F19598A">
      <w:pPr>
        <w:spacing w:after="12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糖尿病预治智能助手</w:t>
      </w:r>
    </w:p>
    <w:p w14:paraId="55BC01AF">
      <w:pPr>
        <w:spacing w:before="800"/>
      </w:pPr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560D9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CB01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A3CE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内容</w:t>
            </w:r>
          </w:p>
        </w:tc>
      </w:tr>
      <w:tr w14:paraId="4D2951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7D0E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文件状态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ED1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草稿</w:t>
            </w:r>
          </w:p>
        </w:tc>
      </w:tr>
      <w:tr w14:paraId="5381F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A4F1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文件标识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F321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QST-班号-XMT-DOC-RS</w:t>
            </w:r>
          </w:p>
        </w:tc>
      </w:tr>
      <w:tr w14:paraId="35375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D9AB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当前版本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6D39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V1.0</w:t>
            </w:r>
          </w:p>
        </w:tc>
      </w:tr>
      <w:tr w14:paraId="48567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C9D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作者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71B0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项目开发组</w:t>
            </w:r>
          </w:p>
        </w:tc>
      </w:tr>
      <w:tr w14:paraId="792BF6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1C1D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完成日期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80F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</w:tr>
      <w:tr w14:paraId="70A548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05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批准人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486B8">
            <w:pPr>
              <w:spacing w:before="40" w:after="40"/>
              <w:jc w:val="center"/>
            </w:pPr>
          </w:p>
        </w:tc>
      </w:tr>
      <w:tr w14:paraId="14D85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FCE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批准日期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F9F3D">
            <w:pPr>
              <w:spacing w:before="40" w:after="40"/>
              <w:jc w:val="center"/>
            </w:pPr>
          </w:p>
        </w:tc>
      </w:tr>
      <w:tr w14:paraId="6D52E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BD5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机构/组织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8096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××学院/实训项目组</w:t>
            </w:r>
          </w:p>
        </w:tc>
      </w:tr>
    </w:tbl>
    <w:p w14:paraId="15105D69">
      <w:r>
        <w:br w:type="page"/>
      </w:r>
    </w:p>
    <w:p w14:paraId="11ECB0F1">
      <w:pPr>
        <w:spacing w:after="30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目录</w:t>
      </w:r>
    </w:p>
    <w:sdt>
      <w:sdtPr>
        <w:alias w:val="目录"/>
        <w:id w:val="147474318"/>
      </w:sdtPr>
      <w:sdtContent>
        <w:p w14:paraId="25AEED45">
          <w:pPr>
            <w:rPr>
              <w:rFonts w:ascii="宋体" w:hAnsi="宋体" w:eastAsia="宋体" w:cs="宋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4EB801D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_Toc6031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1．引言</w:t>
          </w:r>
          <w:r>
            <w:tab/>
          </w:r>
          <w:r>
            <w:fldChar w:fldCharType="begin"/>
          </w:r>
          <w:r>
            <w:instrText xml:space="preserve"> PAGEREF _Toc6031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5C760DC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_Toc20705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1.1 编写目的</w:t>
          </w:r>
          <w:r>
            <w:tab/>
          </w:r>
          <w:r>
            <w:fldChar w:fldCharType="begin"/>
          </w:r>
          <w:r>
            <w:instrText xml:space="preserve"> PAGEREF _Toc20705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63A337E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_Toc17559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1.2 项目背景</w:t>
          </w:r>
          <w:r>
            <w:tab/>
          </w:r>
          <w:r>
            <w:fldChar w:fldCharType="begin"/>
          </w:r>
          <w:r>
            <w:instrText xml:space="preserve"> PAGEREF _Toc17559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3B892B48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_Toc31011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1.3 定义</w:t>
          </w:r>
          <w:r>
            <w:tab/>
          </w:r>
          <w:r>
            <w:fldChar w:fldCharType="begin"/>
          </w:r>
          <w:r>
            <w:instrText xml:space="preserve"> PAGEREF _Toc31011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4094DEC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_Toc8296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1.4 参考资料</w:t>
          </w:r>
          <w:r>
            <w:tab/>
          </w:r>
          <w:r>
            <w:fldChar w:fldCharType="begin"/>
          </w:r>
          <w:r>
            <w:instrText xml:space="preserve"> PAGEREF _Toc8296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71BDA8FE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_Toc16392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2．可行性研究的前提</w:t>
          </w:r>
          <w:r>
            <w:tab/>
          </w:r>
          <w:r>
            <w:fldChar w:fldCharType="begin"/>
          </w:r>
          <w:r>
            <w:instrText xml:space="preserve"> PAGEREF _Toc16392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42D5B9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_Toc13391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2.1 要求</w:t>
          </w:r>
          <w:r>
            <w:tab/>
          </w:r>
          <w:r>
            <w:fldChar w:fldCharType="begin"/>
          </w:r>
          <w:r>
            <w:instrText xml:space="preserve"> PAGEREF _Toc13391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19948B50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_Toc25527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2.1.1 功能要求</w:t>
          </w:r>
          <w:r>
            <w:tab/>
          </w:r>
          <w:r>
            <w:fldChar w:fldCharType="begin"/>
          </w:r>
          <w:r>
            <w:instrText xml:space="preserve"> PAGEREF _Toc25527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4AC611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_Toc24498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2.1.2 性能要求</w:t>
          </w:r>
          <w:r>
            <w:tab/>
          </w:r>
          <w:r>
            <w:fldChar w:fldCharType="begin"/>
          </w:r>
          <w:r>
            <w:instrText xml:space="preserve"> PAGEREF _Toc24498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C18CBE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2.1.3 输入输出要求</w:t>
          </w:r>
          <w:r>
            <w:tab/>
          </w:r>
          <w:r>
            <w:fldChar w:fldCharType="begin"/>
          </w:r>
          <w:r>
            <w:instrText xml:space="preserve"> PAGEREF _Toc88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C1F4F8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_Toc1811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2.1.4 安全与保密要求</w:t>
          </w:r>
          <w:r>
            <w:tab/>
          </w:r>
          <w:r>
            <w:fldChar w:fldCharType="begin"/>
          </w:r>
          <w:r>
            <w:instrText xml:space="preserve"> PAGEREF _Toc1811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6998DF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_Toc1424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2.2 目标</w:t>
          </w:r>
          <w:r>
            <w:tab/>
          </w:r>
          <w:r>
            <w:fldChar w:fldCharType="begin"/>
          </w:r>
          <w:r>
            <w:instrText xml:space="preserve"> PAGEREF _Toc1424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9FD025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_Toc11264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2.3 条件、假定和限制</w:t>
          </w:r>
          <w:r>
            <w:tab/>
          </w:r>
          <w:r>
            <w:fldChar w:fldCharType="begin"/>
          </w:r>
          <w:r>
            <w:instrText xml:space="preserve"> PAGEREF _Toc11264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3C6BBFC9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_Toc1323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2.4 可行性研究方法</w:t>
          </w:r>
          <w:r>
            <w:tab/>
          </w:r>
          <w:r>
            <w:fldChar w:fldCharType="begin"/>
          </w:r>
          <w:r>
            <w:instrText xml:space="preserve"> PAGEREF _Toc1323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F835CC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2.5 决定可行性的主要因素</w:t>
          </w:r>
          <w:r>
            <w:tab/>
          </w:r>
          <w:r>
            <w:fldChar w:fldCharType="begin"/>
          </w:r>
          <w:r>
            <w:instrText xml:space="preserve"> PAGEREF _Toc15784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4119CF2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_Toc3049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3．对现有系统的分析</w:t>
          </w:r>
          <w:r>
            <w:tab/>
          </w:r>
          <w:r>
            <w:fldChar w:fldCharType="begin"/>
          </w:r>
          <w:r>
            <w:instrText xml:space="preserve"> PAGEREF _Toc3049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A79C7B4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_Toc12013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3.1 处理流程和数据流程</w:t>
          </w:r>
          <w:r>
            <w:tab/>
          </w:r>
          <w:r>
            <w:fldChar w:fldCharType="begin"/>
          </w:r>
          <w:r>
            <w:instrText xml:space="preserve"> PAGEREF _Toc12013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4DB984FC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_Toc32189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3.2 工作负荷</w:t>
          </w:r>
          <w:r>
            <w:tab/>
          </w:r>
          <w:r>
            <w:fldChar w:fldCharType="begin"/>
          </w:r>
          <w:r>
            <w:instrText xml:space="preserve"> PAGEREF _Toc32189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F4946A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_Toc1576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3.3 费用支出</w:t>
          </w:r>
          <w:r>
            <w:tab/>
          </w:r>
          <w:r>
            <w:fldChar w:fldCharType="begin"/>
          </w:r>
          <w:r>
            <w:instrText xml:space="preserve"> PAGEREF _Toc1576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E317D0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_Toc30981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3.4 人员</w:t>
          </w:r>
          <w:r>
            <w:tab/>
          </w:r>
          <w:r>
            <w:fldChar w:fldCharType="begin"/>
          </w:r>
          <w:r>
            <w:instrText xml:space="preserve"> PAGEREF _Toc30981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EC9008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_Toc31746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3.5 设备</w:t>
          </w:r>
          <w:r>
            <w:tab/>
          </w:r>
          <w:r>
            <w:fldChar w:fldCharType="begin"/>
          </w:r>
          <w:r>
            <w:instrText xml:space="preserve"> PAGEREF _Toc31746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5864AC3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_Toc8323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3.6 局限性</w:t>
          </w:r>
          <w:r>
            <w:tab/>
          </w:r>
          <w:r>
            <w:fldChar w:fldCharType="begin"/>
          </w:r>
          <w:r>
            <w:instrText xml:space="preserve"> PAGEREF _Toc8323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23D75254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_Toc10757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4．所建议技术可行性分析</w:t>
          </w:r>
          <w:r>
            <w:tab/>
          </w:r>
          <w:r>
            <w:fldChar w:fldCharType="begin"/>
          </w:r>
          <w:r>
            <w:instrText xml:space="preserve"> PAGEREF _Toc10757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F63157D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_Toc27168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4.1 对系统的简要描述</w:t>
          </w:r>
          <w:r>
            <w:tab/>
          </w:r>
          <w:r>
            <w:fldChar w:fldCharType="begin"/>
          </w:r>
          <w:r>
            <w:instrText xml:space="preserve"> PAGEREF _Toc27168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1844780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_Toc3802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4.2 处理流程和数据流程</w:t>
          </w:r>
          <w:r>
            <w:tab/>
          </w:r>
          <w:r>
            <w:fldChar w:fldCharType="begin"/>
          </w:r>
          <w:r>
            <w:instrText xml:space="preserve"> PAGEREF _Toc3802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77049BA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_Toc16574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4.3 与现有系统比较的优越性</w:t>
          </w:r>
          <w:r>
            <w:tab/>
          </w:r>
          <w:r>
            <w:fldChar w:fldCharType="begin"/>
          </w:r>
          <w:r>
            <w:instrText xml:space="preserve"> PAGEREF _Toc16574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6B7F2C6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_Toc7499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4.4 采用建议系统可能带来的影响</w:t>
          </w:r>
          <w:r>
            <w:tab/>
          </w:r>
          <w:r>
            <w:fldChar w:fldCharType="begin"/>
          </w:r>
          <w:r>
            <w:instrText xml:space="preserve"> PAGEREF _Toc7499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72D74FC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_Toc31142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4.4.1 对设备的影响</w:t>
          </w:r>
          <w:r>
            <w:tab/>
          </w:r>
          <w:r>
            <w:fldChar w:fldCharType="begin"/>
          </w:r>
          <w:r>
            <w:instrText xml:space="preserve"> PAGEREF _Toc31142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79BB76B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_Toc29827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4.4.2 对软件的影响</w:t>
          </w:r>
          <w:r>
            <w:tab/>
          </w:r>
          <w:r>
            <w:fldChar w:fldCharType="begin"/>
          </w:r>
          <w:r>
            <w:instrText xml:space="preserve"> PAGEREF _Toc29827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97267B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_Toc25169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4.4.3 对用户单位机构的影响</w:t>
          </w:r>
          <w:r>
            <w:tab/>
          </w:r>
          <w:r>
            <w:fldChar w:fldCharType="begin"/>
          </w:r>
          <w:r>
            <w:instrText xml:space="preserve"> PAGEREF _Toc25169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9274994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_Toc4901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4.4.4 对系统运行过程的影响</w:t>
          </w:r>
          <w:r>
            <w:tab/>
          </w:r>
          <w:r>
            <w:fldChar w:fldCharType="begin"/>
          </w:r>
          <w:r>
            <w:instrText xml:space="preserve"> PAGEREF _Toc4901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9200E7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_Toc4515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4.4.5 对开发的影响</w:t>
          </w:r>
          <w:r>
            <w:tab/>
          </w:r>
          <w:r>
            <w:fldChar w:fldCharType="begin"/>
          </w:r>
          <w:r>
            <w:instrText xml:space="preserve"> PAGEREF _Toc4515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8A022A3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_Toc9256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4.4.6 对地点和设施的影响</w:t>
          </w:r>
          <w:r>
            <w:tab/>
          </w:r>
          <w:r>
            <w:fldChar w:fldCharType="begin"/>
          </w:r>
          <w:r>
            <w:instrText xml:space="preserve"> PAGEREF _Toc9256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D9F0BD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_Toc16335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4.4.7 对经费开支的影响</w:t>
          </w:r>
          <w:r>
            <w:tab/>
          </w:r>
          <w:r>
            <w:fldChar w:fldCharType="begin"/>
          </w:r>
          <w:r>
            <w:instrText xml:space="preserve"> PAGEREF _Toc16335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2D47AB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_Toc15267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4.5 技术可行性评价</w:t>
          </w:r>
          <w:r>
            <w:tab/>
          </w:r>
          <w:r>
            <w:fldChar w:fldCharType="begin"/>
          </w:r>
          <w:r>
            <w:instrText xml:space="preserve"> PAGEREF _Toc15267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332E3AC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_Toc17018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5．所建议系统经济可行性分析</w:t>
          </w:r>
          <w:r>
            <w:tab/>
          </w:r>
          <w:r>
            <w:fldChar w:fldCharType="begin"/>
          </w:r>
          <w:r>
            <w:instrText xml:space="preserve"> PAGEREF _Toc17018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2385A20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_Toc19181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5.1 支出</w:t>
          </w:r>
          <w:r>
            <w:tab/>
          </w:r>
          <w:r>
            <w:fldChar w:fldCharType="begin"/>
          </w:r>
          <w:r>
            <w:instrText xml:space="preserve"> PAGEREF _Toc19181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4D626335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_Toc30425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5.1.1 基建投资</w:t>
          </w:r>
          <w:r>
            <w:tab/>
          </w:r>
          <w:r>
            <w:fldChar w:fldCharType="begin"/>
          </w:r>
          <w:r>
            <w:instrText xml:space="preserve"> PAGEREF _Toc30425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88AE3CA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_Toc3770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5.1.2 其他一次性支出</w:t>
          </w:r>
          <w:r>
            <w:tab/>
          </w:r>
          <w:r>
            <w:fldChar w:fldCharType="begin"/>
          </w:r>
          <w:r>
            <w:instrText xml:space="preserve"> PAGEREF _Toc3770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20A1AD2D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_Toc29147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5.1.3 经常性支出</w:t>
          </w:r>
          <w:r>
            <w:tab/>
          </w:r>
          <w:r>
            <w:fldChar w:fldCharType="begin"/>
          </w:r>
          <w:r>
            <w:instrText xml:space="preserve"> PAGEREF _Toc29147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3EA6E3E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_Toc3867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5.2 效益</w:t>
          </w:r>
          <w:r>
            <w:tab/>
          </w:r>
          <w:r>
            <w:fldChar w:fldCharType="begin"/>
          </w:r>
          <w:r>
            <w:instrText xml:space="preserve"> PAGEREF _Toc3867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3BB9B52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_Toc20135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5.2.1 一次性收益</w:t>
          </w:r>
          <w:r>
            <w:tab/>
          </w:r>
          <w:r>
            <w:fldChar w:fldCharType="begin"/>
          </w:r>
          <w:r>
            <w:instrText xml:space="preserve"> PAGEREF _Toc20135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025AB6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_Toc18573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5.2.2 经常性收益</w:t>
          </w:r>
          <w:r>
            <w:tab/>
          </w:r>
          <w:r>
            <w:fldChar w:fldCharType="begin"/>
          </w:r>
          <w:r>
            <w:instrText xml:space="preserve"> PAGEREF _Toc18573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82B1BE8">
          <w:pPr>
            <w:pStyle w:val="8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_Toc30191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4"/>
            </w:rPr>
            <w:t>5.2.3 不可定量收益</w:t>
          </w:r>
          <w:r>
            <w:tab/>
          </w:r>
          <w:r>
            <w:fldChar w:fldCharType="begin"/>
          </w:r>
          <w:r>
            <w:instrText xml:space="preserve"> PAGEREF _Toc30191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529F2D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_Toc3709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5.3 收益/投资比</w:t>
          </w:r>
          <w:r>
            <w:tab/>
          </w:r>
          <w:r>
            <w:fldChar w:fldCharType="begin"/>
          </w:r>
          <w:r>
            <w:instrText xml:space="preserve"> PAGEREF _Toc3709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3092B9F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_Toc19684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5.4 投资回收周期</w:t>
          </w:r>
          <w:r>
            <w:tab/>
          </w:r>
          <w:r>
            <w:fldChar w:fldCharType="begin"/>
          </w:r>
          <w:r>
            <w:instrText xml:space="preserve"> PAGEREF _Toc19684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44488F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_Toc31466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5.5 敏感性分析</w:t>
          </w:r>
          <w:r>
            <w:tab/>
          </w:r>
          <w:r>
            <w:fldChar w:fldCharType="begin"/>
          </w:r>
          <w:r>
            <w:instrText xml:space="preserve"> PAGEREF _Toc31466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6B0F5CE9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_Toc28885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6．社会因素可行性分析</w:t>
          </w:r>
          <w:r>
            <w:tab/>
          </w:r>
          <w:r>
            <w:fldChar w:fldCharType="begin"/>
          </w:r>
          <w:r>
            <w:instrText xml:space="preserve"> PAGEREF _Toc28885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CEF61C6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_Toc7178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6.1 法律因素</w:t>
          </w:r>
          <w:r>
            <w:tab/>
          </w:r>
          <w:r>
            <w:fldChar w:fldCharType="begin"/>
          </w:r>
          <w:r>
            <w:instrText xml:space="preserve"> PAGEREF _Toc7178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088FFDB5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_Toc3263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6.2 用户使用可行性</w:t>
          </w:r>
          <w:r>
            <w:tab/>
          </w:r>
          <w:r>
            <w:fldChar w:fldCharType="begin"/>
          </w:r>
          <w:r>
            <w:instrText xml:space="preserve"> PAGEREF _Toc3263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ADAE0BA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_Toc22552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7．其他可供选择的方案</w:t>
          </w:r>
          <w:r>
            <w:tab/>
          </w:r>
          <w:r>
            <w:fldChar w:fldCharType="begin"/>
          </w:r>
          <w:r>
            <w:instrText xml:space="preserve"> PAGEREF _Toc22552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0C7F11B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_Toc82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7.1 可选择的系统方案1：传统人工健康管理</w:t>
          </w:r>
          <w:r>
            <w:tab/>
          </w:r>
          <w:r>
            <w:fldChar w:fldCharType="begin"/>
          </w:r>
          <w:r>
            <w:instrText xml:space="preserve"> PAGEREF _Toc82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CB65237">
          <w:pPr>
            <w:pStyle w:val="12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_Toc195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28"/>
            </w:rPr>
            <w:t>7.2 可选择的系统方案2：购买现成 SaaS 健康平台</w:t>
          </w:r>
          <w:r>
            <w:tab/>
          </w:r>
          <w:r>
            <w:fldChar w:fldCharType="begin"/>
          </w:r>
          <w:r>
            <w:instrText xml:space="preserve"> PAGEREF _Toc195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74316A73">
          <w:pPr>
            <w:pStyle w:val="10"/>
            <w:tabs>
              <w:tab w:val="right" w:leader="dot" w:pos="9026"/>
            </w:tabs>
          </w:pPr>
          <w:r>
            <w:fldChar w:fldCharType="begin"/>
          </w:r>
          <w:r>
            <w:instrText xml:space="preserve"> HYPERLINK \l _Toc3135 </w:instrText>
          </w:r>
          <w:r>
            <w:fldChar w:fldCharType="separate"/>
          </w:r>
          <w:r>
            <w:rPr>
              <w:rFonts w:ascii="黑体" w:hAnsi="黑体" w:eastAsia="黑体" w:cs="黑体"/>
              <w:bCs/>
              <w:szCs w:val="32"/>
            </w:rPr>
            <w:t>8．结论意见</w:t>
          </w:r>
          <w:r>
            <w:tab/>
          </w:r>
          <w:r>
            <w:fldChar w:fldCharType="begin"/>
          </w:r>
          <w:r>
            <w:instrText xml:space="preserve"> PAGEREF _Toc3135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59FF0F06">
          <w:r>
            <w:fldChar w:fldCharType="end"/>
          </w:r>
        </w:p>
      </w:sdtContent>
    </w:sdt>
    <w:p w14:paraId="57929454">
      <w:r>
        <w:br w:type="page"/>
      </w:r>
    </w:p>
    <w:p w14:paraId="02C49703">
      <w:pPr>
        <w:pStyle w:val="2"/>
        <w:spacing w:before="240" w:after="120"/>
      </w:pPr>
      <w:bookmarkStart w:id="0" w:name="_Toc6031"/>
      <w:r>
        <w:rPr>
          <w:rFonts w:ascii="黑体" w:hAnsi="黑体" w:eastAsia="黑体" w:cs="黑体"/>
          <w:b/>
          <w:bCs/>
          <w:sz w:val="32"/>
          <w:szCs w:val="32"/>
        </w:rPr>
        <w:t>1．引言</w:t>
      </w:r>
      <w:bookmarkEnd w:id="0"/>
    </w:p>
    <w:p w14:paraId="68CD90CF">
      <w:pPr>
        <w:pStyle w:val="3"/>
        <w:spacing w:before="200" w:after="100"/>
      </w:pPr>
      <w:bookmarkStart w:id="1" w:name="_Toc20705"/>
      <w:r>
        <w:rPr>
          <w:rFonts w:ascii="黑体" w:hAnsi="黑体" w:eastAsia="黑体" w:cs="黑体"/>
          <w:b/>
          <w:bCs/>
          <w:sz w:val="28"/>
          <w:szCs w:val="28"/>
        </w:rPr>
        <w:t>1.1 编写目的</w:t>
      </w:r>
      <w:bookmarkEnd w:id="1"/>
    </w:p>
    <w:p w14:paraId="5E0BF52D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文档旨在对“糖尿病预治智能助手”项目进行可行性研究，从技术、经济、社会因素等维度论证项目建设的必要性与可行性，为项目立项、资源投入及实施计划提供决策依据。本文档面向项目管理者、开发团队、指导教师及项目评审人员。</w:t>
      </w:r>
    </w:p>
    <w:p w14:paraId="5D598D38">
      <w:pPr>
        <w:pStyle w:val="3"/>
        <w:spacing w:before="200" w:after="100"/>
      </w:pPr>
      <w:bookmarkStart w:id="2" w:name="_Toc17559"/>
      <w:r>
        <w:rPr>
          <w:rFonts w:ascii="黑体" w:hAnsi="黑体" w:eastAsia="黑体" w:cs="黑体"/>
          <w:b/>
          <w:bCs/>
          <w:sz w:val="28"/>
          <w:szCs w:val="28"/>
        </w:rPr>
        <w:t>1.2 项目背景</w:t>
      </w:r>
      <w:bookmarkEnd w:id="2"/>
    </w:p>
    <w:p w14:paraId="3DB701C6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在当今全球化的时代，糖尿病已然成为一个令人忧虑的全球性健康难题。随着生活方式的急剧转变，如高糖高脂饮食的普遍化、运动量的大幅减少，以及人口老龄化进程的加速，糖尿病的发病率正以惊人的速度持续攀升。世界卫生组织的数据显示，全球糖尿病患者数量已达数亿之多，并且这一数字仍在不断增加。</w:t>
      </w:r>
    </w:p>
    <w:p w14:paraId="53DD8E27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本项目拟开发一套基于 DeepSeek 与 Dify 的“糖尿病预治智能助手”，通过一站式糖尿病预治管理体系，帮助用户进行健康数据录入、风险预测、个性化方案制定及在线咨询，提升糖尿病防治的科学化、规范化水平。</w:t>
      </w:r>
    </w:p>
    <w:p w14:paraId="60EC6D50">
      <w:pPr>
        <w:pStyle w:val="3"/>
        <w:spacing w:before="200" w:after="100"/>
      </w:pPr>
      <w:bookmarkStart w:id="3" w:name="_Toc31011"/>
      <w:r>
        <w:rPr>
          <w:rFonts w:ascii="黑体" w:hAnsi="黑体" w:eastAsia="黑体" w:cs="黑体"/>
          <w:b/>
          <w:bCs/>
          <w:sz w:val="28"/>
          <w:szCs w:val="28"/>
        </w:rPr>
        <w:t>1.3 定义</w:t>
      </w:r>
      <w:bookmarkEnd w:id="3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46FFF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C942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术语/缩写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AB0B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定义</w:t>
            </w:r>
          </w:p>
        </w:tc>
      </w:tr>
      <w:tr w14:paraId="3F290E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01CF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8DC7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国产开源大语言模型，具备强大的文本理解、推理与代码生成能力</w:t>
            </w:r>
          </w:p>
        </w:tc>
      </w:tr>
      <w:tr w14:paraId="11422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438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Dify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E45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开源 LLM 应用开发平台，支持知识库、工作流与智能体编排</w:t>
            </w:r>
          </w:p>
        </w:tc>
      </w:tr>
      <w:tr w14:paraId="4DB48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A60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智能体（Agent）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127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能够感知环境、调用工具并自主完成特定任务的 AI 系统</w:t>
            </w:r>
          </w:p>
        </w:tc>
      </w:tr>
      <w:tr w14:paraId="3E401F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DD3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工作流（Workflow）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4337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 Dify 中按预设节点编排的自动化业务流程</w:t>
            </w:r>
          </w:p>
        </w:tc>
      </w:tr>
      <w:tr w14:paraId="02BC07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050A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知识库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8540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存储糖尿病专业医学资料，供大模型检索与引用的文档集合</w:t>
            </w:r>
          </w:p>
        </w:tc>
      </w:tr>
      <w:tr w14:paraId="60CD32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8A25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BMI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107D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身体质量指数（Body Mass Index），衡量肥胖程度的重要指标</w:t>
            </w:r>
          </w:p>
        </w:tc>
      </w:tr>
    </w:tbl>
    <w:p w14:paraId="4CB3D031">
      <w:pPr>
        <w:pStyle w:val="3"/>
        <w:spacing w:before="200" w:after="100"/>
      </w:pPr>
      <w:bookmarkStart w:id="4" w:name="_Toc8296"/>
      <w:r>
        <w:rPr>
          <w:rFonts w:ascii="黑体" w:hAnsi="黑体" w:eastAsia="黑体" w:cs="黑体"/>
          <w:b/>
          <w:bCs/>
          <w:sz w:val="28"/>
          <w:szCs w:val="28"/>
        </w:rPr>
        <w:t>1.4 参考资料</w:t>
      </w:r>
      <w:bookmarkEnd w:id="4"/>
    </w:p>
    <w:p w14:paraId="0C427C8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《DeepSeek 大模型 API 开发文档》</w:t>
      </w:r>
    </w:p>
    <w:p w14:paraId="1C18DE05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《Dify 官方文档与最佳实践》</w:t>
      </w:r>
    </w:p>
    <w:p w14:paraId="17D3C87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《中国2型糖尿病防治指南》</w:t>
      </w:r>
    </w:p>
    <w:p w14:paraId="38B0979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世界卫生组织（WHO）糖尿病相关报告</w:t>
      </w:r>
    </w:p>
    <w:p w14:paraId="59763A4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项目说明文档《DeepSeek_Dify智能体开发-智能助手项目说明》</w:t>
      </w:r>
    </w:p>
    <w:p w14:paraId="3160E688">
      <w:pPr>
        <w:pStyle w:val="2"/>
        <w:spacing w:before="240" w:after="120"/>
      </w:pPr>
      <w:bookmarkStart w:id="5" w:name="_Toc16392"/>
      <w:r>
        <w:rPr>
          <w:rFonts w:ascii="黑体" w:hAnsi="黑体" w:eastAsia="黑体" w:cs="黑体"/>
          <w:b/>
          <w:bCs/>
          <w:sz w:val="32"/>
          <w:szCs w:val="32"/>
        </w:rPr>
        <w:t>2．可行性研究的前提</w:t>
      </w:r>
      <w:bookmarkEnd w:id="5"/>
    </w:p>
    <w:p w14:paraId="2C7ED480">
      <w:pPr>
        <w:pStyle w:val="3"/>
        <w:spacing w:before="200" w:after="100"/>
      </w:pPr>
      <w:bookmarkStart w:id="6" w:name="_Toc13391"/>
      <w:r>
        <w:rPr>
          <w:rFonts w:ascii="黑体" w:hAnsi="黑体" w:eastAsia="黑体" w:cs="黑体"/>
          <w:b/>
          <w:bCs/>
          <w:sz w:val="28"/>
          <w:szCs w:val="28"/>
        </w:rPr>
        <w:t>2.1 要求</w:t>
      </w:r>
      <w:bookmarkEnd w:id="6"/>
    </w:p>
    <w:p w14:paraId="133485B3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建议开发的“糖尿病预治智能助手”应满足以下基本要求：</w:t>
      </w:r>
    </w:p>
    <w:p w14:paraId="40FC1685">
      <w:pPr>
        <w:pStyle w:val="4"/>
        <w:spacing w:before="160" w:after="80"/>
      </w:pPr>
      <w:bookmarkStart w:id="7" w:name="_Toc25527"/>
      <w:r>
        <w:rPr>
          <w:rFonts w:ascii="黑体" w:hAnsi="黑体" w:eastAsia="黑体" w:cs="黑体"/>
          <w:b/>
          <w:bCs/>
          <w:sz w:val="24"/>
          <w:szCs w:val="24"/>
        </w:rPr>
        <w:t>2.1.1 功能要求</w:t>
      </w:r>
      <w:bookmarkEnd w:id="7"/>
    </w:p>
    <w:p w14:paraId="1148D97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健康数据录入：用户可填写年龄、性别、身高、体重、腰围、血压、家族病史等基本信息。</w:t>
      </w:r>
    </w:p>
    <w:p w14:paraId="4D05F3B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糖尿病风险预测：基于用户输入的健康数据，结合 DeepSeek 大模型进行风险评估。</w:t>
      </w:r>
    </w:p>
    <w:p w14:paraId="0BC7ED79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个性化生活方案：根据风险评估结果，生成饮食、运动等个性化干预方案。</w:t>
      </w:r>
    </w:p>
    <w:p w14:paraId="4A8C7433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在线咨询：提供与糖尿病领域专家在线交流的对话界面。</w:t>
      </w:r>
    </w:p>
    <w:p w14:paraId="51EA7D4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健康资讯推送：展示糖尿病科普文章、日常管理指南等内容。</w:t>
      </w:r>
    </w:p>
    <w:p w14:paraId="335D831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生活打卡与状态分析：支持用户记录生活习惯，并进行状态分析。</w:t>
      </w:r>
    </w:p>
    <w:p w14:paraId="410E1046">
      <w:pPr>
        <w:pStyle w:val="4"/>
        <w:spacing w:before="160" w:after="80"/>
      </w:pPr>
      <w:bookmarkStart w:id="8" w:name="_Toc24498"/>
      <w:r>
        <w:rPr>
          <w:rFonts w:ascii="黑体" w:hAnsi="黑体" w:eastAsia="黑体" w:cs="黑体"/>
          <w:b/>
          <w:bCs/>
          <w:sz w:val="24"/>
          <w:szCs w:val="24"/>
        </w:rPr>
        <w:t>2.1.2 性能要求</w:t>
      </w:r>
      <w:bookmarkEnd w:id="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49FFE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C52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性能指标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00D4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要求</w:t>
            </w:r>
          </w:p>
        </w:tc>
      </w:tr>
      <w:tr w14:paraId="07EFB8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00B8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响应时间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3FD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普通页面加载 ≤ 3 秒，AI 对话响应 ≤ 10 秒</w:t>
            </w:r>
          </w:p>
        </w:tc>
      </w:tr>
      <w:tr w14:paraId="19ABF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E8F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并发用户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2328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支持不少于 50 人同时在线</w:t>
            </w:r>
          </w:p>
        </w:tc>
      </w:tr>
      <w:tr w14:paraId="039C1C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443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数据存储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5464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支持用户数据、健康记录、咨询记录的持久化存储</w:t>
            </w:r>
          </w:p>
        </w:tc>
      </w:tr>
      <w:tr w14:paraId="6EAE6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040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兼容性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48E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支持 Chrome、Edge、Firefox 等主流浏览器</w:t>
            </w:r>
          </w:p>
        </w:tc>
      </w:tr>
    </w:tbl>
    <w:p w14:paraId="49D320E0">
      <w:pPr>
        <w:pStyle w:val="4"/>
        <w:spacing w:before="160" w:after="80"/>
      </w:pPr>
      <w:bookmarkStart w:id="9" w:name="_Toc88"/>
      <w:r>
        <w:rPr>
          <w:rFonts w:ascii="黑体" w:hAnsi="黑体" w:eastAsia="黑体" w:cs="黑体"/>
          <w:b/>
          <w:bCs/>
          <w:sz w:val="24"/>
          <w:szCs w:val="24"/>
        </w:rPr>
        <w:t>2.1.3 输入输出要求</w:t>
      </w:r>
      <w:bookmarkEnd w:id="9"/>
    </w:p>
    <w:p w14:paraId="100178AE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输入：用户健康数据、咨询问题、打卡记录等；输出：风险预测报告、生活方案、健康资讯、咨询回复等。输出应清晰、结构化，便于用户理解。</w:t>
      </w:r>
    </w:p>
    <w:p w14:paraId="5779ED63">
      <w:pPr>
        <w:pStyle w:val="4"/>
        <w:spacing w:before="160" w:after="80"/>
      </w:pPr>
      <w:bookmarkStart w:id="10" w:name="_Toc1811"/>
      <w:r>
        <w:rPr>
          <w:rFonts w:ascii="黑体" w:hAnsi="黑体" w:eastAsia="黑体" w:cs="黑体"/>
          <w:b/>
          <w:bCs/>
          <w:sz w:val="24"/>
          <w:szCs w:val="24"/>
        </w:rPr>
        <w:t>2.1.4 安全与保密要求</w:t>
      </w:r>
      <w:bookmarkEnd w:id="10"/>
    </w:p>
    <w:p w14:paraId="7D22C129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用户健康数据属于敏感个人信息，系统应采取必要的访问控制、数据传输加密及存储安全措施，确保用户隐私不被泄露。</w:t>
      </w:r>
    </w:p>
    <w:p w14:paraId="304CAA96">
      <w:pPr>
        <w:pStyle w:val="3"/>
        <w:spacing w:before="200" w:after="100"/>
      </w:pPr>
      <w:bookmarkStart w:id="11" w:name="_Toc1424"/>
      <w:r>
        <w:rPr>
          <w:rFonts w:ascii="黑体" w:hAnsi="黑体" w:eastAsia="黑体" w:cs="黑体"/>
          <w:b/>
          <w:bCs/>
          <w:sz w:val="28"/>
          <w:szCs w:val="28"/>
        </w:rPr>
        <w:t>2.2 目标</w:t>
      </w:r>
      <w:bookmarkEnd w:id="11"/>
    </w:p>
    <w:p w14:paraId="565C5A3B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通过智能化工具降低糖尿病预防与管理的人力成本，提高健康干预效率。</w:t>
      </w:r>
    </w:p>
    <w:p w14:paraId="6D3951D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为用户提供 7×24 小时可及的糖尿病风险预测与咨询服务。</w:t>
      </w:r>
    </w:p>
    <w:p w14:paraId="76D6B07C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提升用户对糖尿病防治知识的认知水平和自我管理能力。</w:t>
      </w:r>
    </w:p>
    <w:p w14:paraId="4C036BC0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探索 DeepSeek + Dify 在医疗健康智能体领域的应用范式。</w:t>
      </w:r>
    </w:p>
    <w:p w14:paraId="4D0E5C35">
      <w:pPr>
        <w:pStyle w:val="3"/>
        <w:spacing w:before="200" w:after="100"/>
      </w:pPr>
      <w:bookmarkStart w:id="12" w:name="_Toc11264"/>
      <w:r>
        <w:rPr>
          <w:rFonts w:ascii="黑体" w:hAnsi="黑体" w:eastAsia="黑体" w:cs="黑体"/>
          <w:b/>
          <w:bCs/>
          <w:sz w:val="28"/>
          <w:szCs w:val="28"/>
        </w:rPr>
        <w:t>2.3 条件、假定和限制</w:t>
      </w:r>
      <w:bookmarkEnd w:id="12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19FB36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080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类别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1CDF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3892A8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ED55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运行最短寿命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F7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建议系统运行寿命不少于 3 年</w:t>
            </w:r>
          </w:p>
        </w:tc>
      </w:tr>
      <w:tr w14:paraId="4DA6B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6E0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经费来源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9B28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学校实训经费或课题组经费支持</w:t>
            </w:r>
          </w:p>
        </w:tc>
      </w:tr>
      <w:tr w14:paraId="38EEF5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931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硬件条件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E1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开发及运行环境为 Windows 10/11，可部署于云服务器</w:t>
            </w:r>
          </w:p>
        </w:tc>
      </w:tr>
      <w:tr w14:paraId="5A1F4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1A2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软件条件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913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使用 VSCode、Node.js、Dify、DeepSeek API 等</w:t>
            </w:r>
          </w:p>
        </w:tc>
      </w:tr>
      <w:tr w14:paraId="4823B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8D6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知识库限制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C9DA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医学知识库内容需持续更新，确保专业性与时效性</w:t>
            </w:r>
          </w:p>
        </w:tc>
      </w:tr>
      <w:tr w14:paraId="7BD029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4E23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投入使用时间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C759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计划在实训周期（约 12 天）内完成并上线试运行</w:t>
            </w:r>
          </w:p>
        </w:tc>
      </w:tr>
    </w:tbl>
    <w:p w14:paraId="12B90F3E">
      <w:pPr>
        <w:pStyle w:val="3"/>
        <w:spacing w:before="200" w:after="100"/>
      </w:pPr>
      <w:bookmarkStart w:id="13" w:name="_Toc1323"/>
      <w:r>
        <w:rPr>
          <w:rFonts w:ascii="黑体" w:hAnsi="黑体" w:eastAsia="黑体" w:cs="黑体"/>
          <w:b/>
          <w:bCs/>
          <w:sz w:val="28"/>
          <w:szCs w:val="28"/>
        </w:rPr>
        <w:t>2.4 可行性研究方法</w:t>
      </w:r>
      <w:bookmarkEnd w:id="13"/>
    </w:p>
    <w:p w14:paraId="6A488452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本项目采用文献研究、技术调研、原型验证与专家评估相结合的方法进行可行性分析。通过调研 DeepSeek 与 Dify 的技术能力，结合糖尿病防治的业务需求，构建最小可行原型（MVP）进行功能验证，并邀请指导教师进行评审。</w:t>
      </w:r>
    </w:p>
    <w:p w14:paraId="35CA06C0">
      <w:pPr>
        <w:pStyle w:val="3"/>
        <w:spacing w:before="200" w:after="100"/>
      </w:pPr>
      <w:bookmarkStart w:id="14" w:name="_Toc15784"/>
      <w:r>
        <w:rPr>
          <w:rFonts w:ascii="黑体" w:hAnsi="黑体" w:eastAsia="黑体" w:cs="黑体"/>
          <w:b/>
          <w:bCs/>
          <w:sz w:val="28"/>
          <w:szCs w:val="28"/>
        </w:rPr>
        <w:t>2.5 决定可行性的主要因素</w:t>
      </w:r>
      <w:bookmarkEnd w:id="14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13685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750C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评价维度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593D8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主要尺度</w:t>
            </w:r>
          </w:p>
        </w:tc>
      </w:tr>
      <w:tr w14:paraId="4984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8968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技术可行性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03B7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与 Dify 技术栈是否成熟、开发团队是否具备相应能力</w:t>
            </w:r>
          </w:p>
        </w:tc>
      </w:tr>
      <w:tr w14:paraId="01D4A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F72D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经济可行性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28A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开发成本、运行成本与预期效益的比较</w:t>
            </w:r>
          </w:p>
        </w:tc>
      </w:tr>
      <w:tr w14:paraId="5654F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522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社会可行性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C5C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是否符合法律法规、用户接受度如何</w:t>
            </w:r>
          </w:p>
        </w:tc>
      </w:tr>
      <w:tr w14:paraId="54754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C6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时间可行性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A3CE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能否在规定的实训周期内完成开发</w:t>
            </w:r>
          </w:p>
        </w:tc>
      </w:tr>
    </w:tbl>
    <w:p w14:paraId="255FA170">
      <w:pPr>
        <w:pStyle w:val="2"/>
        <w:spacing w:before="240" w:after="120"/>
      </w:pPr>
      <w:bookmarkStart w:id="15" w:name="_Toc3049"/>
      <w:r>
        <w:rPr>
          <w:rFonts w:ascii="黑体" w:hAnsi="黑体" w:eastAsia="黑体" w:cs="黑体"/>
          <w:b/>
          <w:bCs/>
          <w:sz w:val="32"/>
          <w:szCs w:val="32"/>
        </w:rPr>
        <w:t>3．对现有系统的分析</w:t>
      </w:r>
      <w:bookmarkEnd w:id="15"/>
    </w:p>
    <w:p w14:paraId="30C88559">
      <w:pPr>
        <w:pStyle w:val="3"/>
        <w:spacing w:before="200" w:after="100"/>
      </w:pPr>
      <w:bookmarkStart w:id="16" w:name="_Toc12013"/>
      <w:r>
        <w:rPr>
          <w:rFonts w:ascii="黑体" w:hAnsi="黑体" w:eastAsia="黑体" w:cs="黑体"/>
          <w:b/>
          <w:bCs/>
          <w:sz w:val="28"/>
          <w:szCs w:val="28"/>
        </w:rPr>
        <w:t>3.1 处理流程和数据流程</w:t>
      </w:r>
      <w:bookmarkEnd w:id="16"/>
    </w:p>
    <w:p w14:paraId="7DFB64D3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当前多数糖尿病患者或高危人群主要依赖以下方式进行健康管理：</w:t>
      </w:r>
    </w:p>
    <w:p w14:paraId="711441D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定期前往医院进行体检和复诊，获取血糖、糖化血红蛋白等指标。</w:t>
      </w:r>
    </w:p>
    <w:p w14:paraId="41DE50B7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通过医生面诊或电话咨询获取饮食、运动建议。</w:t>
      </w:r>
    </w:p>
    <w:p w14:paraId="78FB587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自行记录健康数据，使用纸质笔记本或简单的电子表格进行管理。</w:t>
      </w:r>
    </w:p>
    <w:p w14:paraId="0734F7B3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通过互联网搜索健康资讯，但信息质量参差不齐。</w:t>
      </w:r>
    </w:p>
    <w:p w14:paraId="5F114CE6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现有流程存在数据分散、反馈滞后、个性化程度低、专家资源不均衡等问题。</w:t>
      </w:r>
    </w:p>
    <w:p w14:paraId="34059257">
      <w:pPr>
        <w:pStyle w:val="3"/>
        <w:spacing w:before="200" w:after="100"/>
      </w:pPr>
      <w:bookmarkStart w:id="17" w:name="_Toc32189"/>
      <w:r>
        <w:rPr>
          <w:rFonts w:ascii="黑体" w:hAnsi="黑体" w:eastAsia="黑体" w:cs="黑体"/>
          <w:b/>
          <w:bCs/>
          <w:sz w:val="28"/>
          <w:szCs w:val="28"/>
        </w:rPr>
        <w:t>3.2 工作负荷</w:t>
      </w:r>
      <w:bookmarkEnd w:id="17"/>
    </w:p>
    <w:p w14:paraId="1C3D0DBE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现有模式下，医生需要投入大量时间进行重复性健康宣教和方案制定；用户则需要频繁往返医院，且难以获得持续性的跟踪指导。</w:t>
      </w:r>
    </w:p>
    <w:p w14:paraId="15F603C3">
      <w:pPr>
        <w:pStyle w:val="3"/>
        <w:spacing w:before="200" w:after="100"/>
      </w:pPr>
      <w:bookmarkStart w:id="18" w:name="_Toc1576"/>
      <w:r>
        <w:rPr>
          <w:rFonts w:ascii="黑体" w:hAnsi="黑体" w:eastAsia="黑体" w:cs="黑体"/>
          <w:b/>
          <w:bCs/>
          <w:sz w:val="28"/>
          <w:szCs w:val="28"/>
        </w:rPr>
        <w:t>3.3 费用支出</w:t>
      </w:r>
      <w:bookmarkEnd w:id="18"/>
    </w:p>
    <w:p w14:paraId="1011510E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主要费用支出包括：医院挂号费、体检费用、交通成本、长期用药费用以及因病情控制不佳导致的并发症治疗成本。</w:t>
      </w:r>
    </w:p>
    <w:p w14:paraId="7600675A">
      <w:pPr>
        <w:pStyle w:val="3"/>
        <w:spacing w:before="200" w:after="100"/>
      </w:pPr>
      <w:bookmarkStart w:id="19" w:name="_Toc30981"/>
      <w:r>
        <w:rPr>
          <w:rFonts w:ascii="黑体" w:hAnsi="黑体" w:eastAsia="黑体" w:cs="黑体"/>
          <w:b/>
          <w:bCs/>
          <w:sz w:val="28"/>
          <w:szCs w:val="28"/>
        </w:rPr>
        <w:t>3.4 人员</w:t>
      </w:r>
      <w:bookmarkEnd w:id="19"/>
    </w:p>
    <w:p w14:paraId="2047E4CA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涉及内分泌科医生、营养师、运动康复师、护士及患者本人。优质医疗资源集中在大城市，基层和偏远地区用户难以获得专业服务。</w:t>
      </w:r>
    </w:p>
    <w:p w14:paraId="427F0393">
      <w:pPr>
        <w:pStyle w:val="3"/>
        <w:spacing w:before="200" w:after="100"/>
      </w:pPr>
      <w:bookmarkStart w:id="20" w:name="_Toc31746"/>
      <w:r>
        <w:rPr>
          <w:rFonts w:ascii="黑体" w:hAnsi="黑体" w:eastAsia="黑体" w:cs="黑体"/>
          <w:b/>
          <w:bCs/>
          <w:sz w:val="28"/>
          <w:szCs w:val="28"/>
        </w:rPr>
        <w:t>3.5 设备</w:t>
      </w:r>
      <w:bookmarkEnd w:id="20"/>
    </w:p>
    <w:p w14:paraId="2B700328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现有设备包括血糖仪、血压计、医院信息系统（HIS）以及用户个人手机/电脑等。</w:t>
      </w:r>
    </w:p>
    <w:p w14:paraId="0B06F0BC">
      <w:pPr>
        <w:pStyle w:val="3"/>
        <w:spacing w:before="200" w:after="100"/>
      </w:pPr>
      <w:bookmarkStart w:id="21" w:name="_Toc8323"/>
      <w:r>
        <w:rPr>
          <w:rFonts w:ascii="黑体" w:hAnsi="黑体" w:eastAsia="黑体" w:cs="黑体"/>
          <w:b/>
          <w:bCs/>
          <w:sz w:val="28"/>
          <w:szCs w:val="28"/>
        </w:rPr>
        <w:t>3.6 局限性</w:t>
      </w:r>
      <w:bookmarkEnd w:id="21"/>
    </w:p>
    <w:p w14:paraId="53E62971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人工管理方式效率低，难以实现大规模人群的风险筛查与长期随访。</w:t>
      </w:r>
    </w:p>
    <w:p w14:paraId="242A67AE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健康建议缺乏个性化，难以根据用户实时数据进行动态调整。</w:t>
      </w:r>
    </w:p>
    <w:p w14:paraId="04805A8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用户健康数据分散，难以形成完整的个人健康档案。</w:t>
      </w:r>
    </w:p>
    <w:p w14:paraId="700B508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优质医疗资源分布不均，基层用户难以获得权威指导。</w:t>
      </w:r>
    </w:p>
    <w:p w14:paraId="666911A4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现有健康管理应用智能化程度不足，无法提供基于大模型的深度分析与对话服务。</w:t>
      </w:r>
    </w:p>
    <w:p w14:paraId="2A2787D5">
      <w:pPr>
        <w:pStyle w:val="2"/>
        <w:spacing w:before="240" w:after="120"/>
      </w:pPr>
      <w:bookmarkStart w:id="22" w:name="_Toc10757"/>
      <w:r>
        <w:rPr>
          <w:rFonts w:ascii="黑体" w:hAnsi="黑体" w:eastAsia="黑体" w:cs="黑体"/>
          <w:b/>
          <w:bCs/>
          <w:sz w:val="32"/>
          <w:szCs w:val="32"/>
        </w:rPr>
        <w:t>4．所建议技术可行性分析</w:t>
      </w:r>
      <w:bookmarkEnd w:id="22"/>
    </w:p>
    <w:p w14:paraId="249970FD">
      <w:pPr>
        <w:pStyle w:val="3"/>
        <w:spacing w:before="200" w:after="100"/>
      </w:pPr>
      <w:bookmarkStart w:id="23" w:name="_Toc27168"/>
      <w:r>
        <w:rPr>
          <w:rFonts w:ascii="黑体" w:hAnsi="黑体" w:eastAsia="黑体" w:cs="黑体"/>
          <w:b/>
          <w:bCs/>
          <w:sz w:val="28"/>
          <w:szCs w:val="28"/>
        </w:rPr>
        <w:t>4.1 对系统的简要描述</w:t>
      </w:r>
      <w:bookmarkEnd w:id="23"/>
    </w:p>
    <w:p w14:paraId="3711A55E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“糖尿病预治智能助手”采用前后端分离架构。前端基于 HTML5、CSS3、JavaScript 及 Tailwind CSS 构建用户界面；服务端基于 Dify 平台，集成 DeepSeek 大模型、医学知识库、工作流与智能体，提供风险预测、方案定制、在线咨询等核心服务。</w:t>
      </w:r>
    </w:p>
    <w:p w14:paraId="7C33A312">
      <w:pPr>
        <w:spacing w:before="120" w:after="120"/>
        <w:jc w:val="center"/>
      </w:pPr>
      <w:r>
        <w:drawing>
          <wp:inline distT="0" distB="0" distL="0" distR="0">
            <wp:extent cx="5238750" cy="1771650"/>
            <wp:effectExtent l="0" t="0" r="0" b="0"/>
            <wp:docPr id="1" name="image2.png" descr="image2.png" titl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.png" descr="image2.png" title="image2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009E0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1 项目功能结构图</w:t>
      </w:r>
    </w:p>
    <w:p w14:paraId="1E8F1AA4">
      <w:pPr>
        <w:pStyle w:val="3"/>
        <w:spacing w:before="200" w:after="100"/>
      </w:pPr>
      <w:bookmarkStart w:id="24" w:name="_Toc3802"/>
      <w:r>
        <w:rPr>
          <w:rFonts w:ascii="黑体" w:hAnsi="黑体" w:eastAsia="黑体" w:cs="黑体"/>
          <w:b/>
          <w:bCs/>
          <w:sz w:val="28"/>
          <w:szCs w:val="28"/>
        </w:rPr>
        <w:t>4.2 处理流程和数据流程</w:t>
      </w:r>
      <w:bookmarkEnd w:id="24"/>
    </w:p>
    <w:p w14:paraId="24CF5F72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用户通过前端界面录入健康数据，数据经 API 调用发送至 Dify 智能体；Dify 根据工作流调用 DeepSeek 大模型和知识库进行分析，返回风险预测结果或生活方案；用户可与 AI 助手进行多轮对话，必要时触发数据管理工作流保存关键信息。</w:t>
      </w:r>
    </w:p>
    <w:p w14:paraId="180E7A51">
      <w:pPr>
        <w:spacing w:before="120" w:after="120"/>
        <w:jc w:val="center"/>
      </w:pPr>
      <w:r>
        <w:drawing>
          <wp:inline distT="0" distB="0" distL="0" distR="0">
            <wp:extent cx="5238750" cy="3714750"/>
            <wp:effectExtent l="0" t="0" r="0" b="0"/>
            <wp:docPr id="2" name="image1.png" descr="image1.png" titl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image1.png" title="image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053A">
      <w:pPr>
        <w:spacing w:after="200"/>
        <w:jc w:val="center"/>
      </w:pPr>
      <w:r>
        <w:rPr>
          <w:rFonts w:ascii="宋体" w:hAnsi="宋体" w:eastAsia="宋体" w:cs="宋体"/>
          <w:b/>
          <w:bCs/>
          <w:sz w:val="21"/>
          <w:szCs w:val="21"/>
        </w:rPr>
        <w:t>图 2 项目架构图</w:t>
      </w:r>
    </w:p>
    <w:p w14:paraId="743F7A3F">
      <w:pPr>
        <w:pStyle w:val="3"/>
        <w:spacing w:before="200" w:after="100"/>
      </w:pPr>
      <w:bookmarkStart w:id="25" w:name="_Toc16574"/>
      <w:r>
        <w:rPr>
          <w:rFonts w:ascii="黑体" w:hAnsi="黑体" w:eastAsia="黑体" w:cs="黑体"/>
          <w:b/>
          <w:bCs/>
          <w:sz w:val="28"/>
          <w:szCs w:val="28"/>
        </w:rPr>
        <w:t>4.3 与现有系统比较的优越性</w:t>
      </w:r>
      <w:bookmarkEnd w:id="25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518D66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CFBF6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对比维度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C2D72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现有系统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17C2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建议系统</w:t>
            </w:r>
          </w:p>
        </w:tc>
      </w:tr>
      <w:tr w14:paraId="07198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899B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服务可及性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78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受限于医院工作时间与地理位置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9AC9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7×24 小时在线，随时随地可用</w:t>
            </w:r>
          </w:p>
        </w:tc>
      </w:tr>
      <w:tr w14:paraId="16B9C5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295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个性化程度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23ED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依赖医生经验，难以大规模定制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660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基于大模型和知识库，千人千面</w:t>
            </w:r>
          </w:p>
        </w:tc>
      </w:tr>
      <w:tr w14:paraId="5AC1E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3E8A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数据处理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251C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人工记录，易出错、难追踪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0118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结构化存储，支持趋势分析</w:t>
            </w:r>
          </w:p>
        </w:tc>
      </w:tr>
      <w:tr w14:paraId="3E44F9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5FDA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响应速度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4E21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预约、排队、面诊周期长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5B1D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秒级风险预测与即时对话</w:t>
            </w:r>
          </w:p>
        </w:tc>
      </w:tr>
      <w:tr w14:paraId="78EEE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4FC2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成本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D34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人工成本高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0396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边际成本低，可服务大量用户</w:t>
            </w:r>
          </w:p>
        </w:tc>
      </w:tr>
    </w:tbl>
    <w:p w14:paraId="0C537A55">
      <w:pPr>
        <w:pStyle w:val="3"/>
        <w:spacing w:before="200" w:after="100"/>
      </w:pPr>
      <w:bookmarkStart w:id="26" w:name="_Toc7499"/>
      <w:r>
        <w:rPr>
          <w:rFonts w:ascii="黑体" w:hAnsi="黑体" w:eastAsia="黑体" w:cs="黑体"/>
          <w:b/>
          <w:bCs/>
          <w:sz w:val="28"/>
          <w:szCs w:val="28"/>
        </w:rPr>
        <w:t>4.4 采用建议系统可能带来的影响</w:t>
      </w:r>
      <w:bookmarkEnd w:id="26"/>
    </w:p>
    <w:p w14:paraId="1E15162D">
      <w:pPr>
        <w:pStyle w:val="4"/>
        <w:spacing w:before="160" w:after="80"/>
      </w:pPr>
      <w:bookmarkStart w:id="27" w:name="_Toc31142"/>
      <w:r>
        <w:rPr>
          <w:rFonts w:ascii="黑体" w:hAnsi="黑体" w:eastAsia="黑体" w:cs="黑体"/>
          <w:b/>
          <w:bCs/>
          <w:sz w:val="24"/>
          <w:szCs w:val="24"/>
        </w:rPr>
        <w:t>4.4.1 对设备的影响</w:t>
      </w:r>
      <w:bookmarkEnd w:id="27"/>
    </w:p>
    <w:p w14:paraId="5386E17E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建议系统主要运行在通用服务器和浏览器环境中，无需特殊硬件设备。对于已部署 Nginx、Docker 的服务器可直接复用。</w:t>
      </w:r>
    </w:p>
    <w:p w14:paraId="20CF4DA7">
      <w:pPr>
        <w:pStyle w:val="4"/>
        <w:spacing w:before="160" w:after="80"/>
      </w:pPr>
      <w:bookmarkStart w:id="28" w:name="_Toc29827"/>
      <w:r>
        <w:rPr>
          <w:rFonts w:ascii="黑体" w:hAnsi="黑体" w:eastAsia="黑体" w:cs="黑体"/>
          <w:b/>
          <w:bCs/>
          <w:sz w:val="24"/>
          <w:szCs w:val="24"/>
        </w:rPr>
        <w:t>4.4.2 对软件的影响</w:t>
      </w:r>
      <w:bookmarkEnd w:id="28"/>
    </w:p>
    <w:p w14:paraId="648ACFFA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需要在 Dify 平台中配置知识库、工作流与智能体；前端需集成 Fetch API 与后端接口对接；开发过程中需遵循 RESTful API 规范。</w:t>
      </w:r>
    </w:p>
    <w:p w14:paraId="604782C3">
      <w:pPr>
        <w:pStyle w:val="4"/>
        <w:spacing w:before="160" w:after="80"/>
      </w:pPr>
      <w:bookmarkStart w:id="29" w:name="_Toc25169"/>
      <w:r>
        <w:rPr>
          <w:rFonts w:ascii="黑体" w:hAnsi="黑体" w:eastAsia="黑体" w:cs="黑体"/>
          <w:b/>
          <w:bCs/>
          <w:sz w:val="24"/>
          <w:szCs w:val="24"/>
        </w:rPr>
        <w:t>4.4.3 对用户单位机构的影响</w:t>
      </w:r>
      <w:bookmarkEnd w:id="29"/>
    </w:p>
    <w:p w14:paraId="7940F0ED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对用户而言，只需具备基本的智能手机或电脑操作能力即可使用系统；对管理机构而言，可减少重复性健康宣教工作量，将更多精力投入到疑难病例诊疗中。</w:t>
      </w:r>
    </w:p>
    <w:p w14:paraId="4DCBAB13">
      <w:pPr>
        <w:pStyle w:val="4"/>
        <w:spacing w:before="160" w:after="80"/>
      </w:pPr>
      <w:bookmarkStart w:id="30" w:name="_Toc4901"/>
      <w:r>
        <w:rPr>
          <w:rFonts w:ascii="黑体" w:hAnsi="黑体" w:eastAsia="黑体" w:cs="黑体"/>
          <w:b/>
          <w:bCs/>
          <w:sz w:val="24"/>
          <w:szCs w:val="24"/>
        </w:rPr>
        <w:t>4.4.4 对系统运行过程的影响</w:t>
      </w:r>
      <w:bookmarkEnd w:id="30"/>
    </w:p>
    <w:p w14:paraId="00CFF47D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系统运行后，用户通过注册登录进入系统，填写或更新个人信息，进行风险预测或在线咨询；后台自动记录交互日志，支持数据查询与状态分析；运维人员负责知识库更新、模型参数调优及系统监控。</w:t>
      </w:r>
    </w:p>
    <w:p w14:paraId="4052934B">
      <w:pPr>
        <w:pStyle w:val="4"/>
        <w:spacing w:before="160" w:after="80"/>
      </w:pPr>
      <w:bookmarkStart w:id="31" w:name="_Toc4515"/>
      <w:r>
        <w:rPr>
          <w:rFonts w:ascii="黑体" w:hAnsi="黑体" w:eastAsia="黑体" w:cs="黑体"/>
          <w:b/>
          <w:bCs/>
          <w:sz w:val="24"/>
          <w:szCs w:val="24"/>
        </w:rPr>
        <w:t>4.4.5 对开发的影响</w:t>
      </w:r>
      <w:bookmarkEnd w:id="31"/>
    </w:p>
    <w:p w14:paraId="2E325829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开发团队需完成需求分析、UI 设计、前端编码、Dify 工作流搭建、知识库构建、接口联调及测试部署；需要准备健康数据样本用于模型测试与效果验证。</w:t>
      </w:r>
    </w:p>
    <w:p w14:paraId="0A7DC421">
      <w:pPr>
        <w:pStyle w:val="4"/>
        <w:spacing w:before="160" w:after="80"/>
      </w:pPr>
      <w:bookmarkStart w:id="32" w:name="_Toc9256"/>
      <w:r>
        <w:rPr>
          <w:rFonts w:ascii="黑体" w:hAnsi="黑体" w:eastAsia="黑体" w:cs="黑体"/>
          <w:b/>
          <w:bCs/>
          <w:sz w:val="24"/>
          <w:szCs w:val="24"/>
        </w:rPr>
        <w:t>4.4.6 对地点和设施的影响</w:t>
      </w:r>
      <w:bookmarkEnd w:id="32"/>
    </w:p>
    <w:p w14:paraId="26EB66BE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系统为纯软件应用，无需对建筑物进行改造，仅需常规的机房或云服务器资源。</w:t>
      </w:r>
    </w:p>
    <w:p w14:paraId="48707D67">
      <w:pPr>
        <w:pStyle w:val="4"/>
        <w:spacing w:before="160" w:after="80"/>
      </w:pPr>
      <w:bookmarkStart w:id="33" w:name="_Toc16335"/>
      <w:r>
        <w:rPr>
          <w:rFonts w:ascii="黑体" w:hAnsi="黑体" w:eastAsia="黑体" w:cs="黑体"/>
          <w:b/>
          <w:bCs/>
          <w:sz w:val="24"/>
          <w:szCs w:val="24"/>
        </w:rPr>
        <w:t>4.4.7 对经费开支的影响</w:t>
      </w:r>
      <w:bookmarkEnd w:id="33"/>
    </w:p>
    <w:p w14:paraId="13FF0D71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主要开支包括云服务器租赁、DeepSeek API 调用费用、Dify 平台部署与维护费用，以及开发过程中的人力成本。相较于传统人工服务，长期运行成本具有显著优势。</w:t>
      </w:r>
    </w:p>
    <w:p w14:paraId="5EAA18F3">
      <w:pPr>
        <w:pStyle w:val="3"/>
        <w:spacing w:before="200" w:after="100"/>
      </w:pPr>
      <w:bookmarkStart w:id="34" w:name="_Toc15267"/>
      <w:r>
        <w:rPr>
          <w:rFonts w:ascii="黑体" w:hAnsi="黑体" w:eastAsia="黑体" w:cs="黑体"/>
          <w:b/>
          <w:bCs/>
          <w:sz w:val="28"/>
          <w:szCs w:val="28"/>
        </w:rPr>
        <w:t>4.5 技术可行性评价</w:t>
      </w:r>
      <w:bookmarkEnd w:id="34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50"/>
        <w:gridCol w:w="4250"/>
      </w:tblGrid>
      <w:tr w14:paraId="75C397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DE411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评价项</w:t>
            </w:r>
          </w:p>
        </w:tc>
        <w:tc>
          <w:tcPr>
            <w:tcW w:w="4250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DED2A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结论</w:t>
            </w:r>
          </w:p>
        </w:tc>
      </w:tr>
      <w:tr w14:paraId="1CC55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FCCB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功能目标可达性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B76E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 DeepSeek 与 Dify 的技术能力，功能目标可实现</w:t>
            </w:r>
          </w:p>
        </w:tc>
      </w:tr>
      <w:tr w14:paraId="072C3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8E4F3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现有技术成熟度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3D5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HTML/CSS/JS、Dify、Docker、Nginx 均为成熟技术</w:t>
            </w:r>
          </w:p>
        </w:tc>
      </w:tr>
      <w:tr w14:paraId="5380A3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556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开发人员要求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C788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需具备前端开发、AI 平台配置及项目管理能力，实训团队可满足</w:t>
            </w:r>
          </w:p>
        </w:tc>
      </w:tr>
      <w:tr w14:paraId="583DFF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521C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开发周期</w:t>
            </w:r>
          </w:p>
        </w:tc>
        <w:tc>
          <w:tcPr>
            <w:tcW w:w="425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C536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在 12 天实训周期内可完成 MVP 开发与部署</w:t>
            </w:r>
          </w:p>
        </w:tc>
      </w:tr>
    </w:tbl>
    <w:p w14:paraId="1B5ACC5D">
      <w:pPr>
        <w:pStyle w:val="2"/>
        <w:spacing w:before="240" w:after="120"/>
      </w:pPr>
      <w:bookmarkStart w:id="35" w:name="_Toc17018"/>
      <w:r>
        <w:rPr>
          <w:rFonts w:ascii="黑体" w:hAnsi="黑体" w:eastAsia="黑体" w:cs="黑体"/>
          <w:b/>
          <w:bCs/>
          <w:sz w:val="32"/>
          <w:szCs w:val="32"/>
        </w:rPr>
        <w:t>5．所建议系统经济可行性分析</w:t>
      </w:r>
      <w:bookmarkEnd w:id="35"/>
    </w:p>
    <w:p w14:paraId="042FA88A">
      <w:pPr>
        <w:pStyle w:val="3"/>
        <w:spacing w:before="200" w:after="100"/>
      </w:pPr>
      <w:bookmarkStart w:id="36" w:name="_Toc19181"/>
      <w:r>
        <w:rPr>
          <w:rFonts w:ascii="黑体" w:hAnsi="黑体" w:eastAsia="黑体" w:cs="黑体"/>
          <w:b/>
          <w:bCs/>
          <w:sz w:val="28"/>
          <w:szCs w:val="28"/>
        </w:rPr>
        <w:t>5.1 支出</w:t>
      </w:r>
      <w:bookmarkEnd w:id="36"/>
    </w:p>
    <w:p w14:paraId="35BCB255">
      <w:pPr>
        <w:pStyle w:val="4"/>
        <w:spacing w:before="160" w:after="80"/>
      </w:pPr>
      <w:bookmarkStart w:id="37" w:name="_Toc30425"/>
      <w:r>
        <w:rPr>
          <w:rFonts w:ascii="黑体" w:hAnsi="黑体" w:eastAsia="黑体" w:cs="黑体"/>
          <w:b/>
          <w:bCs/>
          <w:sz w:val="24"/>
          <w:szCs w:val="24"/>
        </w:rPr>
        <w:t>5.1.1 基建投资</w:t>
      </w:r>
      <w:bookmarkEnd w:id="37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30668A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38620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CAF03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金额（元）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2C5E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16679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6E4E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云服务器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BAE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2000/年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E4A9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部署前端、Dify 及数据库</w:t>
            </w:r>
          </w:p>
        </w:tc>
      </w:tr>
      <w:tr w14:paraId="1899B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4ECF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域名与备案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1800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300/年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C3C3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系统访问域名</w:t>
            </w:r>
          </w:p>
        </w:tc>
      </w:tr>
      <w:tr w14:paraId="32A27F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72B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DeepSeek API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8959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1000/年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9003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按调用量计费，试运行期预估</w:t>
            </w:r>
          </w:p>
        </w:tc>
      </w:tr>
      <w:tr w14:paraId="55F8D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6F0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开发设备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642A0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已具备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438D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使用现有 PC 与网络环境</w:t>
            </w:r>
          </w:p>
        </w:tc>
      </w:tr>
    </w:tbl>
    <w:p w14:paraId="09C0E018">
      <w:pPr>
        <w:pStyle w:val="4"/>
        <w:spacing w:before="160" w:after="80"/>
      </w:pPr>
      <w:bookmarkStart w:id="38" w:name="_Toc3770"/>
      <w:r>
        <w:rPr>
          <w:rFonts w:ascii="黑体" w:hAnsi="黑体" w:eastAsia="黑体" w:cs="黑体"/>
          <w:b/>
          <w:bCs/>
          <w:sz w:val="24"/>
          <w:szCs w:val="24"/>
        </w:rPr>
        <w:t>5.1.2 其他一次性支出</w:t>
      </w:r>
      <w:bookmarkEnd w:id="38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48A28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A9BD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0222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金额（元）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75DD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6FEA9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D2C44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需求调研与设计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350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E36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由实训团队自行完成</w:t>
            </w:r>
          </w:p>
        </w:tc>
      </w:tr>
      <w:tr w14:paraId="06D2B8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7CAC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知识库资料整理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A4C5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B8C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基于公开医学指南与教材</w:t>
            </w:r>
          </w:p>
        </w:tc>
      </w:tr>
      <w:tr w14:paraId="1DD74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44D0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培训与学习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C1E1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24FC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依托课程与官方文档</w:t>
            </w:r>
          </w:p>
        </w:tc>
      </w:tr>
      <w:tr w14:paraId="5FD0F0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5C31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系统测试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D4EBA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25F6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使用开源 Playwright 框架</w:t>
            </w:r>
          </w:p>
        </w:tc>
      </w:tr>
    </w:tbl>
    <w:p w14:paraId="341824AE">
      <w:pPr>
        <w:pStyle w:val="4"/>
        <w:spacing w:before="160" w:after="80"/>
      </w:pPr>
      <w:bookmarkStart w:id="39" w:name="_Toc29147"/>
      <w:r>
        <w:rPr>
          <w:rFonts w:ascii="黑体" w:hAnsi="黑体" w:eastAsia="黑体" w:cs="黑体"/>
          <w:b/>
          <w:bCs/>
          <w:sz w:val="24"/>
          <w:szCs w:val="24"/>
        </w:rPr>
        <w:t>5.1.3 经常性支出</w:t>
      </w:r>
      <w:bookmarkEnd w:id="39"/>
    </w:p>
    <w:tbl>
      <w:tblPr>
        <w:tblStyle w:val="14"/>
        <w:tblW w:w="85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33"/>
        <w:gridCol w:w="2833"/>
        <w:gridCol w:w="2834"/>
      </w:tblGrid>
      <w:tr w14:paraId="459EB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DF47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项目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8FA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金额（元/年）</w:t>
            </w:r>
          </w:p>
        </w:tc>
        <w:tc>
          <w:tcPr>
            <w:tcW w:w="2833" w:type="dxa"/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36174">
            <w:pPr>
              <w:spacing w:before="40" w:after="40"/>
              <w:jc w:val="center"/>
            </w:pPr>
            <w:r>
              <w:rPr>
                <w:rFonts w:ascii="黑体" w:hAnsi="黑体" w:eastAsia="黑体" w:cs="黑体"/>
                <w:b/>
                <w:bCs/>
                <w:sz w:val="21"/>
                <w:szCs w:val="21"/>
              </w:rPr>
              <w:t>说明</w:t>
            </w:r>
          </w:p>
        </w:tc>
      </w:tr>
      <w:tr w14:paraId="23F692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F0FE7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服务器维护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06F6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1000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0F742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系统监控、备份、安全更新</w:t>
            </w:r>
          </w:p>
        </w:tc>
      </w:tr>
      <w:tr w14:paraId="09D529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2694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API 调用费用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97016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1000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580F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随用户量增长可调整</w:t>
            </w:r>
          </w:p>
        </w:tc>
      </w:tr>
      <w:tr w14:paraId="4E9225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54C4B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知识库更新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1BFE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0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CD87E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由运营团队维护</w:t>
            </w:r>
          </w:p>
        </w:tc>
      </w:tr>
      <w:tr w14:paraId="065D0D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D0CFF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总计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4176C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约 2000</w:t>
            </w:r>
          </w:p>
        </w:tc>
        <w:tc>
          <w:tcPr>
            <w:tcW w:w="283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6D59">
            <w:pPr>
              <w:spacing w:before="40" w:after="40"/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年度经常性支出</w:t>
            </w:r>
          </w:p>
        </w:tc>
      </w:tr>
    </w:tbl>
    <w:p w14:paraId="74C5F725">
      <w:pPr>
        <w:pStyle w:val="3"/>
        <w:spacing w:before="200" w:after="100"/>
      </w:pPr>
      <w:bookmarkStart w:id="40" w:name="_Toc3867"/>
      <w:r>
        <w:rPr>
          <w:rFonts w:ascii="黑体" w:hAnsi="黑体" w:eastAsia="黑体" w:cs="黑体"/>
          <w:b/>
          <w:bCs/>
          <w:sz w:val="28"/>
          <w:szCs w:val="28"/>
        </w:rPr>
        <w:t>5.2 效益</w:t>
      </w:r>
      <w:bookmarkEnd w:id="40"/>
    </w:p>
    <w:p w14:paraId="6FA2A39A">
      <w:pPr>
        <w:pStyle w:val="4"/>
        <w:spacing w:before="160" w:after="80"/>
      </w:pPr>
      <w:bookmarkStart w:id="41" w:name="_Toc20135"/>
      <w:r>
        <w:rPr>
          <w:rFonts w:ascii="黑体" w:hAnsi="黑体" w:eastAsia="黑体" w:cs="黑体"/>
          <w:b/>
          <w:bCs/>
          <w:sz w:val="24"/>
          <w:szCs w:val="24"/>
        </w:rPr>
        <w:t>5.2.1 一次性收益</w:t>
      </w:r>
      <w:bookmarkEnd w:id="41"/>
    </w:p>
    <w:p w14:paraId="69883A08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建议系统可作为教学实训成果、科研项目原型或企业数字化转型参考案例，具有展示与推广价值。</w:t>
      </w:r>
    </w:p>
    <w:p w14:paraId="35E17393">
      <w:pPr>
        <w:pStyle w:val="4"/>
        <w:spacing w:before="160" w:after="80"/>
      </w:pPr>
      <w:bookmarkStart w:id="42" w:name="_Toc18573"/>
      <w:r>
        <w:rPr>
          <w:rFonts w:ascii="黑体" w:hAnsi="黑体" w:eastAsia="黑体" w:cs="黑体"/>
          <w:b/>
          <w:bCs/>
          <w:sz w:val="24"/>
          <w:szCs w:val="24"/>
        </w:rPr>
        <w:t>5.2.2 经常性收益</w:t>
      </w:r>
      <w:bookmarkEnd w:id="42"/>
    </w:p>
    <w:p w14:paraId="75F21A20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系统长期运行可降低健康咨询与管理的人力成本；通过早期风险筛查与干预，可减少用户未来因并发症产生的高额医疗费用。</w:t>
      </w:r>
    </w:p>
    <w:p w14:paraId="0E3CC6FC">
      <w:pPr>
        <w:pStyle w:val="4"/>
        <w:spacing w:before="160" w:after="80"/>
      </w:pPr>
      <w:bookmarkStart w:id="43" w:name="_Toc30191"/>
      <w:r>
        <w:rPr>
          <w:rFonts w:ascii="黑体" w:hAnsi="黑体" w:eastAsia="黑体" w:cs="黑体"/>
          <w:b/>
          <w:bCs/>
          <w:sz w:val="24"/>
          <w:szCs w:val="24"/>
        </w:rPr>
        <w:t>5.2.3 不可定量收益</w:t>
      </w:r>
      <w:bookmarkEnd w:id="43"/>
    </w:p>
    <w:p w14:paraId="63C282A2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提升公众糖尿病防治意识，改善用户健康行为。</w:t>
      </w:r>
    </w:p>
    <w:p w14:paraId="63FF185D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缓解基层医疗资源不足带来的服务压力。</w:t>
      </w:r>
    </w:p>
    <w:p w14:paraId="1F756763">
      <w:pPr>
        <w:pStyle w:val="19"/>
        <w:numPr>
          <w:ilvl w:val="0"/>
          <w:numId w:val="1"/>
        </w:numPr>
        <w:spacing w:after="60" w:line="360" w:lineRule="auto"/>
      </w:pPr>
      <w:r>
        <w:rPr>
          <w:rFonts w:ascii="宋体" w:hAnsi="宋体" w:eastAsia="宋体" w:cs="宋体"/>
          <w:sz w:val="24"/>
          <w:szCs w:val="24"/>
        </w:rPr>
        <w:t>为后续慢性病管理智能体开发积累经验与数据资产。</w:t>
      </w:r>
    </w:p>
    <w:p w14:paraId="7196C288">
      <w:pPr>
        <w:pStyle w:val="3"/>
        <w:spacing w:before="200" w:after="100"/>
      </w:pPr>
      <w:bookmarkStart w:id="44" w:name="_Toc3709"/>
      <w:r>
        <w:rPr>
          <w:rFonts w:ascii="黑体" w:hAnsi="黑体" w:eastAsia="黑体" w:cs="黑体"/>
          <w:b/>
          <w:bCs/>
          <w:sz w:val="28"/>
          <w:szCs w:val="28"/>
        </w:rPr>
        <w:t>5.3 收益/投资比</w:t>
      </w:r>
      <w:bookmarkEnd w:id="44"/>
    </w:p>
    <w:p w14:paraId="551D7061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考虑到系统开发主要依托现有课程资源与开源工具，初期投资较低；而系统在健康宣教、风险筛查、慢病管理等方面的价值显著，收益/投资比预期较高。</w:t>
      </w:r>
    </w:p>
    <w:p w14:paraId="68B7A16F">
      <w:pPr>
        <w:pStyle w:val="3"/>
        <w:spacing w:before="200" w:after="100"/>
      </w:pPr>
      <w:bookmarkStart w:id="45" w:name="_Toc19684"/>
      <w:r>
        <w:rPr>
          <w:rFonts w:ascii="黑体" w:hAnsi="黑体" w:eastAsia="黑体" w:cs="黑体"/>
          <w:b/>
          <w:bCs/>
          <w:sz w:val="28"/>
          <w:szCs w:val="28"/>
        </w:rPr>
        <w:t>5.4 投资回收周期</w:t>
      </w:r>
      <w:bookmarkEnd w:id="45"/>
    </w:p>
    <w:p w14:paraId="5DF71E57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由于本项目为教学实训项目，直接经济回报并非首要目标。若用于实际运营，预计通过降低人力成本与提升服务效率，可在 1-2 年内实现成本回收。</w:t>
      </w:r>
    </w:p>
    <w:p w14:paraId="28DC2572">
      <w:pPr>
        <w:pStyle w:val="3"/>
        <w:spacing w:before="200" w:after="100"/>
      </w:pPr>
      <w:bookmarkStart w:id="46" w:name="_Toc31466"/>
      <w:r>
        <w:rPr>
          <w:rFonts w:ascii="黑体" w:hAnsi="黑体" w:eastAsia="黑体" w:cs="黑体"/>
          <w:b/>
          <w:bCs/>
          <w:sz w:val="28"/>
          <w:szCs w:val="28"/>
        </w:rPr>
        <w:t>5.5 敏感性分析</w:t>
      </w:r>
      <w:bookmarkEnd w:id="46"/>
    </w:p>
    <w:p w14:paraId="68B23F60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关键因素包括：用户增长速度、API 调用成本波动、知识库维护质量、模型效果稳定性等。若用户量快速增长，可通过缓存策略、模型选型优化等手段控制成本。</w:t>
      </w:r>
    </w:p>
    <w:p w14:paraId="233F074D">
      <w:pPr>
        <w:pStyle w:val="2"/>
        <w:spacing w:before="240" w:after="120"/>
      </w:pPr>
      <w:bookmarkStart w:id="47" w:name="_Toc28885"/>
      <w:r>
        <w:rPr>
          <w:rFonts w:ascii="黑体" w:hAnsi="黑体" w:eastAsia="黑体" w:cs="黑体"/>
          <w:b/>
          <w:bCs/>
          <w:sz w:val="32"/>
          <w:szCs w:val="32"/>
        </w:rPr>
        <w:t>6．社会因素可行性分析</w:t>
      </w:r>
      <w:bookmarkEnd w:id="47"/>
    </w:p>
    <w:p w14:paraId="1C540721">
      <w:pPr>
        <w:pStyle w:val="3"/>
        <w:spacing w:before="200" w:after="100"/>
      </w:pPr>
      <w:bookmarkStart w:id="48" w:name="_Toc7178"/>
      <w:r>
        <w:rPr>
          <w:rFonts w:ascii="黑体" w:hAnsi="黑体" w:eastAsia="黑体" w:cs="黑体"/>
          <w:b/>
          <w:bCs/>
          <w:sz w:val="28"/>
          <w:szCs w:val="28"/>
        </w:rPr>
        <w:t>6.1 法律因素</w:t>
      </w:r>
      <w:bookmarkEnd w:id="48"/>
    </w:p>
    <w:p w14:paraId="381BBC11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系统在收集和处理用户健康数据时，应遵守《个人信息保护法》《数据安全法》等法律法规，明确告知用户数据使用范围，并获得用户授权。系统提供的健康建议仅供参考，不可替代专业医疗诊断。</w:t>
      </w:r>
    </w:p>
    <w:p w14:paraId="0012C1F7">
      <w:pPr>
        <w:pStyle w:val="3"/>
        <w:spacing w:before="200" w:after="100"/>
      </w:pPr>
      <w:bookmarkStart w:id="49" w:name="_Toc3263"/>
      <w:r>
        <w:rPr>
          <w:rFonts w:ascii="黑体" w:hAnsi="黑体" w:eastAsia="黑体" w:cs="黑体"/>
          <w:b/>
          <w:bCs/>
          <w:sz w:val="28"/>
          <w:szCs w:val="28"/>
        </w:rPr>
        <w:t>6.2 用户使用可行性</w:t>
      </w:r>
      <w:bookmarkEnd w:id="49"/>
    </w:p>
    <w:p w14:paraId="204D30A4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目标用户为糖尿病患者、高危人群及健康管理关注者。系统界面设计遵循简洁直观原则，支持手机与电脑访问；通过自然语言对话降低使用门槛，用户无需具备专业医学知识即可使用。</w:t>
      </w:r>
    </w:p>
    <w:p w14:paraId="36634068">
      <w:pPr>
        <w:pStyle w:val="2"/>
        <w:spacing w:before="240" w:after="120"/>
      </w:pPr>
      <w:bookmarkStart w:id="50" w:name="_Toc22552"/>
      <w:r>
        <w:rPr>
          <w:rFonts w:ascii="黑体" w:hAnsi="黑体" w:eastAsia="黑体" w:cs="黑体"/>
          <w:b/>
          <w:bCs/>
          <w:sz w:val="32"/>
          <w:szCs w:val="32"/>
        </w:rPr>
        <w:t>7．其他可供选择的方案</w:t>
      </w:r>
      <w:bookmarkEnd w:id="50"/>
    </w:p>
    <w:p w14:paraId="279B8033">
      <w:pPr>
        <w:pStyle w:val="3"/>
        <w:spacing w:before="200" w:after="100"/>
      </w:pPr>
      <w:bookmarkStart w:id="51" w:name="_Toc82"/>
      <w:r>
        <w:rPr>
          <w:rFonts w:ascii="黑体" w:hAnsi="黑体" w:eastAsia="黑体" w:cs="黑体"/>
          <w:b/>
          <w:bCs/>
          <w:sz w:val="28"/>
          <w:szCs w:val="28"/>
        </w:rPr>
        <w:t>7.1 可选择的系统方案1：传统人工健康管理</w:t>
      </w:r>
      <w:bookmarkEnd w:id="51"/>
    </w:p>
    <w:p w14:paraId="78151D52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完全依赖医院医生和营养师提供健康管理服务。该方案专业性强，但成本高、覆盖面有限、服务周期长，难以满足大规模人群的健康管理需求，因此未被推荐。</w:t>
      </w:r>
    </w:p>
    <w:p w14:paraId="4FE6B1C0">
      <w:pPr>
        <w:pStyle w:val="3"/>
        <w:spacing w:before="200" w:after="100"/>
      </w:pPr>
      <w:bookmarkStart w:id="52" w:name="_Toc195"/>
      <w:r>
        <w:rPr>
          <w:rFonts w:ascii="黑体" w:hAnsi="黑体" w:eastAsia="黑体" w:cs="黑体"/>
          <w:b/>
          <w:bCs/>
          <w:sz w:val="28"/>
          <w:szCs w:val="28"/>
        </w:rPr>
        <w:t>7.2 可选择的系统方案2：购买现成 SaaS 健康平台</w:t>
      </w:r>
      <w:bookmarkEnd w:id="52"/>
    </w:p>
    <w:p w14:paraId="347D9B2C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直接采购市面上成熟的健康管理 SaaS 产品。该方案上线快，但定制化程度低、数据掌控力弱、长期订阅费用高，且难以结合 DeepSeek 与 Dify 进行个性化智能体开发，因此未被推荐。</w:t>
      </w:r>
    </w:p>
    <w:p w14:paraId="0BBACF81">
      <w:pPr>
        <w:pStyle w:val="2"/>
        <w:spacing w:before="240" w:after="120"/>
      </w:pPr>
      <w:bookmarkStart w:id="53" w:name="_Toc3135"/>
      <w:r>
        <w:rPr>
          <w:rFonts w:ascii="黑体" w:hAnsi="黑体" w:eastAsia="黑体" w:cs="黑体"/>
          <w:b/>
          <w:bCs/>
          <w:sz w:val="32"/>
          <w:szCs w:val="32"/>
        </w:rPr>
        <w:t>8．结论意见</w:t>
      </w:r>
      <w:bookmarkEnd w:id="53"/>
    </w:p>
    <w:p w14:paraId="57FB39DD">
      <w:pPr>
        <w:spacing w:after="80" w:line="360" w:lineRule="auto"/>
        <w:ind w:firstLine="480"/>
        <w:jc w:val="both"/>
      </w:pPr>
      <w:r>
        <w:rPr>
          <w:rFonts w:ascii="宋体" w:hAnsi="宋体" w:eastAsia="宋体" w:cs="宋体"/>
          <w:sz w:val="24"/>
          <w:szCs w:val="24"/>
        </w:rPr>
        <w:t>综合技术、经济、社会因素等多方面分析，“糖尿病预治智能助手”项目具备良好的可行性。项目所采用的技术栈成熟可靠，开发成本可控，社会价值显著，且能够在规定实训周期内完成开发并上线试运行。因此，建议可着手组织开发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8C1036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C4233D">
    <w:pPr>
      <w:jc w:val="center"/>
    </w:pPr>
    <w:r>
      <w:rPr>
        <w:rFonts w:ascii="宋体" w:hAnsi="宋体" w:eastAsia="宋体" w:cs="宋体"/>
        <w:sz w:val="18"/>
        <w:szCs w:val="18"/>
      </w:rPr>
      <w:t>糖尿病预治智能助手 - 可行性研究报告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7DC1460"/>
    <w:multiLevelType w:val="singleLevel"/>
    <w:tmpl w:val="E7DC1460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0734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黑体" w:hAnsi="黑体" w:eastAsia="黑体" w:cs="黑体"/>
      <w:b/>
      <w:bCs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黑体" w:hAnsi="黑体" w:eastAsia="黑体" w:cs="黑体"/>
      <w:b/>
      <w:bCs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黑体" w:hAnsi="黑体" w:eastAsia="黑体" w:cs="黑体"/>
      <w:b/>
      <w:bCs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6">
    <w:name w:val="endnote reference"/>
    <w:semiHidden/>
    <w:unhideWhenUsed/>
    <w:qFormat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20">
    <w:name w:val="Foot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4299</Words>
  <Characters>4806</Characters>
  <TotalTime>0</TotalTime>
  <ScaleCrop>false</ScaleCrop>
  <LinksUpToDate>false</LinksUpToDate>
  <CharactersWithSpaces>4970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2026-07-06T08:52:00Z</dcterms:created>
  <dc:creator>Un-named</dc:creator>
  <cp:lastModifiedBy>教父</cp:lastModifiedBy>
  <dcterms:modified xsi:type="dcterms:W3CDTF">2026-07-06T09:21:37Z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eyJoZGlkIjoiNjAwYzU4YjQ2YzQ2NzQzMjRkNjQ1NjkyOTM3ZjEyZTciLCJ1c2VySWQiOiIxNTU2ODUxNTgwIn0=</vt:lpwstr>
  </property>
  <property fmtid="{D5CDD505-2E9C-101B-9397-08002B2CF9AE}" pid="3" name="KSOProductBuildVer">
    <vt:lpwstr>2052-12.1.0.26895</vt:lpwstr>
  </property>
  <property fmtid="{D5CDD505-2E9C-101B-9397-08002B2CF9AE}" pid="4" name="ICV">
    <vt:lpwstr>FB3DA70A5D4C4E17A7EFAAA3F1A7B10A_12</vt:lpwstr>
  </property>
</Properties>
</file>