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E368B">
      <w:pPr>
        <w:spacing w:before="1200"/>
      </w:pPr>
      <w:bookmarkStart w:id="55" w:name="_GoBack"/>
      <w:bookmarkEnd w:id="55"/>
    </w:p>
    <w:p w14:paraId="2DF331EA">
      <w:pPr>
        <w:spacing w:after="600"/>
        <w:jc w:val="center"/>
      </w:pPr>
      <w:r>
        <w:rPr>
          <w:rFonts w:ascii="黑体" w:hAnsi="黑体" w:eastAsia="黑体" w:cs="黑体"/>
          <w:b/>
          <w:bCs/>
          <w:sz w:val="52"/>
          <w:szCs w:val="52"/>
        </w:rPr>
        <w:t>项目计划书</w:t>
      </w:r>
    </w:p>
    <w:p w14:paraId="023C932B">
      <w:pPr>
        <w:spacing w:after="1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糖尿病预治智能助手</w:t>
      </w:r>
    </w:p>
    <w:p w14:paraId="298CAB56">
      <w:pPr>
        <w:spacing w:before="800"/>
      </w:pP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2250D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8762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A7B1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内容</w:t>
            </w:r>
          </w:p>
        </w:tc>
      </w:tr>
      <w:tr w14:paraId="17225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7BF5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6989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糖尿病预治智能助手</w:t>
            </w:r>
          </w:p>
        </w:tc>
      </w:tr>
      <w:tr w14:paraId="39BAC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F116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英文/副标题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8B3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基于 DeepSeek 与 Dify 的智能体开发实训项目</w:t>
            </w:r>
          </w:p>
        </w:tc>
      </w:tr>
      <w:tr w14:paraId="785C5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3909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文件状态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7568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草稿</w:t>
            </w:r>
          </w:p>
        </w:tc>
      </w:tr>
      <w:tr w14:paraId="4E022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7896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文件标识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3693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QST-DIABETES-DOC-PP</w:t>
            </w:r>
          </w:p>
        </w:tc>
      </w:tr>
      <w:tr w14:paraId="7EE5E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BC96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当前版本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0FB6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1.0</w:t>
            </w:r>
          </w:p>
        </w:tc>
      </w:tr>
      <w:tr w14:paraId="64F68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02C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作    者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84E8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项目团队</w:t>
            </w:r>
          </w:p>
        </w:tc>
      </w:tr>
      <w:tr w14:paraId="2D361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757F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完成日期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9955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</w:tr>
      <w:tr w14:paraId="5B985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C102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批 准 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9F97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（待填写）</w:t>
            </w:r>
          </w:p>
        </w:tc>
      </w:tr>
      <w:tr w14:paraId="089B9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8B30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批准日期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8EF6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（待填写）</w:t>
            </w:r>
          </w:p>
        </w:tc>
      </w:tr>
    </w:tbl>
    <w:p w14:paraId="27651F06">
      <w:r>
        <w:br w:type="page"/>
      </w:r>
    </w:p>
    <w:p w14:paraId="7C9F6F38">
      <w:pPr>
        <w:spacing w:after="3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目录</w:t>
      </w:r>
    </w:p>
    <w:sdt>
      <w:sdtPr>
        <w:alias w:val="目录"/>
        <w:id w:val="147474354"/>
      </w:sdtPr>
      <w:sdtContent>
        <w:p w14:paraId="3AE02ED5">
          <w:pPr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254678C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_Toc15513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变更历史</w:t>
          </w:r>
          <w:r>
            <w:tab/>
          </w:r>
          <w:r>
            <w:fldChar w:fldCharType="begin"/>
          </w:r>
          <w:r>
            <w:instrText xml:space="preserve"> PAGEREF _Toc15513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D9E2A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_Toc19113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0. 文档介绍</w:t>
          </w:r>
          <w:r>
            <w:tab/>
          </w:r>
          <w:r>
            <w:fldChar w:fldCharType="begin"/>
          </w:r>
          <w:r>
            <w:instrText xml:space="preserve"> PAGEREF _Toc19113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1B9D92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_Toc18786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0.1 文档目的</w:t>
          </w:r>
          <w:r>
            <w:tab/>
          </w:r>
          <w:r>
            <w:fldChar w:fldCharType="begin"/>
          </w:r>
          <w:r>
            <w:instrText xml:space="preserve"> PAGEREF _Toc18786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3E1C8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_Toc19949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0.2 文档范围</w:t>
          </w:r>
          <w:r>
            <w:tab/>
          </w:r>
          <w:r>
            <w:fldChar w:fldCharType="begin"/>
          </w:r>
          <w:r>
            <w:instrText xml:space="preserve"> PAGEREF _Toc19949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CE17D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_Toc3029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0.3 读者对象</w:t>
          </w:r>
          <w:r>
            <w:tab/>
          </w:r>
          <w:r>
            <w:fldChar w:fldCharType="begin"/>
          </w:r>
          <w:r>
            <w:instrText xml:space="preserve"> PAGEREF _Toc3029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480E1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_Toc18034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0.4 参考文档</w:t>
          </w:r>
          <w:r>
            <w:tab/>
          </w:r>
          <w:r>
            <w:fldChar w:fldCharType="begin"/>
          </w:r>
          <w:r>
            <w:instrText xml:space="preserve"> PAGEREF _Toc18034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97203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_Toc29901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0.5 术语与缩写解释</w:t>
          </w:r>
          <w:r>
            <w:tab/>
          </w:r>
          <w:r>
            <w:fldChar w:fldCharType="begin"/>
          </w:r>
          <w:r>
            <w:instrText xml:space="preserve"> PAGEREF _Toc29901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8E3AF2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_Toc23962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_Toc23962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358BFB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_Toc23625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1.1 项目描述</w:t>
          </w:r>
          <w:r>
            <w:tab/>
          </w:r>
          <w:r>
            <w:fldChar w:fldCharType="begin"/>
          </w:r>
          <w:r>
            <w:instrText xml:space="preserve"> PAGEREF _Toc23625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C301F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_Toc14053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1.2 项目范围</w:t>
          </w:r>
          <w:r>
            <w:tab/>
          </w:r>
          <w:r>
            <w:fldChar w:fldCharType="begin"/>
          </w:r>
          <w:r>
            <w:instrText xml:space="preserve"> PAGEREF _Toc14053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F476F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_Toc23880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1.2.1 项目包括的内容</w:t>
          </w:r>
          <w:r>
            <w:tab/>
          </w:r>
          <w:r>
            <w:fldChar w:fldCharType="begin"/>
          </w:r>
          <w:r>
            <w:instrText xml:space="preserve"> PAGEREF _Toc23880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B25AAD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_Toc22765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1.2.2 项目不包括的内容</w:t>
          </w:r>
          <w:r>
            <w:tab/>
          </w:r>
          <w:r>
            <w:fldChar w:fldCharType="begin"/>
          </w:r>
          <w:r>
            <w:instrText xml:space="preserve"> PAGEREF _Toc22765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AF7FF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_Toc9535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1.3 假设</w:t>
          </w:r>
          <w:r>
            <w:tab/>
          </w:r>
          <w:r>
            <w:fldChar w:fldCharType="begin"/>
          </w:r>
          <w:r>
            <w:instrText xml:space="preserve"> PAGEREF _Toc9535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2DCC1B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_Toc8051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1.4 约束</w:t>
          </w:r>
          <w:r>
            <w:tab/>
          </w:r>
          <w:r>
            <w:fldChar w:fldCharType="begin"/>
          </w:r>
          <w:r>
            <w:instrText xml:space="preserve"> PAGEREF _Toc8051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1751700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_Toc31887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2. 项目组织</w:t>
          </w:r>
          <w:r>
            <w:tab/>
          </w:r>
          <w:r>
            <w:fldChar w:fldCharType="begin"/>
          </w:r>
          <w:r>
            <w:instrText xml:space="preserve"> PAGEREF _Toc31887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A25459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_Toc1671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2.1 项目结构</w:t>
          </w:r>
          <w:r>
            <w:tab/>
          </w:r>
          <w:r>
            <w:fldChar w:fldCharType="begin"/>
          </w:r>
          <w:r>
            <w:instrText xml:space="preserve"> PAGEREF _Toc1671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86A199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_Toc14183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2.2 外部干系人</w:t>
          </w:r>
          <w:r>
            <w:tab/>
          </w:r>
          <w:r>
            <w:fldChar w:fldCharType="begin"/>
          </w:r>
          <w:r>
            <w:instrText xml:space="preserve"> PAGEREF _Toc14183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D76E7D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_Toc24667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2.3 角色与职责</w:t>
          </w:r>
          <w:r>
            <w:tab/>
          </w:r>
          <w:r>
            <w:fldChar w:fldCharType="begin"/>
          </w:r>
          <w:r>
            <w:instrText xml:space="preserve"> PAGEREF _Toc24667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02806C2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_Toc31476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3. 项目启动</w:t>
          </w:r>
          <w:r>
            <w:tab/>
          </w:r>
          <w:r>
            <w:fldChar w:fldCharType="begin"/>
          </w:r>
          <w:r>
            <w:instrText xml:space="preserve"> PAGEREF _Toc31476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5FA5B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_Toc21054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3.1 项目生命周期</w:t>
          </w:r>
          <w:r>
            <w:tab/>
          </w:r>
          <w:r>
            <w:fldChar w:fldCharType="begin"/>
          </w:r>
          <w:r>
            <w:instrText xml:space="preserve"> PAGEREF _Toc21054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769600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_Toc24781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3.2 方法、工具和技术</w:t>
          </w:r>
          <w:r>
            <w:tab/>
          </w:r>
          <w:r>
            <w:fldChar w:fldCharType="begin"/>
          </w:r>
          <w:r>
            <w:instrText xml:space="preserve"> PAGEREF _Toc24781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68D2CC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_Toc6861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3.2.1 本项目开发过程</w:t>
          </w:r>
          <w:r>
            <w:tab/>
          </w:r>
          <w:r>
            <w:fldChar w:fldCharType="begin"/>
          </w:r>
          <w:r>
            <w:instrText xml:space="preserve"> PAGEREF _Toc6861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0B4066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_Toc4855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3.2.2 本项目技术栈与工具</w:t>
          </w:r>
          <w:r>
            <w:tab/>
          </w:r>
          <w:r>
            <w:fldChar w:fldCharType="begin"/>
          </w:r>
          <w:r>
            <w:instrText xml:space="preserve"> PAGEREF _Toc4855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83D8EC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_Toc29285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3.2.3 知识库构建与调用</w:t>
          </w:r>
          <w:r>
            <w:tab/>
          </w:r>
          <w:r>
            <w:fldChar w:fldCharType="begin"/>
          </w:r>
          <w:r>
            <w:instrText xml:space="preserve"> PAGEREF _Toc29285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2F8722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_Toc3335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3.2.4 工作流编排</w:t>
          </w:r>
          <w:r>
            <w:tab/>
          </w:r>
          <w:r>
            <w:fldChar w:fldCharType="begin"/>
          </w:r>
          <w:r>
            <w:instrText xml:space="preserve"> PAGEREF _Toc3335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FE49C3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_Toc8271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3.2.5 智能体搭建</w:t>
          </w:r>
          <w:r>
            <w:tab/>
          </w:r>
          <w:r>
            <w:fldChar w:fldCharType="begin"/>
          </w:r>
          <w:r>
            <w:instrText xml:space="preserve"> PAGEREF _Toc8271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476673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_Toc21272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3.2.6 本项目功能结构</w:t>
          </w:r>
          <w:r>
            <w:tab/>
          </w:r>
          <w:r>
            <w:fldChar w:fldCharType="begin"/>
          </w:r>
          <w:r>
            <w:instrText xml:space="preserve"> PAGEREF _Toc21272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81F7FC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_Toc29261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3.3 评估方法和估算</w:t>
          </w:r>
          <w:r>
            <w:tab/>
          </w:r>
          <w:r>
            <w:fldChar w:fldCharType="begin"/>
          </w:r>
          <w:r>
            <w:instrText xml:space="preserve"> PAGEREF _Toc29261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ABEF3A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_Toc13747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3.4 工作活动</w:t>
          </w:r>
          <w:r>
            <w:tab/>
          </w:r>
          <w:r>
            <w:fldChar w:fldCharType="begin"/>
          </w:r>
          <w:r>
            <w:instrText xml:space="preserve"> PAGEREF _Toc13747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E48512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_Toc29025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3.5 进度安排</w:t>
          </w:r>
          <w:r>
            <w:tab/>
          </w:r>
          <w:r>
            <w:fldChar w:fldCharType="begin"/>
          </w:r>
          <w:r>
            <w:instrText xml:space="preserve"> PAGEREF _Toc29025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DC48B2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_Toc12777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3.6 资源的配置</w:t>
          </w:r>
          <w:r>
            <w:tab/>
          </w:r>
          <w:r>
            <w:fldChar w:fldCharType="begin"/>
          </w:r>
          <w:r>
            <w:instrText xml:space="preserve"> PAGEREF _Toc12777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0BF713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_Toc17931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3.7 预算分配</w:t>
          </w:r>
          <w:r>
            <w:tab/>
          </w:r>
          <w:r>
            <w:fldChar w:fldCharType="begin"/>
          </w:r>
          <w:r>
            <w:instrText xml:space="preserve"> PAGEREF _Toc17931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2A57093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_Toc14113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4. 跟踪及控制</w:t>
          </w:r>
          <w:r>
            <w:tab/>
          </w:r>
          <w:r>
            <w:fldChar w:fldCharType="begin"/>
          </w:r>
          <w:r>
            <w:instrText xml:space="preserve"> PAGEREF _Toc14113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0491F4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_Toc3932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4.1 变更管理</w:t>
          </w:r>
          <w:r>
            <w:tab/>
          </w:r>
          <w:r>
            <w:fldChar w:fldCharType="begin"/>
          </w:r>
          <w:r>
            <w:instrText xml:space="preserve"> PAGEREF _Toc3932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BE08B0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_Toc10343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4.2 问题管理</w:t>
          </w:r>
          <w:r>
            <w:tab/>
          </w:r>
          <w:r>
            <w:fldChar w:fldCharType="begin"/>
          </w:r>
          <w:r>
            <w:instrText xml:space="preserve"> PAGEREF _Toc10343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86D94F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_Toc19324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4.3 状态报告</w:t>
          </w:r>
          <w:r>
            <w:tab/>
          </w:r>
          <w:r>
            <w:fldChar w:fldCharType="begin"/>
          </w:r>
          <w:r>
            <w:instrText xml:space="preserve"> PAGEREF _Toc19324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9CD443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_Toc23884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5. 质量管理</w:t>
          </w:r>
          <w:r>
            <w:tab/>
          </w:r>
          <w:r>
            <w:fldChar w:fldCharType="begin"/>
          </w:r>
          <w:r>
            <w:instrText xml:space="preserve"> PAGEREF _Toc23884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4748AE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_Toc9632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5.1 质量管理方法</w:t>
          </w:r>
          <w:r>
            <w:tab/>
          </w:r>
          <w:r>
            <w:fldChar w:fldCharType="begin"/>
          </w:r>
          <w:r>
            <w:instrText xml:space="preserve"> PAGEREF _Toc9632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9F7DFA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_Toc18058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5.2 质量目标和标准的确认</w:t>
          </w:r>
          <w:r>
            <w:tab/>
          </w:r>
          <w:r>
            <w:fldChar w:fldCharType="begin"/>
          </w:r>
          <w:r>
            <w:instrText xml:space="preserve"> PAGEREF _Toc18058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456FDD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_Toc23687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5.3 项目评审和评估</w:t>
          </w:r>
          <w:r>
            <w:tab/>
          </w:r>
          <w:r>
            <w:fldChar w:fldCharType="begin"/>
          </w:r>
          <w:r>
            <w:instrText xml:space="preserve"> PAGEREF _Toc23687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9D1802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_Toc15631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5.4 可交付物的验收标准</w:t>
          </w:r>
          <w:r>
            <w:tab/>
          </w:r>
          <w:r>
            <w:fldChar w:fldCharType="begin"/>
          </w:r>
          <w:r>
            <w:instrText xml:space="preserve"> PAGEREF _Toc15631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612B09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_Toc19950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6. 配置管理</w:t>
          </w:r>
          <w:r>
            <w:tab/>
          </w:r>
          <w:r>
            <w:fldChar w:fldCharType="begin"/>
          </w:r>
          <w:r>
            <w:instrText xml:space="preserve"> PAGEREF _Toc19950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A0B5DB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_Toc30235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6.1 配置管理方法</w:t>
          </w:r>
          <w:r>
            <w:tab/>
          </w:r>
          <w:r>
            <w:fldChar w:fldCharType="begin"/>
          </w:r>
          <w:r>
            <w:instrText xml:space="preserve"> PAGEREF _Toc30235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DACCBB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_Toc22178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6.2 配置管理工具、环境和基础设施</w:t>
          </w:r>
          <w:r>
            <w:tab/>
          </w:r>
          <w:r>
            <w:fldChar w:fldCharType="begin"/>
          </w:r>
          <w:r>
            <w:instrText xml:space="preserve"> PAGEREF _Toc22178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98E1E8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_Toc11669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6.3 配置识别</w:t>
          </w:r>
          <w:r>
            <w:tab/>
          </w:r>
          <w:r>
            <w:fldChar w:fldCharType="begin"/>
          </w:r>
          <w:r>
            <w:instrText xml:space="preserve"> PAGEREF _Toc11669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565A70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_Toc29715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6.4 配置控制</w:t>
          </w:r>
          <w:r>
            <w:tab/>
          </w:r>
          <w:r>
            <w:fldChar w:fldCharType="begin"/>
          </w:r>
          <w:r>
            <w:instrText xml:space="preserve"> PAGEREF _Toc29715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ACD427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_Toc24518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7. 风险管理</w:t>
          </w:r>
          <w:r>
            <w:tab/>
          </w:r>
          <w:r>
            <w:fldChar w:fldCharType="begin"/>
          </w:r>
          <w:r>
            <w:instrText xml:space="preserve"> PAGEREF _Toc24518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2B8F5D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_Toc15256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7.1 风险管理的方法</w:t>
          </w:r>
          <w:r>
            <w:tab/>
          </w:r>
          <w:r>
            <w:fldChar w:fldCharType="begin"/>
          </w:r>
          <w:r>
            <w:instrText xml:space="preserve"> PAGEREF _Toc15256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12F026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_Toc30226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7.2 风险评估</w:t>
          </w:r>
          <w:r>
            <w:tab/>
          </w:r>
          <w:r>
            <w:fldChar w:fldCharType="begin"/>
          </w:r>
          <w:r>
            <w:instrText xml:space="preserve"> PAGEREF _Toc30226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E6D9C1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_Toc7367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7.2.1 风险识别</w:t>
          </w:r>
          <w:r>
            <w:tab/>
          </w:r>
          <w:r>
            <w:fldChar w:fldCharType="begin"/>
          </w:r>
          <w:r>
            <w:instrText xml:space="preserve"> PAGEREF _Toc7367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5A0762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_Toc9840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7.2.2 风险分析</w:t>
          </w:r>
          <w:r>
            <w:tab/>
          </w:r>
          <w:r>
            <w:fldChar w:fldCharType="begin"/>
          </w:r>
          <w:r>
            <w:instrText xml:space="preserve"> PAGEREF _Toc9840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20E12F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_Toc20361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7.2.3 风险响应策略</w:t>
          </w:r>
          <w:r>
            <w:tab/>
          </w:r>
          <w:r>
            <w:fldChar w:fldCharType="begin"/>
          </w:r>
          <w:r>
            <w:instrText xml:space="preserve"> PAGEREF _Toc20361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056604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_Toc944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7.3 风险的跟踪和控制</w:t>
          </w:r>
          <w:r>
            <w:tab/>
          </w:r>
          <w:r>
            <w:fldChar w:fldCharType="begin"/>
          </w:r>
          <w:r>
            <w:instrText xml:space="preserve"> PAGEREF _Toc944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3B02BB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_Toc5076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7.3.1 风险跟踪</w:t>
          </w:r>
          <w:r>
            <w:tab/>
          </w:r>
          <w:r>
            <w:fldChar w:fldCharType="begin"/>
          </w:r>
          <w:r>
            <w:instrText xml:space="preserve"> PAGEREF _Toc5076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36FCD6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_Toc27851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7.3.2 风险报告</w:t>
          </w:r>
          <w:r>
            <w:tab/>
          </w:r>
          <w:r>
            <w:fldChar w:fldCharType="begin"/>
          </w:r>
          <w:r>
            <w:instrText xml:space="preserve"> PAGEREF _Toc27851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5EF1095">
          <w:r>
            <w:fldChar w:fldCharType="end"/>
          </w:r>
        </w:p>
      </w:sdtContent>
    </w:sdt>
    <w:p w14:paraId="1B4962E8">
      <w:r>
        <w:br w:type="page"/>
      </w:r>
    </w:p>
    <w:p w14:paraId="32734333">
      <w:pPr>
        <w:pStyle w:val="2"/>
        <w:spacing w:before="240" w:after="120"/>
      </w:pPr>
      <w:bookmarkStart w:id="0" w:name="_Toc15513"/>
      <w:r>
        <w:rPr>
          <w:rFonts w:ascii="黑体" w:hAnsi="黑体" w:eastAsia="黑体" w:cs="黑体"/>
          <w:b/>
          <w:bCs/>
          <w:sz w:val="32"/>
          <w:szCs w:val="32"/>
        </w:rPr>
        <w:t>变更历史</w:t>
      </w:r>
      <w:bookmarkEnd w:id="0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700"/>
        <w:gridCol w:w="1700"/>
        <w:gridCol w:w="1700"/>
        <w:gridCol w:w="1700"/>
      </w:tblGrid>
      <w:tr w14:paraId="70818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79E6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5C15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F441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变更日期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0483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变更内容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EDFF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变更者</w:t>
            </w:r>
          </w:p>
        </w:tc>
      </w:tr>
      <w:tr w14:paraId="6E945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1FE3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60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40F3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D7E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创建《糖尿病预治智能助手-项目计划书》初稿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6BBA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项目团队</w:t>
            </w:r>
          </w:p>
        </w:tc>
      </w:tr>
      <w:tr w14:paraId="1FE4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7DB2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DFDA2">
            <w:pPr>
              <w:spacing w:before="40" w:after="40"/>
              <w:jc w:val="center"/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A22D3">
            <w:pPr>
              <w:spacing w:before="40" w:after="40"/>
              <w:jc w:val="center"/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D441B">
            <w:pPr>
              <w:spacing w:before="40" w:after="40"/>
              <w:jc w:val="center"/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B72EE">
            <w:pPr>
              <w:spacing w:before="40" w:after="40"/>
              <w:jc w:val="center"/>
            </w:pPr>
          </w:p>
        </w:tc>
      </w:tr>
      <w:tr w14:paraId="46364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447C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5942C">
            <w:pPr>
              <w:spacing w:before="40" w:after="40"/>
              <w:jc w:val="center"/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A300B">
            <w:pPr>
              <w:spacing w:before="40" w:after="40"/>
              <w:jc w:val="center"/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7181E">
            <w:pPr>
              <w:spacing w:before="40" w:after="40"/>
              <w:jc w:val="center"/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433D">
            <w:pPr>
              <w:spacing w:before="40" w:after="40"/>
              <w:jc w:val="center"/>
            </w:pPr>
          </w:p>
        </w:tc>
      </w:tr>
      <w:tr w14:paraId="35716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71DD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51C52">
            <w:pPr>
              <w:spacing w:before="40" w:after="40"/>
              <w:jc w:val="center"/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8CDE6">
            <w:pPr>
              <w:spacing w:before="40" w:after="40"/>
              <w:jc w:val="center"/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2C0BE">
            <w:pPr>
              <w:spacing w:before="40" w:after="40"/>
              <w:jc w:val="center"/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6EEF">
            <w:pPr>
              <w:spacing w:before="40" w:after="40"/>
              <w:jc w:val="center"/>
            </w:pPr>
          </w:p>
        </w:tc>
      </w:tr>
      <w:tr w14:paraId="1E5A6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E138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09050">
            <w:pPr>
              <w:spacing w:before="40" w:after="40"/>
              <w:jc w:val="center"/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0158E">
            <w:pPr>
              <w:spacing w:before="40" w:after="40"/>
              <w:jc w:val="center"/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8EF3F">
            <w:pPr>
              <w:spacing w:before="40" w:after="40"/>
              <w:jc w:val="center"/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A5B88">
            <w:pPr>
              <w:spacing w:before="40" w:after="40"/>
              <w:jc w:val="center"/>
            </w:pPr>
          </w:p>
        </w:tc>
      </w:tr>
    </w:tbl>
    <w:p w14:paraId="617E9DDD">
      <w:pPr>
        <w:pStyle w:val="2"/>
        <w:spacing w:before="240" w:after="120"/>
      </w:pPr>
      <w:bookmarkStart w:id="1" w:name="_Toc19113"/>
      <w:r>
        <w:rPr>
          <w:rFonts w:ascii="黑体" w:hAnsi="黑体" w:eastAsia="黑体" w:cs="黑体"/>
          <w:b/>
          <w:bCs/>
          <w:sz w:val="32"/>
          <w:szCs w:val="32"/>
        </w:rPr>
        <w:t>0. 文档介绍</w:t>
      </w:r>
      <w:bookmarkEnd w:id="1"/>
    </w:p>
    <w:p w14:paraId="2E433B7D">
      <w:pPr>
        <w:pStyle w:val="3"/>
        <w:spacing w:before="200" w:after="100"/>
      </w:pPr>
      <w:bookmarkStart w:id="2" w:name="_Toc18786"/>
      <w:r>
        <w:rPr>
          <w:rFonts w:ascii="黑体" w:hAnsi="黑体" w:eastAsia="黑体" w:cs="黑体"/>
          <w:b/>
          <w:bCs/>
          <w:sz w:val="28"/>
          <w:szCs w:val="28"/>
        </w:rPr>
        <w:t>0.1 文档目的</w:t>
      </w:r>
      <w:bookmarkEnd w:id="2"/>
    </w:p>
    <w:p w14:paraId="2D65D6C9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文档为《糖尿病预治智能助手》项目的项目计划书，用于明确项目的总体目标、范围、组织结构、进度安排、资源配置、质量管理与风险控制策略。本文档将作为项目团队、指导教师、评审专家及外部干系人进行项目跟踪、控制和验收的重要依据。</w:t>
      </w:r>
    </w:p>
    <w:p w14:paraId="3460D71B">
      <w:pPr>
        <w:pStyle w:val="3"/>
        <w:spacing w:before="200" w:after="100"/>
      </w:pPr>
      <w:bookmarkStart w:id="3" w:name="_Toc19949"/>
      <w:r>
        <w:rPr>
          <w:rFonts w:ascii="黑体" w:hAnsi="黑体" w:eastAsia="黑体" w:cs="黑体"/>
          <w:b/>
          <w:bCs/>
          <w:sz w:val="28"/>
          <w:szCs w:val="28"/>
        </w:rPr>
        <w:t>0.2 文档范围</w:t>
      </w:r>
      <w:bookmarkEnd w:id="3"/>
    </w:p>
    <w:p w14:paraId="67A5FCC0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文档覆盖项目全生命周期管理，主要内容包括：项目概述（项目描述、范围、假设与约束）、项目组织结构与角色职责、项目启动（生命周期、方法工具、估算、WBS、进度、资源、预算）、项目跟踪与控制（变更管理、问题管理、状态报告）、质量管理、配置管理以及风险管理。</w:t>
      </w:r>
    </w:p>
    <w:p w14:paraId="2A3EB01A">
      <w:pPr>
        <w:pStyle w:val="3"/>
        <w:spacing w:before="200" w:after="100"/>
      </w:pPr>
      <w:bookmarkStart w:id="4" w:name="_Toc3029"/>
      <w:r>
        <w:rPr>
          <w:rFonts w:ascii="黑体" w:hAnsi="黑体" w:eastAsia="黑体" w:cs="黑体"/>
          <w:b/>
          <w:bCs/>
          <w:sz w:val="28"/>
          <w:szCs w:val="28"/>
        </w:rPr>
        <w:t>0.3 读者对象</w:t>
      </w:r>
      <w:bookmarkEnd w:id="4"/>
    </w:p>
    <w:p w14:paraId="733EB61B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本文档的主要读者对象包括：</w:t>
      </w:r>
    </w:p>
    <w:p w14:paraId="32650A79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项目经理：负责项目整体规划、跟踪与控制。</w:t>
      </w:r>
    </w:p>
    <w:p w14:paraId="5F374F40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项目团队成员：包括前端开发、服务端开发、测试、UI设计等角色。</w:t>
      </w:r>
    </w:p>
    <w:p w14:paraId="0A36741F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指导教师/评审专家：用于评审项目计划与阶段成果。</w:t>
      </w:r>
    </w:p>
    <w:p w14:paraId="124F95AC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客户/用户代表：了解项目交付范围与验收标准。</w:t>
      </w:r>
    </w:p>
    <w:p w14:paraId="6293519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质量保障人员：依据本文档开展质量审计与评审活动。</w:t>
      </w:r>
    </w:p>
    <w:p w14:paraId="20B03A25">
      <w:pPr>
        <w:pStyle w:val="3"/>
        <w:spacing w:before="200" w:after="100"/>
      </w:pPr>
      <w:bookmarkStart w:id="5" w:name="_Toc18034"/>
      <w:r>
        <w:rPr>
          <w:rFonts w:ascii="黑体" w:hAnsi="黑体" w:eastAsia="黑体" w:cs="黑体"/>
          <w:b/>
          <w:bCs/>
          <w:sz w:val="28"/>
          <w:szCs w:val="28"/>
        </w:rPr>
        <w:t>0.4 参考文档</w:t>
      </w:r>
      <w:bookmarkEnd w:id="5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2A815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DFCA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标识符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9B8E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作者/来源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1466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文献名称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42C5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日期</w:t>
            </w:r>
          </w:p>
        </w:tc>
      </w:tr>
      <w:tr w14:paraId="0FB2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07C4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PRJ-DESC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5D4D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项目团队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4E6D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《糖尿病预治智能助手项目说明》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AB3E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</w:t>
            </w:r>
          </w:p>
        </w:tc>
      </w:tr>
      <w:tr w14:paraId="6BD99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0030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PRJ-RS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4776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项目团队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CFFF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《软件需求规格说明书》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F50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</w:t>
            </w:r>
          </w:p>
        </w:tc>
      </w:tr>
      <w:tr w14:paraId="6ED54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DC33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PRJ-HLD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21CB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项目团队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D9BF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《概要设计说明书》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8E8A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</w:t>
            </w:r>
          </w:p>
        </w:tc>
      </w:tr>
      <w:tr w14:paraId="5865F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CD17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DIFY-DOC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15F2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LangGenius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BB7F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《Dify 官方文档》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7A7A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2025</w:t>
            </w:r>
          </w:p>
        </w:tc>
      </w:tr>
      <w:tr w14:paraId="15C43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67F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DS-API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EA78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253A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《DeepSeek API 文档》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DBD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2025</w:t>
            </w:r>
          </w:p>
        </w:tc>
      </w:tr>
      <w:tr w14:paraId="2EAA6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03DE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CODEARTS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03EB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华为云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11DE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《CodeArts 用户指南》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06F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2025</w:t>
            </w:r>
          </w:p>
        </w:tc>
      </w:tr>
    </w:tbl>
    <w:p w14:paraId="057690F2">
      <w:pPr>
        <w:pStyle w:val="3"/>
        <w:spacing w:before="200" w:after="100"/>
      </w:pPr>
      <w:bookmarkStart w:id="6" w:name="_Toc29901"/>
      <w:r>
        <w:rPr>
          <w:rFonts w:ascii="黑体" w:hAnsi="黑体" w:eastAsia="黑体" w:cs="黑体"/>
          <w:b/>
          <w:bCs/>
          <w:sz w:val="28"/>
          <w:szCs w:val="28"/>
        </w:rPr>
        <w:t>0.5 术语与缩写解释</w:t>
      </w:r>
      <w:bookmarkEnd w:id="6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100"/>
      </w:tblGrid>
      <w:tr w14:paraId="08E8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0526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缩写/术语</w:t>
            </w:r>
          </w:p>
        </w:tc>
        <w:tc>
          <w:tcPr>
            <w:tcW w:w="61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7A23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解释</w:t>
            </w:r>
          </w:p>
        </w:tc>
      </w:tr>
      <w:tr w14:paraId="29986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AF4D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4EDA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国产大语言模型，提供自然语言理解与生成能力，本项目使用 DeepSeek-R1 与 DeepSeek-V3。</w:t>
            </w:r>
          </w:p>
        </w:tc>
      </w:tr>
      <w:tr w14:paraId="20F1E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3962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Dify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0599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开源 LLM 应用开发平台，用于搭建知识库、工作流与智能体。</w:t>
            </w:r>
          </w:p>
        </w:tc>
      </w:tr>
      <w:tr w14:paraId="52F10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A5B4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AI Agent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1D46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人工智能智能体，能够基于大模型与工具自主完成特定任务。</w:t>
            </w:r>
          </w:p>
        </w:tc>
      </w:tr>
      <w:tr w14:paraId="6A94C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829F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知识库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0067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存储糖尿病领域专业知识与文档，供大模型检索增强生成使用。</w:t>
            </w:r>
          </w:p>
        </w:tc>
      </w:tr>
      <w:tr w14:paraId="30DA9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8614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工作流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F1C1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在 Dify 中编排的自动化业务流程，用于实现风险预测、方案定制等复杂逻辑。</w:t>
            </w:r>
          </w:p>
        </w:tc>
      </w:tr>
      <w:tr w14:paraId="5B05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201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DevOps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5941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开发运维一体化思想，强调持续集成、持续交付与项目管理协同。</w:t>
            </w:r>
          </w:p>
        </w:tc>
      </w:tr>
      <w:tr w14:paraId="72DA1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07C4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CodeArts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D03F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华为云软件开发生产线，用于代码托管、项目规划与流水线管理。</w:t>
            </w:r>
          </w:p>
        </w:tc>
      </w:tr>
      <w:tr w14:paraId="67445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5E39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Cline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5434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VSCode 插件，可集成 DeepSeek 实现辅助编程与代码生成。</w:t>
            </w:r>
          </w:p>
        </w:tc>
      </w:tr>
      <w:tr w14:paraId="4C0F8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2179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MasterGo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9BC7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AI 智能产品设计平台，用于辅助 UI 界面设计。</w:t>
            </w:r>
          </w:p>
        </w:tc>
      </w:tr>
      <w:tr w14:paraId="1521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7EFA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Playwright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A6AF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自动化测试框架，用于生成和运行 Web 端到端测试。</w:t>
            </w:r>
          </w:p>
        </w:tc>
      </w:tr>
    </w:tbl>
    <w:p w14:paraId="331D6530">
      <w:pPr>
        <w:pStyle w:val="2"/>
        <w:spacing w:before="240" w:after="120"/>
      </w:pPr>
      <w:bookmarkStart w:id="7" w:name="_Toc23962"/>
      <w:r>
        <w:rPr>
          <w:rFonts w:ascii="黑体" w:hAnsi="黑体" w:eastAsia="黑体" w:cs="黑体"/>
          <w:b/>
          <w:bCs/>
          <w:sz w:val="32"/>
          <w:szCs w:val="32"/>
        </w:rPr>
        <w:t>1. 项目概述</w:t>
      </w:r>
      <w:bookmarkEnd w:id="7"/>
    </w:p>
    <w:p w14:paraId="07F81F59">
      <w:pPr>
        <w:pStyle w:val="3"/>
        <w:spacing w:before="200" w:after="100"/>
      </w:pPr>
      <w:bookmarkStart w:id="8" w:name="_Toc23625"/>
      <w:r>
        <w:rPr>
          <w:rFonts w:ascii="黑体" w:hAnsi="黑体" w:eastAsia="黑体" w:cs="黑体"/>
          <w:b/>
          <w:bCs/>
          <w:sz w:val="28"/>
          <w:szCs w:val="28"/>
        </w:rPr>
        <w:t>1.1 项目描述</w:t>
      </w:r>
      <w:bookmarkEnd w:id="8"/>
    </w:p>
    <w:p w14:paraId="74477A50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糖尿病已成为全球性健康难题。随着高糖高脂饮食、运动量减少及人口老龄化加剧，糖尿病发病率持续攀升，并伴随心血管疾病、肾病、失明等严重并发症，给患者家庭和社会带来沉重负担。</w:t>
      </w:r>
    </w:p>
    <w:p w14:paraId="41F24267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“糖尿病预治智能助手”项目创新性地融合 DeepSeek 大模型与 Dify 智能体开发技术，构建一站式的糖尿病预治管理体系。系统深度对接专业医学知识库，运用 DeepSeek 对用户健康数据进行全方位分析，精准预测糖尿病风险；同时根据用户的具体健康状况与糖尿病类型，量身定制个性化防治方案，包括科学饮食计划与针对性运动指导；并设置名医在线交流界面，让用户随时随地获得专业、权威的医疗建议。</w:t>
      </w:r>
    </w:p>
    <w:p w14:paraId="6ABEAD4B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本项目同时作为 Web 前端设计与开发课程的配套实训项目，贯穿 HTML5、CSS3、ES6 等前端技术，融入 AI 智能编程、DevOps 与项目管理实践，培养学生的工程化思维与综合项目能力。</w:t>
      </w:r>
    </w:p>
    <w:p w14:paraId="57CE8988">
      <w:pPr>
        <w:pStyle w:val="3"/>
        <w:spacing w:before="200" w:after="100"/>
      </w:pPr>
      <w:bookmarkStart w:id="9" w:name="_Toc14053"/>
      <w:r>
        <w:rPr>
          <w:rFonts w:ascii="黑体" w:hAnsi="黑体" w:eastAsia="黑体" w:cs="黑体"/>
          <w:b/>
          <w:bCs/>
          <w:sz w:val="28"/>
          <w:szCs w:val="28"/>
        </w:rPr>
        <w:t>1.2 项目范围</w:t>
      </w:r>
      <w:bookmarkEnd w:id="9"/>
    </w:p>
    <w:p w14:paraId="345C4B31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本项目范围界定如下：</w:t>
      </w:r>
    </w:p>
    <w:p w14:paraId="79D3E0FF">
      <w:pPr>
        <w:pStyle w:val="4"/>
        <w:spacing w:before="160" w:after="80"/>
      </w:pPr>
      <w:bookmarkStart w:id="10" w:name="_Toc23880"/>
      <w:r>
        <w:rPr>
          <w:rFonts w:ascii="黑体" w:hAnsi="黑体" w:eastAsia="黑体" w:cs="黑体"/>
          <w:b/>
          <w:bCs/>
          <w:sz w:val="24"/>
          <w:szCs w:val="24"/>
        </w:rPr>
        <w:t>1.2.1 项目包括的内容</w:t>
      </w:r>
      <w:bookmarkEnd w:id="10"/>
    </w:p>
    <w:p w14:paraId="338257CD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前端应用：首页、健康数据录入、糖尿病风险预测、个性化生活方案、名医在线咨询、健康资讯、生活打卡、AI 助手对话、个人中心等模块。</w:t>
      </w:r>
    </w:p>
    <w:p w14:paraId="23AC85B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服务端能力：基于 Dify 搭建知识库、工作流与智能体，调用 DeepSeek 大模型完成风险预测、方案定制与自然语言交互。</w:t>
      </w:r>
    </w:p>
    <w:p w14:paraId="5D97A010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项目管理产物：《项目计划书》《需求规格说明书》《概要设计说明书》《测试报告》《项目总结报告》等。</w:t>
      </w:r>
    </w:p>
    <w:p w14:paraId="20E6138E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部署与交付：基于 Nginx 与华为云 CodeArts 完成 Web 项目部署、自动化测试与项目验收。</w:t>
      </w:r>
    </w:p>
    <w:p w14:paraId="33682B14">
      <w:pPr>
        <w:pStyle w:val="4"/>
        <w:spacing w:before="160" w:after="80"/>
      </w:pPr>
      <w:bookmarkStart w:id="11" w:name="_Toc22765"/>
      <w:r>
        <w:rPr>
          <w:rFonts w:ascii="黑体" w:hAnsi="黑体" w:eastAsia="黑体" w:cs="黑体"/>
          <w:b/>
          <w:bCs/>
          <w:sz w:val="24"/>
          <w:szCs w:val="24"/>
        </w:rPr>
        <w:t>1.2.2 项目不包括的内容</w:t>
      </w:r>
      <w:bookmarkEnd w:id="11"/>
    </w:p>
    <w:p w14:paraId="298C6A9F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本项目不提供线下诊疗服务，不替代专业医生的诊断与处方。</w:t>
      </w:r>
    </w:p>
    <w:p w14:paraId="13FE835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本项目不涵盖血糖仪、可穿戴设备等硬件数据采集功能。</w:t>
      </w:r>
    </w:p>
    <w:p w14:paraId="7ABFBD8D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本项目不承担用户因使用建议而产生的医疗责任，所有建议仅供参考。</w:t>
      </w:r>
    </w:p>
    <w:p w14:paraId="4E8A170B">
      <w:pPr>
        <w:spacing w:before="120" w:after="80"/>
        <w:jc w:val="center"/>
      </w:pPr>
      <w:r>
        <w:drawing>
          <wp:inline distT="0" distB="0" distL="0" distR="0">
            <wp:extent cx="3810000" cy="4676775"/>
            <wp:effectExtent l="0" t="0" r="0" b="0"/>
            <wp:docPr id="1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image3.png" title="imag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5779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3  项目用例图</w:t>
      </w:r>
    </w:p>
    <w:p w14:paraId="3D75802D">
      <w:pPr>
        <w:pStyle w:val="3"/>
        <w:spacing w:before="200" w:after="100"/>
      </w:pPr>
      <w:bookmarkStart w:id="12" w:name="_Toc9535"/>
      <w:r>
        <w:rPr>
          <w:rFonts w:ascii="黑体" w:hAnsi="黑体" w:eastAsia="黑体" w:cs="黑体"/>
          <w:b/>
          <w:bCs/>
          <w:sz w:val="28"/>
          <w:szCs w:val="28"/>
        </w:rPr>
        <w:t>1.3 假设</w:t>
      </w:r>
      <w:bookmarkEnd w:id="12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7700"/>
      </w:tblGrid>
      <w:tr w14:paraId="4DBF2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7974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7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9A0F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假设</w:t>
            </w:r>
          </w:p>
        </w:tc>
      </w:tr>
      <w:tr w14:paraId="60FCF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93F0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DB7E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本项目的开发、使用符合国家法律法规及医疗健康数据相关规定。</w:t>
            </w:r>
          </w:p>
        </w:tc>
      </w:tr>
      <w:tr w14:paraId="2331F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DC5C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B890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项目团队具备 HTML/CSS/JS、Dify、DeepSeek API 使用等所需技术能力。</w:t>
            </w:r>
          </w:p>
        </w:tc>
      </w:tr>
      <w:tr w14:paraId="11347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CC7D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0E9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指导教师、客户及用户代表能够及时配合需求确认与阶段评审。</w:t>
            </w:r>
          </w:p>
        </w:tc>
      </w:tr>
      <w:tr w14:paraId="48CAB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B66E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F6E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API、Dify 平台及华为云 CodeArts 服务在项目实施期间保持稳定可用。</w:t>
            </w:r>
          </w:p>
        </w:tc>
      </w:tr>
      <w:tr w14:paraId="0F478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704E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DF11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项目团队成员能够按计划投入时间，关键岗位不出现长期缺席。</w:t>
            </w:r>
          </w:p>
        </w:tc>
      </w:tr>
    </w:tbl>
    <w:p w14:paraId="218A0D16">
      <w:pPr>
        <w:pStyle w:val="3"/>
        <w:spacing w:before="200" w:after="100"/>
      </w:pPr>
      <w:bookmarkStart w:id="13" w:name="_Toc8051"/>
      <w:r>
        <w:rPr>
          <w:rFonts w:ascii="黑体" w:hAnsi="黑体" w:eastAsia="黑体" w:cs="黑体"/>
          <w:b/>
          <w:bCs/>
          <w:sz w:val="28"/>
          <w:szCs w:val="28"/>
        </w:rPr>
        <w:t>1.4 约束</w:t>
      </w:r>
      <w:bookmarkEnd w:id="13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7700"/>
      </w:tblGrid>
      <w:tr w14:paraId="0A11C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08E5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7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5ECE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约束</w:t>
            </w:r>
          </w:p>
        </w:tc>
      </w:tr>
      <w:tr w14:paraId="3225A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2D29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3737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项目总周期为 12 天，不晚于第 12 天完成项目答辩与总结。</w:t>
            </w:r>
          </w:p>
        </w:tc>
      </w:tr>
      <w:tr w14:paraId="6E6DC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335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95EE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项目团队规模约为 5–7 人，需覆盖前端、服务端、测试、UI 设计等角色。</w:t>
            </w:r>
          </w:p>
        </w:tc>
      </w:tr>
      <w:tr w14:paraId="4F002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B12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90BF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开发环境为 Windows 10/11 操作系统，使用 VSCode、Dify、CodeArts 等工具。</w:t>
            </w:r>
          </w:p>
        </w:tc>
      </w:tr>
      <w:tr w14:paraId="4D54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A046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078D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项目预算受限于实训经费，需合理控制 API 调用、云资源与工具授权成本。</w:t>
            </w:r>
          </w:p>
        </w:tc>
      </w:tr>
      <w:tr w14:paraId="187D4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D1D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C75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项目范围以《软件需求规格说明书》为准，重大变更需走变更控制流程。</w:t>
            </w:r>
          </w:p>
        </w:tc>
      </w:tr>
    </w:tbl>
    <w:p w14:paraId="3C58799D">
      <w:pPr>
        <w:pStyle w:val="2"/>
        <w:spacing w:before="240" w:after="120"/>
      </w:pPr>
      <w:bookmarkStart w:id="14" w:name="_Toc31887"/>
      <w:r>
        <w:rPr>
          <w:rFonts w:ascii="黑体" w:hAnsi="黑体" w:eastAsia="黑体" w:cs="黑体"/>
          <w:b/>
          <w:bCs/>
          <w:sz w:val="32"/>
          <w:szCs w:val="32"/>
        </w:rPr>
        <w:t>2. 项目组织</w:t>
      </w:r>
      <w:bookmarkEnd w:id="14"/>
    </w:p>
    <w:p w14:paraId="63FBECB6">
      <w:pPr>
        <w:pStyle w:val="3"/>
        <w:spacing w:before="200" w:after="100"/>
      </w:pPr>
      <w:bookmarkStart w:id="15" w:name="_Toc1671"/>
      <w:r>
        <w:rPr>
          <w:rFonts w:ascii="黑体" w:hAnsi="黑体" w:eastAsia="黑体" w:cs="黑体"/>
          <w:b/>
          <w:bCs/>
          <w:sz w:val="28"/>
          <w:szCs w:val="28"/>
        </w:rPr>
        <w:t>2.1 项目结构</w:t>
      </w:r>
      <w:bookmarkEnd w:id="15"/>
    </w:p>
    <w:p w14:paraId="72258E0C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本项目采用扁平化项目组织结构，由指导教师担任项目发起人，项目经理负责整体协调，下设产品、前端开发、服务端/Dify 开发、测试、UI 设计及医疗顾问等角色。各角色协同工作，定期汇报进展。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100"/>
      </w:tblGrid>
      <w:tr w14:paraId="1C9F6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8DDA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层级</w:t>
            </w:r>
          </w:p>
        </w:tc>
        <w:tc>
          <w:tcPr>
            <w:tcW w:w="61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4091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角色/组织</w:t>
            </w:r>
          </w:p>
        </w:tc>
      </w:tr>
      <w:tr w14:paraId="24F52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F216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项目发起人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26CE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指导教师 / 校方</w:t>
            </w:r>
          </w:p>
        </w:tc>
      </w:tr>
      <w:tr w14:paraId="48708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309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项目管理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1BD6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项目经理</w:t>
            </w:r>
          </w:p>
        </w:tc>
      </w:tr>
      <w:tr w14:paraId="7F7EE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6280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产品与设计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D24B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产品经理、UI 设计师、医疗顾问</w:t>
            </w:r>
          </w:p>
        </w:tc>
      </w:tr>
      <w:tr w14:paraId="08BC2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0287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技术开发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2E83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前端开发工程师、服务端/Dify 开发工程师</w:t>
            </w:r>
          </w:p>
        </w:tc>
      </w:tr>
      <w:tr w14:paraId="52191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366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质量保障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A9F6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测试工程师、质量保障人员</w:t>
            </w:r>
          </w:p>
        </w:tc>
      </w:tr>
    </w:tbl>
    <w:p w14:paraId="6402409B">
      <w:pPr>
        <w:pStyle w:val="3"/>
        <w:spacing w:before="200" w:after="100"/>
      </w:pPr>
      <w:bookmarkStart w:id="16" w:name="_Toc14183"/>
      <w:r>
        <w:rPr>
          <w:rFonts w:ascii="黑体" w:hAnsi="黑体" w:eastAsia="黑体" w:cs="黑体"/>
          <w:b/>
          <w:bCs/>
          <w:sz w:val="28"/>
          <w:szCs w:val="28"/>
        </w:rPr>
        <w:t>2.2 外部干系人</w:t>
      </w:r>
      <w:bookmarkEnd w:id="16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000"/>
      </w:tblGrid>
      <w:tr w14:paraId="64C04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54BE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利益干系人代表</w:t>
            </w:r>
          </w:p>
        </w:tc>
        <w:tc>
          <w:tcPr>
            <w:tcW w:w="35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7E54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职责</w:t>
            </w:r>
          </w:p>
        </w:tc>
        <w:tc>
          <w:tcPr>
            <w:tcW w:w="30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58AE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利益</w:t>
            </w:r>
          </w:p>
        </w:tc>
      </w:tr>
      <w:tr w14:paraId="4AEFB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76C2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指导教师/校方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31D6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项目发起与监督，提供资源与评审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C8E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保障教学质量与项目目标达成</w:t>
            </w:r>
          </w:p>
        </w:tc>
      </w:tr>
      <w:tr w14:paraId="2784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2940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客户/业务方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A72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确认需求、参与评审、验收交付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7935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获得符合预期的糖尿病预治管理平台</w:t>
            </w:r>
          </w:p>
        </w:tc>
      </w:tr>
      <w:tr w14:paraId="5F445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2122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用户代表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D8A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参与原型体验、反馈使用问题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E28B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获得易用、准确、可信赖的健康助手</w:t>
            </w:r>
          </w:p>
        </w:tc>
      </w:tr>
      <w:tr w14:paraId="6A437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F24E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医疗顾问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129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审核医学知识库与建议内容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6FEA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确保建议科学、合规、安全</w:t>
            </w:r>
          </w:p>
        </w:tc>
      </w:tr>
      <w:tr w14:paraId="2AACE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F1D3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平台服务商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C4A4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提供 DeepSeek、Dify、CodeArts 服务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2D09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保障服务稳定与技术支持</w:t>
            </w:r>
          </w:p>
        </w:tc>
      </w:tr>
    </w:tbl>
    <w:p w14:paraId="7D40F4C6">
      <w:pPr>
        <w:pStyle w:val="3"/>
        <w:spacing w:before="200" w:after="100"/>
      </w:pPr>
      <w:bookmarkStart w:id="17" w:name="_Toc24667"/>
      <w:r>
        <w:rPr>
          <w:rFonts w:ascii="黑体" w:hAnsi="黑体" w:eastAsia="黑体" w:cs="黑体"/>
          <w:b/>
          <w:bCs/>
          <w:sz w:val="28"/>
          <w:szCs w:val="28"/>
        </w:rPr>
        <w:t>2.3 角色与职责</w:t>
      </w:r>
      <w:bookmarkEnd w:id="17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3F8EA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4FC2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63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E64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职责</w:t>
            </w:r>
          </w:p>
        </w:tc>
      </w:tr>
      <w:tr w14:paraId="75630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E2B3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项目经理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E74C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负责项目范围、进度、成本、质量的综合把控；制定项目计划与阶段目标；组织项目会议；协调内外部资源；跟踪风险与问题；向指导教师与客户汇报。</w:t>
            </w:r>
          </w:p>
        </w:tc>
      </w:tr>
      <w:tr w14:paraId="4F06D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6589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产品经理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D860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负责需求调研、需求分析与优先级排序；编写《需求规格说明书》；设计产品原型与用户体验流程；协调客户与用户代表反馈。</w:t>
            </w:r>
          </w:p>
        </w:tc>
      </w:tr>
      <w:tr w14:paraId="1057D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2DED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UI 设计师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2496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使用 MasterGo 完成界面原型与高保真设计；制定设计规范；配合前端开发还原界面效果。</w:t>
            </w:r>
          </w:p>
        </w:tc>
      </w:tr>
      <w:tr w14:paraId="34800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29B3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前端开发工程师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25E5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负责 HTML/CSS/JavaScript 页面开发；实现用户交互、数据展示与后端接口对接；保证页面兼容性与响应式体验。</w:t>
            </w:r>
          </w:p>
        </w:tc>
      </w:tr>
      <w:tr w14:paraId="7A87C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4265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服务端/Dify 开发工程师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5E70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负责 Dify 知识库搭建、工作流编排与智能体开发；完成 DeepSeek API 对接；实现服务端接口与业务逻辑。</w:t>
            </w:r>
          </w:p>
        </w:tc>
      </w:tr>
      <w:tr w14:paraId="5D99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6978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测试工程师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6956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编写测试用例与 Playwright 自动化测试脚本；执行功能测试、回归测试；记录并跟踪缺陷。</w:t>
            </w:r>
          </w:p>
        </w:tc>
      </w:tr>
      <w:tr w14:paraId="31E9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2098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质量保障人员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A4BA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制定质量计划；开展过程审计与产品审计；跟踪不符合项；组织评审活动。</w:t>
            </w:r>
          </w:p>
        </w:tc>
      </w:tr>
      <w:tr w14:paraId="506E0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34AB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医疗顾问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1FDC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提供糖尿病领域专业知识；审核知识库内容与健康建议；评估风险预测模型的医学合理性。</w:t>
            </w:r>
          </w:p>
        </w:tc>
      </w:tr>
    </w:tbl>
    <w:p w14:paraId="66103567">
      <w:pPr>
        <w:pStyle w:val="2"/>
        <w:spacing w:before="240" w:after="120"/>
      </w:pPr>
      <w:bookmarkStart w:id="18" w:name="_Toc31476"/>
      <w:r>
        <w:rPr>
          <w:rFonts w:ascii="黑体" w:hAnsi="黑体" w:eastAsia="黑体" w:cs="黑体"/>
          <w:b/>
          <w:bCs/>
          <w:sz w:val="32"/>
          <w:szCs w:val="32"/>
        </w:rPr>
        <w:t>3. 项目启动</w:t>
      </w:r>
      <w:bookmarkEnd w:id="18"/>
    </w:p>
    <w:p w14:paraId="1AC3096D">
      <w:pPr>
        <w:pStyle w:val="3"/>
        <w:spacing w:before="200" w:after="100"/>
      </w:pPr>
      <w:bookmarkStart w:id="19" w:name="_Toc21054"/>
      <w:r>
        <w:rPr>
          <w:rFonts w:ascii="黑体" w:hAnsi="黑体" w:eastAsia="黑体" w:cs="黑体"/>
          <w:b/>
          <w:bCs/>
          <w:sz w:val="28"/>
          <w:szCs w:val="28"/>
        </w:rPr>
        <w:t>3.1 项目生命周期</w:t>
      </w:r>
      <w:bookmarkEnd w:id="19"/>
    </w:p>
    <w:p w14:paraId="4A25F7A7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本项目采用“瀑布模型 + 迭代增量”的混合生命周期。项目整体按阶段推进，每个阶段设置明确的里程碑与评审点；在开发阶段内部采用短周期迭代，及时反馈与调整。项目生命周期分为五个阶段：项目准备、项目启动、项目开发、项目测试、项目验收，总周期 12 天。</w:t>
      </w:r>
    </w:p>
    <w:p w14:paraId="16D295C9">
      <w:pPr>
        <w:spacing w:before="120" w:after="80"/>
        <w:jc w:val="center"/>
      </w:pPr>
      <w:r>
        <w:drawing>
          <wp:inline distT="0" distB="0" distL="0" distR="0">
            <wp:extent cx="4953000" cy="3514725"/>
            <wp:effectExtent l="0" t="0" r="0" b="0"/>
            <wp:docPr id="2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image1.png" titl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6491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1  项目架构图</w:t>
      </w:r>
    </w:p>
    <w:p w14:paraId="35B8DAB9">
      <w:pPr>
        <w:pStyle w:val="3"/>
        <w:spacing w:before="200" w:after="100"/>
      </w:pPr>
      <w:bookmarkStart w:id="20" w:name="_Toc24781"/>
      <w:r>
        <w:rPr>
          <w:rFonts w:ascii="黑体" w:hAnsi="黑体" w:eastAsia="黑体" w:cs="黑体"/>
          <w:b/>
          <w:bCs/>
          <w:sz w:val="28"/>
          <w:szCs w:val="28"/>
        </w:rPr>
        <w:t>3.2 方法、工具和技术</w:t>
      </w:r>
      <w:bookmarkEnd w:id="20"/>
    </w:p>
    <w:p w14:paraId="686365C3">
      <w:pPr>
        <w:pStyle w:val="4"/>
        <w:spacing w:before="160" w:after="80"/>
      </w:pPr>
      <w:bookmarkStart w:id="21" w:name="_Toc6861"/>
      <w:r>
        <w:rPr>
          <w:rFonts w:ascii="黑体" w:hAnsi="黑体" w:eastAsia="黑体" w:cs="黑体"/>
          <w:b/>
          <w:bCs/>
          <w:sz w:val="24"/>
          <w:szCs w:val="24"/>
        </w:rPr>
        <w:t>3.2.1 本项目开发过程</w:t>
      </w:r>
      <w:bookmarkEnd w:id="21"/>
    </w:p>
    <w:p w14:paraId="1B6D6AE0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本项目开发过程涵盖项目管理、项目研发与机构支持三个方面，关键过程如下：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000"/>
      </w:tblGrid>
      <w:tr w14:paraId="01115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708A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过程类别</w:t>
            </w:r>
          </w:p>
        </w:tc>
        <w:tc>
          <w:tcPr>
            <w:tcW w:w="60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C539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关键过程</w:t>
            </w:r>
          </w:p>
        </w:tc>
      </w:tr>
      <w:tr w14:paraId="39185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B435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项目管理过程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7F2A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立项管理、项目规划、项目监控、风险管理、需求管理</w:t>
            </w:r>
          </w:p>
        </w:tc>
      </w:tr>
      <w:tr w14:paraId="39A61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5C58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项目研发过程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EA17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需求开发、体系结构设计、详细设计、实现与测试、系统测试、客户验收</w:t>
            </w:r>
          </w:p>
        </w:tc>
      </w:tr>
      <w:tr w14:paraId="24726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B8D5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机构支持过程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348C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评审、配置管理、质量保证、服务与维护</w:t>
            </w:r>
          </w:p>
        </w:tc>
      </w:tr>
    </w:tbl>
    <w:p w14:paraId="36FD35DD">
      <w:pPr>
        <w:pStyle w:val="4"/>
        <w:spacing w:before="160" w:after="80"/>
      </w:pPr>
      <w:bookmarkStart w:id="22" w:name="_Toc4855"/>
      <w:r>
        <w:rPr>
          <w:rFonts w:ascii="黑体" w:hAnsi="黑体" w:eastAsia="黑体" w:cs="黑体"/>
          <w:b/>
          <w:bCs/>
          <w:sz w:val="24"/>
          <w:szCs w:val="24"/>
        </w:rPr>
        <w:t>3.2.2 本项目技术栈与工具</w:t>
      </w:r>
      <w:bookmarkEnd w:id="22"/>
    </w:p>
    <w:p w14:paraId="059C6B69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项目采用以下技术、工具与平台：</w:t>
      </w:r>
    </w:p>
    <w:p w14:paraId="7A287C8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前端技术：HTML5、CSS3、JavaScript（ES6）。</w:t>
      </w:r>
    </w:p>
    <w:p w14:paraId="6435783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服务端与智能体：Dify 平台、DeepSeek-R1、DeepSeek-V3。</w:t>
      </w:r>
    </w:p>
    <w:p w14:paraId="3761B287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开发工具：Visual Studio Code、Cline 插件、MasterGo。</w:t>
      </w:r>
    </w:p>
    <w:p w14:paraId="548ABE98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项目管理与 DevOps：华为云 CodeArts、Git 版本控制。</w:t>
      </w:r>
    </w:p>
    <w:p w14:paraId="3F62041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测试工具：Playwright 自动化测试框架。</w:t>
      </w:r>
    </w:p>
    <w:p w14:paraId="6C3AEA93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部署环境：Nginx、云沙箱。</w:t>
      </w:r>
    </w:p>
    <w:p w14:paraId="4DC1DA86">
      <w:pPr>
        <w:pStyle w:val="4"/>
        <w:spacing w:before="160" w:after="80"/>
      </w:pPr>
      <w:bookmarkStart w:id="23" w:name="_Toc29285"/>
      <w:r>
        <w:rPr>
          <w:rFonts w:ascii="黑体" w:hAnsi="黑体" w:eastAsia="黑体" w:cs="黑体"/>
          <w:b/>
          <w:bCs/>
          <w:sz w:val="24"/>
          <w:szCs w:val="24"/>
        </w:rPr>
        <w:t>3.2.3 知识库构建与调用</w:t>
      </w:r>
      <w:bookmarkEnd w:id="23"/>
    </w:p>
    <w:p w14:paraId="16D03947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系统基于糖尿病领域医学资料构建 Dify 知识库，支持文档切片、向量化检索与检索增强生成（RAG）。大模型在回答用户健康咨询时，优先从知识库中检索权威内容，提升回答的准确性与可解释性。</w:t>
      </w:r>
    </w:p>
    <w:p w14:paraId="50636F3C">
      <w:pPr>
        <w:spacing w:before="120" w:after="80"/>
        <w:jc w:val="center"/>
      </w:pPr>
      <w:r>
        <w:drawing>
          <wp:inline distT="0" distB="0" distL="0" distR="0">
            <wp:extent cx="4572000" cy="3248025"/>
            <wp:effectExtent l="0" t="0" r="0" b="0"/>
            <wp:docPr id="3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 descr="image4.png" title="image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84CE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4  知识库构建和调用</w:t>
      </w:r>
    </w:p>
    <w:p w14:paraId="06A55336">
      <w:pPr>
        <w:pStyle w:val="4"/>
        <w:spacing w:before="160" w:after="80"/>
      </w:pPr>
      <w:bookmarkStart w:id="24" w:name="_Toc3335"/>
      <w:r>
        <w:rPr>
          <w:rFonts w:ascii="黑体" w:hAnsi="黑体" w:eastAsia="黑体" w:cs="黑体"/>
          <w:b/>
          <w:bCs/>
          <w:sz w:val="24"/>
          <w:szCs w:val="24"/>
        </w:rPr>
        <w:t>3.2.4 工作流编排</w:t>
      </w:r>
      <w:bookmarkEnd w:id="24"/>
    </w:p>
    <w:p w14:paraId="7192CFB7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项目使用 Dify 工作流编排糖尿病风险预测、个性化方案定制等复杂业务逻辑。通过条件分支、变量传递与模型节点组合，实现从用户输入到结果输出的自动化处理流程。</w:t>
      </w:r>
    </w:p>
    <w:p w14:paraId="23C48E7E">
      <w:pPr>
        <w:spacing w:before="120" w:after="80"/>
        <w:jc w:val="center"/>
      </w:pPr>
      <w:r>
        <w:drawing>
          <wp:inline distT="0" distB="0" distL="0" distR="0">
            <wp:extent cx="4953000" cy="847725"/>
            <wp:effectExtent l="0" t="0" r="0" b="0"/>
            <wp:docPr id="4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 descr="image5.png" title="image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758E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5  工作流构建</w:t>
      </w:r>
    </w:p>
    <w:p w14:paraId="44A3CAFA">
      <w:pPr>
        <w:pStyle w:val="4"/>
        <w:spacing w:before="160" w:after="80"/>
      </w:pPr>
      <w:bookmarkStart w:id="25" w:name="_Toc8271"/>
      <w:r>
        <w:rPr>
          <w:rFonts w:ascii="黑体" w:hAnsi="黑体" w:eastAsia="黑体" w:cs="黑体"/>
          <w:b/>
          <w:bCs/>
          <w:sz w:val="24"/>
          <w:szCs w:val="24"/>
        </w:rPr>
        <w:t>3.2.5 智能体搭建</w:t>
      </w:r>
      <w:bookmarkEnd w:id="25"/>
    </w:p>
    <w:p w14:paraId="40BE598E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在 Dify 平台中，项目将知识库、工作流、大模型与前端界面整合为可对外服务的 AI 智能体，完成健康数据录入、风险预测、方案推荐与名医对话等核心能力。</w:t>
      </w:r>
    </w:p>
    <w:p w14:paraId="7C7B000A">
      <w:pPr>
        <w:spacing w:before="120" w:after="80"/>
        <w:jc w:val="center"/>
      </w:pPr>
      <w:r>
        <w:drawing>
          <wp:inline distT="0" distB="0" distL="0" distR="0">
            <wp:extent cx="4762500" cy="2590800"/>
            <wp:effectExtent l="0" t="0" r="0" b="0"/>
            <wp:docPr id="5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 descr="image6.png" title="image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9C30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6  智能体搭建</w:t>
      </w:r>
    </w:p>
    <w:p w14:paraId="281A2F99">
      <w:pPr>
        <w:pStyle w:val="4"/>
        <w:spacing w:before="160" w:after="80"/>
      </w:pPr>
      <w:bookmarkStart w:id="26" w:name="_Toc21272"/>
      <w:r>
        <w:rPr>
          <w:rFonts w:ascii="黑体" w:hAnsi="黑体" w:eastAsia="黑体" w:cs="黑体"/>
          <w:b/>
          <w:bCs/>
          <w:sz w:val="24"/>
          <w:szCs w:val="24"/>
        </w:rPr>
        <w:t>3.2.6 本项目功能结构</w:t>
      </w:r>
      <w:bookmarkEnd w:id="26"/>
    </w:p>
    <w:p w14:paraId="34397DBE">
      <w:pPr>
        <w:spacing w:before="120" w:after="80"/>
        <w:jc w:val="center"/>
      </w:pPr>
      <w:r>
        <w:drawing>
          <wp:inline distT="0" distB="0" distL="0" distR="0">
            <wp:extent cx="4953000" cy="1676400"/>
            <wp:effectExtent l="0" t="0" r="0" b="0"/>
            <wp:docPr id="6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image2.png" title="image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3F1E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2  项目功能结构图</w:t>
      </w:r>
    </w:p>
    <w:p w14:paraId="4E8A8E67">
      <w:pPr>
        <w:pStyle w:val="3"/>
        <w:spacing w:before="200" w:after="100"/>
      </w:pPr>
      <w:bookmarkStart w:id="27" w:name="_Toc29261"/>
      <w:r>
        <w:rPr>
          <w:rFonts w:ascii="黑体" w:hAnsi="黑体" w:eastAsia="黑体" w:cs="黑体"/>
          <w:b/>
          <w:bCs/>
          <w:sz w:val="28"/>
          <w:szCs w:val="28"/>
        </w:rPr>
        <w:t>3.3 评估方法和估算</w:t>
      </w:r>
      <w:bookmarkEnd w:id="27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000"/>
      </w:tblGrid>
      <w:tr w14:paraId="0655E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0EB5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估计方法及估算</w:t>
            </w:r>
          </w:p>
        </w:tc>
        <w:tc>
          <w:tcPr>
            <w:tcW w:w="60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6A62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描述</w:t>
            </w:r>
          </w:p>
        </w:tc>
      </w:tr>
      <w:tr w14:paraId="3FA8B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009C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估算依据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05B2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基于《工作分解结构（WBS）》、历史实训数据、团队技术能力及项目说明中的 12 天实施计划。</w:t>
            </w:r>
          </w:p>
        </w:tc>
      </w:tr>
      <w:tr w14:paraId="087CF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9F81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按照人月或人时进行估算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0DB8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约 12 人·天（按 5–7 人团队、12 天周期折算）。</w:t>
            </w:r>
          </w:p>
        </w:tc>
      </w:tr>
      <w:tr w14:paraId="12100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7406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日程进度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C3A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 至 2026-07-17（共 12 天）。</w:t>
            </w:r>
          </w:p>
        </w:tc>
      </w:tr>
      <w:tr w14:paraId="4B5C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CDC4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费用预算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E917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详见 3.7 节预算分配，总体控制在实训经费范围内。</w:t>
            </w:r>
          </w:p>
        </w:tc>
      </w:tr>
      <w:tr w14:paraId="42311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D775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估算的资源及基础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D3C0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基于 1.3 假设与 1.4 约束。</w:t>
            </w:r>
          </w:p>
        </w:tc>
      </w:tr>
      <w:tr w14:paraId="7FE6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C0AD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不确定性级别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5748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±15%（受 API 稳定性、需求变更及团队熟练度影响）。</w:t>
            </w:r>
          </w:p>
        </w:tc>
      </w:tr>
    </w:tbl>
    <w:p w14:paraId="6D95845C">
      <w:pPr>
        <w:pStyle w:val="3"/>
        <w:spacing w:before="200" w:after="100"/>
      </w:pPr>
      <w:bookmarkStart w:id="28" w:name="_Toc13747"/>
      <w:r>
        <w:rPr>
          <w:rFonts w:ascii="黑体" w:hAnsi="黑体" w:eastAsia="黑体" w:cs="黑体"/>
          <w:b/>
          <w:bCs/>
          <w:sz w:val="28"/>
          <w:szCs w:val="28"/>
        </w:rPr>
        <w:t>3.4 工作活动</w:t>
      </w:r>
      <w:bookmarkEnd w:id="28"/>
    </w:p>
    <w:p w14:paraId="2827C588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项目工作分解结构（WBS）如下：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500"/>
        <w:gridCol w:w="3200"/>
      </w:tblGrid>
      <w:tr w14:paraId="3A268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3121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WBS 编号</w:t>
            </w:r>
          </w:p>
        </w:tc>
        <w:tc>
          <w:tcPr>
            <w:tcW w:w="35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D1AF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任务</w:t>
            </w:r>
          </w:p>
        </w:tc>
        <w:tc>
          <w:tcPr>
            <w:tcW w:w="3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5E39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输出</w:t>
            </w:r>
          </w:p>
        </w:tc>
      </w:tr>
      <w:tr w14:paraId="03A89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B157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 项目准备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AAE2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1.1 项目需求描述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F261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《项目需求描述》</w:t>
            </w:r>
          </w:p>
        </w:tc>
      </w:tr>
      <w:tr w14:paraId="53105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585C9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B646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1.2 开发环境确认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F1C8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环境检查清单</w:t>
            </w:r>
          </w:p>
        </w:tc>
      </w:tr>
      <w:tr w14:paraId="66D24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1D95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 项目启动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A27D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 项目立项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8EA8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《项目可行性研究报告》</w:t>
            </w:r>
          </w:p>
        </w:tc>
      </w:tr>
      <w:tr w14:paraId="21FD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CCFBD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3F50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 项目计划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CE59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《项目计划书》</w:t>
            </w:r>
          </w:p>
        </w:tc>
      </w:tr>
      <w:tr w14:paraId="0F84E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CC573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1E37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2.3 项目日程计划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57AC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《项目日程计划》</w:t>
            </w:r>
          </w:p>
        </w:tc>
      </w:tr>
      <w:tr w14:paraId="25A06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8EA24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D33B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2.4 CodeArts 项目工程创建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F0DD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CodeArts 项目仓库</w:t>
            </w:r>
          </w:p>
        </w:tc>
      </w:tr>
      <w:tr w14:paraId="16C3A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734C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1900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2.5 CodeArts 项目规划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2FD2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思维导图、甘特图、迭代计划</w:t>
            </w:r>
          </w:p>
        </w:tc>
      </w:tr>
      <w:tr w14:paraId="3AF7A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CD6D2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9F23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2.6 项目需求分析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2B50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《软件需求规格说明书》</w:t>
            </w:r>
          </w:p>
        </w:tc>
      </w:tr>
      <w:tr w14:paraId="62868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E4D48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9324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 概要设计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00C5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《概要设计说明书》</w:t>
            </w:r>
          </w:p>
        </w:tc>
      </w:tr>
      <w:tr w14:paraId="2BC0C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51512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52FD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2.8 项目评审一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5DF1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评审记录</w:t>
            </w:r>
          </w:p>
        </w:tc>
      </w:tr>
      <w:tr w14:paraId="66E15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BF26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 项目开发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D115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 项目环境搭建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C4A8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开发环境部署文档</w:t>
            </w:r>
          </w:p>
        </w:tc>
      </w:tr>
      <w:tr w14:paraId="62D7E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26CFE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1E92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3.2 用户登录模块编码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DA96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登录功能</w:t>
            </w:r>
          </w:p>
        </w:tc>
      </w:tr>
      <w:tr w14:paraId="15F0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82A28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E9A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 主页模块编码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A473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首页界面</w:t>
            </w:r>
          </w:p>
        </w:tc>
      </w:tr>
      <w:tr w14:paraId="0AF06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2C488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2EB0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3.4 风险预测模块编码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DADF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风险预测页面与接口</w:t>
            </w:r>
          </w:p>
        </w:tc>
      </w:tr>
      <w:tr w14:paraId="25755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32D9D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FD8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 在线咨询模块编码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8B2C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名医在线咨询界面</w:t>
            </w:r>
          </w:p>
        </w:tc>
      </w:tr>
      <w:tr w14:paraId="45276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590CC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7C88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3.6 个人中心模块编码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9BAD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个人信息管理</w:t>
            </w:r>
          </w:p>
        </w:tc>
      </w:tr>
      <w:tr w14:paraId="39B7A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54A36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A4D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 方案定制模块编码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B133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个性化生活方案</w:t>
            </w:r>
          </w:p>
        </w:tc>
      </w:tr>
      <w:tr w14:paraId="72450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39FD1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CD3D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3.8 智能助手模块编码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D91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AI 助手对话</w:t>
            </w:r>
          </w:p>
        </w:tc>
      </w:tr>
      <w:tr w14:paraId="73388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A19CB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44ED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 项目评审二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33BD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评审记录</w:t>
            </w:r>
          </w:p>
        </w:tc>
      </w:tr>
      <w:tr w14:paraId="6F000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D5EF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 项目测试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8A06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4.1 项目部署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A4B4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部署文档与线上环境</w:t>
            </w:r>
          </w:p>
        </w:tc>
      </w:tr>
      <w:tr w14:paraId="64C8A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AB49A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9FB0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4.2 自动化测试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5237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测试用例与 Playwright 脚本</w:t>
            </w:r>
          </w:p>
        </w:tc>
      </w:tr>
      <w:tr w14:paraId="0D6CB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D703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 项目验收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D5F6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 项目答辩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0037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演示 PPT、答辩材料</w:t>
            </w:r>
          </w:p>
        </w:tc>
      </w:tr>
      <w:tr w14:paraId="7E134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3312A">
            <w:pPr>
              <w:spacing w:before="40" w:after="40"/>
              <w:jc w:val="left"/>
            </w:pP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8BB6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 项目总结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FB9D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《项目总结报告》</w:t>
            </w:r>
          </w:p>
        </w:tc>
      </w:tr>
    </w:tbl>
    <w:p w14:paraId="234BF1B4">
      <w:pPr>
        <w:pStyle w:val="3"/>
        <w:spacing w:before="200" w:after="100"/>
      </w:pPr>
      <w:bookmarkStart w:id="29" w:name="_Toc29025"/>
      <w:r>
        <w:rPr>
          <w:rFonts w:ascii="黑体" w:hAnsi="黑体" w:eastAsia="黑体" w:cs="黑体"/>
          <w:b/>
          <w:bCs/>
          <w:sz w:val="28"/>
          <w:szCs w:val="28"/>
        </w:rPr>
        <w:t>3.5 进度安排</w:t>
      </w:r>
      <w:bookmarkEnd w:id="29"/>
    </w:p>
    <w:p w14:paraId="78802943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项目日程进度如下表所示，主要里程碑与可交付物同步列出：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200"/>
        <w:gridCol w:w="1000"/>
        <w:gridCol w:w="3000"/>
        <w:gridCol w:w="1900"/>
      </w:tblGrid>
      <w:tr w14:paraId="0370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3B35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实训环节</w:t>
            </w:r>
          </w:p>
        </w:tc>
        <w:tc>
          <w:tcPr>
            <w:tcW w:w="1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9B9C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进程</w:t>
            </w:r>
          </w:p>
        </w:tc>
        <w:tc>
          <w:tcPr>
            <w:tcW w:w="10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5F5B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学时（天）</w:t>
            </w:r>
          </w:p>
        </w:tc>
        <w:tc>
          <w:tcPr>
            <w:tcW w:w="30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D56B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主要里程/可交付物</w:t>
            </w:r>
          </w:p>
        </w:tc>
        <w:tc>
          <w:tcPr>
            <w:tcW w:w="19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0105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计划完成日期</w:t>
            </w:r>
          </w:p>
        </w:tc>
      </w:tr>
      <w:tr w14:paraId="2D020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E334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项目准备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B911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第 1 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C348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0.5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5CB9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项目需求描述、环境确认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64F4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</w:tr>
      <w:tr w14:paraId="09966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3E2E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项目启动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A77E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第 1 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6F9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0.5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4D20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《项目可行性研究报告》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EA24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</w:tr>
      <w:tr w14:paraId="7535A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E73B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项目启动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E504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第 1 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2085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A9A3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《项目计划书》《项目日程计划》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182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</w:tr>
      <w:tr w14:paraId="712EA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D493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项目启动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98E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第 1 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5873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7824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CodeArts 项目创建与规划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E518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</w:tr>
      <w:tr w14:paraId="09FA0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7589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项目启动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F955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第 1 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0449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5D98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《软件需求规格说明书》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D682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</w:tr>
      <w:tr w14:paraId="0388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41F8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项目启动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B014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第 1 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91C3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609E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《概要设计说明书》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E48E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</w:tr>
      <w:tr w14:paraId="6DE7E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8F8E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项目启动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D4C0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第 1 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4277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0.5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1681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项目评审一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BAEE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</w:tr>
      <w:tr w14:paraId="386AB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102B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项目开发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DC33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第 2–9 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B9F3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BAB2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前端与服务端核心模块编码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4647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2026-07-14</w:t>
            </w:r>
          </w:p>
        </w:tc>
      </w:tr>
      <w:tr w14:paraId="75890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0AEA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项目开发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10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第 2–9 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9A6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9AFC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项目评审二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8CB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2026-07-14</w:t>
            </w:r>
          </w:p>
        </w:tc>
      </w:tr>
      <w:tr w14:paraId="3B67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F0F3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项目测试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949A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第 9–10 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A47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9B9E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项目部署（Nginx、Git、Web 部署）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7B79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2026-07-15</w:t>
            </w:r>
          </w:p>
        </w:tc>
      </w:tr>
      <w:tr w14:paraId="5D21A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DD53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项目测试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4D0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第 9–10 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6B8C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4CF5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辅助自动化测试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6FDD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2026-07-15</w:t>
            </w:r>
          </w:p>
        </w:tc>
      </w:tr>
      <w:tr w14:paraId="3B831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FC5F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项目验收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C725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第 11–12 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227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2903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项目答辩、项目总结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697C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2026-07-17</w:t>
            </w:r>
          </w:p>
        </w:tc>
      </w:tr>
    </w:tbl>
    <w:p w14:paraId="15BED30D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说明：由于项目启动阶段多项任务集中在第 1 天完成，实际执行中可根据团队情况并行安排；第 2–9 天为开发主线，按模块迭代推进。</w:t>
      </w:r>
    </w:p>
    <w:p w14:paraId="77183414">
      <w:pPr>
        <w:pStyle w:val="3"/>
        <w:spacing w:before="200" w:after="100"/>
      </w:pPr>
      <w:bookmarkStart w:id="30" w:name="_Toc12777"/>
      <w:r>
        <w:rPr>
          <w:rFonts w:ascii="黑体" w:hAnsi="黑体" w:eastAsia="黑体" w:cs="黑体"/>
          <w:b/>
          <w:bCs/>
          <w:sz w:val="28"/>
          <w:szCs w:val="28"/>
        </w:rPr>
        <w:t>3.6 资源的配置</w:t>
      </w:r>
      <w:bookmarkEnd w:id="30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900"/>
        <w:gridCol w:w="2800"/>
        <w:gridCol w:w="2600"/>
      </w:tblGrid>
      <w:tr w14:paraId="14A31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B394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资源</w:t>
            </w:r>
          </w:p>
        </w:tc>
        <w:tc>
          <w:tcPr>
            <w:tcW w:w="9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22B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合计</w:t>
            </w:r>
          </w:p>
        </w:tc>
        <w:tc>
          <w:tcPr>
            <w:tcW w:w="2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3584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所需技能集</w:t>
            </w:r>
          </w:p>
        </w:tc>
        <w:tc>
          <w:tcPr>
            <w:tcW w:w="26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B5F6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时间区间</w:t>
            </w:r>
          </w:p>
        </w:tc>
      </w:tr>
      <w:tr w14:paraId="09AF5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EDF1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项目经理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34A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 人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93F8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项目管理、沟通协调、风险控制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7BA4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 至 2026-07-17</w:t>
            </w:r>
          </w:p>
        </w:tc>
      </w:tr>
      <w:tr w14:paraId="4D331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0BEB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产品经理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6D3C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 人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3F4D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需求分析、原型设计、文档编写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D49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 至 2026-07-17</w:t>
            </w:r>
          </w:p>
        </w:tc>
      </w:tr>
      <w:tr w14:paraId="65C6E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8CD0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UI 设计师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9D44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 人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CD17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MasterGo、UI/UX 设计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A99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 至 2026-07-10</w:t>
            </w:r>
          </w:p>
        </w:tc>
      </w:tr>
      <w:tr w14:paraId="0FCC6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0C9D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前端开发工程师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204F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 人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0854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HTML/CSS/JS、ES6、响应式开发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9FF8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2026-07-07 至 2026-07-15</w:t>
            </w:r>
          </w:p>
        </w:tc>
      </w:tr>
      <w:tr w14:paraId="666DA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DD9B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服务端/Dify 开发工程师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6847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 人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4DD4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Dify、DeepSeek API、工作流编排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31EE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2026-07-07 至 2026-07-15</w:t>
            </w:r>
          </w:p>
        </w:tc>
      </w:tr>
      <w:tr w14:paraId="01F2D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CA91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测试工程师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1775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 人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DA2E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测试用例设计、Playwright 自动化测试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63E6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2026-07-13 至 2026-07-17</w:t>
            </w:r>
          </w:p>
        </w:tc>
      </w:tr>
      <w:tr w14:paraId="081F3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D890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质量保障人员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218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 人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8A18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质量审计、评审组织、缺陷跟踪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7FF2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 至 2026-07-17</w:t>
            </w:r>
          </w:p>
        </w:tc>
      </w:tr>
      <w:tr w14:paraId="08ED1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31BA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医疗顾问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AF7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 人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D5E6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糖尿病医学知识、健康建议审核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2B24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2026-07-07 至 2026-07-17</w:t>
            </w:r>
          </w:p>
        </w:tc>
      </w:tr>
      <w:tr w14:paraId="040A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9548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台式计算机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210F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5–7 台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DD7F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Windows 10/11、开发工具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37F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 至 2026-07-17</w:t>
            </w:r>
          </w:p>
        </w:tc>
      </w:tr>
      <w:tr w14:paraId="2762A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B303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云服务器/沙箱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AEA4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 套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A3D5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Nginx、Web 应用部署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056D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2026-07-14 至 2026-07-17</w:t>
            </w:r>
          </w:p>
        </w:tc>
      </w:tr>
      <w:tr w14:paraId="180F3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C83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API 额度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1510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按量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1F01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大模型调用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F673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2026-07-07 至 2026-07-17</w:t>
            </w:r>
          </w:p>
        </w:tc>
      </w:tr>
    </w:tbl>
    <w:p w14:paraId="6785BC18">
      <w:pPr>
        <w:pStyle w:val="3"/>
        <w:spacing w:before="200" w:after="100"/>
      </w:pPr>
      <w:bookmarkStart w:id="31" w:name="_Toc17931"/>
      <w:r>
        <w:rPr>
          <w:rFonts w:ascii="黑体" w:hAnsi="黑体" w:eastAsia="黑体" w:cs="黑体"/>
          <w:b/>
          <w:bCs/>
          <w:sz w:val="28"/>
          <w:szCs w:val="28"/>
        </w:rPr>
        <w:t>3.7 预算分配</w:t>
      </w:r>
      <w:bookmarkEnd w:id="31"/>
    </w:p>
    <w:p w14:paraId="18A4E951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本项目预算按关键类别分配如下（金额仅为估算，实际以实训经费为准）：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3200"/>
        <w:gridCol w:w="1500"/>
      </w:tblGrid>
      <w:tr w14:paraId="5D9EF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B37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关键预算类型</w:t>
            </w:r>
          </w:p>
        </w:tc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6A15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预算额度</w:t>
            </w:r>
          </w:p>
        </w:tc>
        <w:tc>
          <w:tcPr>
            <w:tcW w:w="3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569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5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96CB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时间区间</w:t>
            </w:r>
          </w:p>
        </w:tc>
      </w:tr>
      <w:tr w14:paraId="636E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B05D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人员成本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AAEB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按实训学时折算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277B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学生团队成员无额外薪酬，按课时/学分计入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AE4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 至 2026-07-17</w:t>
            </w:r>
          </w:p>
        </w:tc>
      </w:tr>
      <w:tr w14:paraId="7538D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5FBF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API 调用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923B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 300 元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38F8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风险预测、方案定制、AI 对话等模型调用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3ABE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2026-07-07 至 2026-07-17</w:t>
            </w:r>
          </w:p>
        </w:tc>
      </w:tr>
      <w:tr w14:paraId="1180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AF67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云服务资源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BBBA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 200 元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3D51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云沙箱、Nginx 部署、流量费用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050A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2026-07-14 至 2026-07-17</w:t>
            </w:r>
          </w:p>
        </w:tc>
      </w:tr>
      <w:tr w14:paraId="421EF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4B5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工具与平台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5402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0 元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C605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VSCode、Dify、CodeArts、MasterGo 使用免费版本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3112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 至 2026-07-17</w:t>
            </w:r>
          </w:p>
        </w:tc>
      </w:tr>
      <w:tr w14:paraId="7DC7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DA5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资料与培训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A74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 100 元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9F72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医学资料整理、线上培训资源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BEE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 至 2026-07-10</w:t>
            </w:r>
          </w:p>
        </w:tc>
      </w:tr>
      <w:tr w14:paraId="31406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C9C0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杂项支出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991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 100 元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D5E2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文具、打印、答辩材料等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E4BB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 至 2026-07-17</w:t>
            </w:r>
          </w:p>
        </w:tc>
      </w:tr>
      <w:tr w14:paraId="27689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2866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合计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FB2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 700 元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11DC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不含人员工资与固定设备折旧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FE22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—</w:t>
            </w:r>
          </w:p>
        </w:tc>
      </w:tr>
    </w:tbl>
    <w:p w14:paraId="0BD3D25A">
      <w:pPr>
        <w:pStyle w:val="2"/>
        <w:spacing w:before="240" w:after="120"/>
      </w:pPr>
      <w:bookmarkStart w:id="32" w:name="_Toc14113"/>
      <w:r>
        <w:rPr>
          <w:rFonts w:ascii="黑体" w:hAnsi="黑体" w:eastAsia="黑体" w:cs="黑体"/>
          <w:b/>
          <w:bCs/>
          <w:sz w:val="32"/>
          <w:szCs w:val="32"/>
        </w:rPr>
        <w:t>4. 跟踪及控制</w:t>
      </w:r>
      <w:bookmarkEnd w:id="32"/>
    </w:p>
    <w:p w14:paraId="75C7D3C7">
      <w:pPr>
        <w:pStyle w:val="3"/>
        <w:spacing w:before="200" w:after="100"/>
      </w:pPr>
      <w:bookmarkStart w:id="33" w:name="_Toc3932"/>
      <w:r>
        <w:rPr>
          <w:rFonts w:ascii="黑体" w:hAnsi="黑体" w:eastAsia="黑体" w:cs="黑体"/>
          <w:b/>
          <w:bCs/>
          <w:sz w:val="28"/>
          <w:szCs w:val="28"/>
        </w:rPr>
        <w:t>4.1 变更管理</w:t>
      </w:r>
      <w:bookmarkEnd w:id="33"/>
    </w:p>
    <w:p w14:paraId="60109848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在项目执行过程中，若发现《项目计划》与实际情况存在较大偏差，应及时启动变更控制流程，防止项目发生混乱。可以启动变更流程的情况包括：</w:t>
      </w:r>
    </w:p>
    <w:p w14:paraId="6BBFB1DA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进度偏差超过容许误差（如 20%）或关键里程碑存在延期风险。</w:t>
      </w:r>
    </w:p>
    <w:p w14:paraId="450E811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费用偏差超过容许误差（如 20%）或 API/云资源成本显著超出预算。</w:t>
      </w:r>
    </w:p>
    <w:p w14:paraId="300F082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项目过程模型或技术方案发生显著变化。</w:t>
      </w:r>
    </w:p>
    <w:p w14:paraId="0893500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用户需求发生重大变化，需调整项目范围。</w:t>
      </w:r>
    </w:p>
    <w:p w14:paraId="4C9E0208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发生不可抗拒的变化，如平台服务中断、关键人员变动等。</w:t>
      </w:r>
    </w:p>
    <w:p w14:paraId="6C3031C3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变更申请流程：</w:t>
      </w:r>
    </w:p>
    <w:p w14:paraId="5566EE65">
      <w:pPr>
        <w:pStyle w:val="19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项目经理填写《变更申请书》，说明变更原因、变更内容及对项目的影响。</w:t>
      </w:r>
    </w:p>
    <w:p w14:paraId="60DF08E6">
      <w:pPr>
        <w:pStyle w:val="19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机构领导/指导教师审批变更申请：不同意则退回，项目按原计划执行；同意则修改《项目计划》。</w:t>
      </w:r>
    </w:p>
    <w:p w14:paraId="1E3F9915">
      <w:pPr>
        <w:pStyle w:val="19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新的《项目计划》需经重新审批后方可执行，并同步更新相关配置项与基线。</w:t>
      </w:r>
    </w:p>
    <w:p w14:paraId="07AAA47F">
      <w:pPr>
        <w:pStyle w:val="3"/>
        <w:spacing w:before="200" w:after="100"/>
      </w:pPr>
      <w:bookmarkStart w:id="34" w:name="_Toc10343"/>
      <w:r>
        <w:rPr>
          <w:rFonts w:ascii="黑体" w:hAnsi="黑体" w:eastAsia="黑体" w:cs="黑体"/>
          <w:b/>
          <w:bCs/>
          <w:sz w:val="28"/>
          <w:szCs w:val="28"/>
        </w:rPr>
        <w:t>4.2 问题管理</w:t>
      </w:r>
      <w:bookmarkEnd w:id="34"/>
    </w:p>
    <w:p w14:paraId="62BDC64A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项目问题管理遵循以下流程：</w:t>
      </w:r>
    </w:p>
    <w:p w14:paraId="595F54C7">
      <w:pPr>
        <w:pStyle w:val="19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项目组成员在开发中发现的任何问题须填写《问题记录单》，记录问题描述、发现人、发现时间及初步影响。</w:t>
      </w:r>
    </w:p>
    <w:p w14:paraId="78AFD0C8">
      <w:pPr>
        <w:pStyle w:val="19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项目经理每日收集问题单，从重要性和紧迫性两个维度评估优先级（高 3、中 2、低 1），组织每日例会讨论解决方案。</w:t>
      </w:r>
    </w:p>
    <w:p w14:paraId="08C0F835">
      <w:pPr>
        <w:pStyle w:val="19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每周五下午进行本周项目总结，各成员陈述工作进度、遇到的问题、解决方案及下周重点。</w:t>
      </w:r>
    </w:p>
    <w:p w14:paraId="60EA449E">
      <w:pPr>
        <w:pStyle w:val="19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每周一上午召开项目例会，布置本周工作重点并跟踪问题解决情况。</w:t>
      </w:r>
    </w:p>
    <w:p w14:paraId="139DB49F">
      <w:pPr>
        <w:pStyle w:val="19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未按时完成问题处理任务的成员需书面说明原因，并制定补救计划。</w:t>
      </w:r>
    </w:p>
    <w:p w14:paraId="75EF3378">
      <w:pPr>
        <w:pStyle w:val="19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项目经理每月汇总项目进展，依据《个人任务跟踪列表》评估整体状态并调整计划。</w:t>
      </w:r>
    </w:p>
    <w:p w14:paraId="6DBCD5FC">
      <w:pPr>
        <w:pStyle w:val="3"/>
        <w:spacing w:before="200" w:after="100"/>
      </w:pPr>
      <w:bookmarkStart w:id="35" w:name="_Toc19324"/>
      <w:r>
        <w:rPr>
          <w:rFonts w:ascii="黑体" w:hAnsi="黑体" w:eastAsia="黑体" w:cs="黑体"/>
          <w:b/>
          <w:bCs/>
          <w:sz w:val="28"/>
          <w:szCs w:val="28"/>
        </w:rPr>
        <w:t>4.3 状态报告</w:t>
      </w:r>
      <w:bookmarkEnd w:id="35"/>
    </w:p>
    <w:p w14:paraId="076D8832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项目状态报告由项目经理编写，每周一提交给指导教师/项目总监，用于掌握项目整体情况。状态报告模板如下：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000"/>
        <w:gridCol w:w="3000"/>
        <w:gridCol w:w="2500"/>
      </w:tblGrid>
      <w:tr w14:paraId="4BC6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E045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概要信息</w:t>
            </w:r>
          </w:p>
        </w:tc>
        <w:tc>
          <w:tcPr>
            <w:tcW w:w="6500" w:type="dxa"/>
            <w:gridSpan w:val="3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B7A4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内容</w:t>
            </w:r>
          </w:p>
        </w:tc>
      </w:tr>
      <w:tr w14:paraId="3FFC6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7923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项目名称</w:t>
            </w:r>
          </w:p>
        </w:tc>
        <w:tc>
          <w:tcPr>
            <w:tcW w:w="6500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B649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糖尿病预治智能助手</w:t>
            </w:r>
          </w:p>
        </w:tc>
      </w:tr>
      <w:tr w14:paraId="01FE3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7805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日期</w:t>
            </w:r>
          </w:p>
        </w:tc>
        <w:tc>
          <w:tcPr>
            <w:tcW w:w="6500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099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</w:tr>
      <w:tr w14:paraId="26E95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3BD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机构/班级</w:t>
            </w:r>
          </w:p>
        </w:tc>
        <w:tc>
          <w:tcPr>
            <w:tcW w:w="6500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507F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（待填写）</w:t>
            </w:r>
          </w:p>
        </w:tc>
      </w:tr>
      <w:tr w14:paraId="389C8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2401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项目经理</w:t>
            </w:r>
          </w:p>
        </w:tc>
        <w:tc>
          <w:tcPr>
            <w:tcW w:w="6500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C306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（待填写）</w:t>
            </w:r>
          </w:p>
        </w:tc>
      </w:tr>
      <w:tr w14:paraId="67F0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191E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报告周期</w:t>
            </w:r>
          </w:p>
        </w:tc>
        <w:tc>
          <w:tcPr>
            <w:tcW w:w="6500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CBEB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第 X 周</w:t>
            </w:r>
          </w:p>
        </w:tc>
      </w:tr>
      <w:tr w14:paraId="38ECD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832E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关键问题</w:t>
            </w:r>
          </w:p>
        </w:tc>
        <w:tc>
          <w:tcPr>
            <w:tcW w:w="6500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C2CC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（是/否，说明）</w:t>
            </w:r>
          </w:p>
        </w:tc>
      </w:tr>
      <w:tr w14:paraId="46A7F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gridSpan w:val="2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86F5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项目度量</w:t>
            </w:r>
          </w:p>
        </w:tc>
        <w:tc>
          <w:tcPr>
            <w:tcW w:w="30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8099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25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CD81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百分比</w:t>
            </w:r>
          </w:p>
        </w:tc>
      </w:tr>
      <w:tr w14:paraId="75CA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F13E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任务完成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E163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X 项【共 Y 项】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05C7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X/Y×100%</w:t>
            </w:r>
          </w:p>
        </w:tc>
      </w:tr>
      <w:tr w14:paraId="2286C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2AFC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正在进行的任务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E3A4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X 项【共 Y 项】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1ED0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X/Y×100%</w:t>
            </w:r>
          </w:p>
        </w:tc>
      </w:tr>
      <w:tr w14:paraId="36499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8B18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未开始的任务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494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X 项【共 Y 项】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56E2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X/Y×100%</w:t>
            </w:r>
          </w:p>
        </w:tc>
      </w:tr>
      <w:tr w14:paraId="4FE19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A1C6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已花费时间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B3D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X 天【共 12 天】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ED2D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X/12×100%</w:t>
            </w:r>
          </w:p>
        </w:tc>
      </w:tr>
      <w:tr w14:paraId="58596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AACC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剩余时间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9D8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X 天【共 12 天】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DB8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X/12×100%</w:t>
            </w:r>
          </w:p>
        </w:tc>
      </w:tr>
    </w:tbl>
    <w:p w14:paraId="4D12E51B">
      <w:pPr>
        <w:pStyle w:val="2"/>
        <w:spacing w:before="240" w:after="120"/>
      </w:pPr>
      <w:bookmarkStart w:id="36" w:name="_Toc23884"/>
      <w:r>
        <w:rPr>
          <w:rFonts w:ascii="黑体" w:hAnsi="黑体" w:eastAsia="黑体" w:cs="黑体"/>
          <w:b/>
          <w:bCs/>
          <w:sz w:val="32"/>
          <w:szCs w:val="32"/>
        </w:rPr>
        <w:t>5. 质量管理</w:t>
      </w:r>
      <w:bookmarkEnd w:id="36"/>
    </w:p>
    <w:p w14:paraId="5D468CDB">
      <w:pPr>
        <w:pStyle w:val="3"/>
        <w:spacing w:before="200" w:after="100"/>
      </w:pPr>
      <w:bookmarkStart w:id="37" w:name="_Toc9632"/>
      <w:r>
        <w:rPr>
          <w:rFonts w:ascii="黑体" w:hAnsi="黑体" w:eastAsia="黑体" w:cs="黑体"/>
          <w:b/>
          <w:bCs/>
          <w:sz w:val="28"/>
          <w:szCs w:val="28"/>
        </w:rPr>
        <w:t>5.1 质量管理方法</w:t>
      </w:r>
      <w:bookmarkEnd w:id="37"/>
    </w:p>
    <w:p w14:paraId="3D1C26AD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本项目质量管理活动由质量保障人员主导，结合 SQA 周例会审计、过程活动审计、过程产品审计及度量数据分析组成。</w:t>
      </w:r>
    </w:p>
    <w:p w14:paraId="709C4AC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SQA 周例会审计：质量保障人员定期参加项目周例会，跟踪项目进度与问题，将不符合标准过程的问题记录在《项目问题一览》中。</w:t>
      </w:r>
    </w:p>
    <w:p w14:paraId="477BBEF4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过程活动审计：依据《项目活动剪裁表》检查项目活动执行情况，通过访谈、查阅文档等方式发现偏差并反馈。</w:t>
      </w:r>
    </w:p>
    <w:p w14:paraId="4BB89E77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过程产品审计：对关键工作产品进行审查，《需求规格说明书》《概要设计说明书》检查比率为 100%，源代码与测试用例抽查比例不低于 20%。</w:t>
      </w:r>
    </w:p>
    <w:p w14:paraId="087C185E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度量数据分析：指导项目组统计缺陷密度、测试覆盖率、需求实现率等数据，共同分析并采取改进措施。</w:t>
      </w:r>
    </w:p>
    <w:p w14:paraId="3F57DB03">
      <w:pPr>
        <w:pStyle w:val="3"/>
        <w:spacing w:before="200" w:after="100"/>
      </w:pPr>
      <w:bookmarkStart w:id="38" w:name="_Toc18058"/>
      <w:r>
        <w:rPr>
          <w:rFonts w:ascii="黑体" w:hAnsi="黑体" w:eastAsia="黑体" w:cs="黑体"/>
          <w:b/>
          <w:bCs/>
          <w:sz w:val="28"/>
          <w:szCs w:val="28"/>
        </w:rPr>
        <w:t>5.2 质量目标和标准的确认</w:t>
      </w:r>
      <w:bookmarkEnd w:id="38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100"/>
      </w:tblGrid>
      <w:tr w14:paraId="12E88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E85A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品质目标</w:t>
            </w:r>
          </w:p>
        </w:tc>
        <w:tc>
          <w:tcPr>
            <w:tcW w:w="20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AA34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目标值</w:t>
            </w:r>
          </w:p>
        </w:tc>
        <w:tc>
          <w:tcPr>
            <w:tcW w:w="41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8C81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20068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00DD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文档缺陷密度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09A7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≤2 个/千行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4FC4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超过 3 个需重点分析并返工</w:t>
            </w:r>
          </w:p>
        </w:tc>
      </w:tr>
      <w:tr w14:paraId="6284D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A4B6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代码缺陷密度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30EF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≤10 个/千行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4D09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超过 15 个需进行代码审查与重构</w:t>
            </w:r>
          </w:p>
        </w:tc>
      </w:tr>
      <w:tr w14:paraId="4035C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E4E6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系统测试用例密度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83FF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≥3 件/功能点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7795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确保核心功能覆盖</w:t>
            </w:r>
          </w:p>
        </w:tc>
      </w:tr>
      <w:tr w14:paraId="0A984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C909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缺陷修复率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07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≥95%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095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验收前高优先级缺陷必须全部修复</w:t>
            </w:r>
          </w:p>
        </w:tc>
      </w:tr>
      <w:tr w14:paraId="18F55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076F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需求实现率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50F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100%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C362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《需求规格说明书》中承诺的功能须全部实现</w:t>
            </w:r>
          </w:p>
        </w:tc>
      </w:tr>
      <w:tr w14:paraId="115D4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DD3A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接口可用率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996F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≥98%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0D3C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DeepSeek/Dify 接口调用成功率</w:t>
            </w:r>
          </w:p>
        </w:tc>
      </w:tr>
    </w:tbl>
    <w:p w14:paraId="738E0B4F">
      <w:pPr>
        <w:pStyle w:val="3"/>
        <w:spacing w:before="200" w:after="100"/>
      </w:pPr>
      <w:bookmarkStart w:id="39" w:name="_Toc23687"/>
      <w:r>
        <w:rPr>
          <w:rFonts w:ascii="黑体" w:hAnsi="黑体" w:eastAsia="黑体" w:cs="黑体"/>
          <w:b/>
          <w:bCs/>
          <w:sz w:val="28"/>
          <w:szCs w:val="28"/>
        </w:rPr>
        <w:t>5.3 项目评审和评估</w:t>
      </w:r>
      <w:bookmarkEnd w:id="39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3000"/>
        <w:gridCol w:w="2300"/>
      </w:tblGrid>
      <w:tr w14:paraId="59FFA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FCC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评审类型</w:t>
            </w:r>
          </w:p>
        </w:tc>
        <w:tc>
          <w:tcPr>
            <w:tcW w:w="1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DF8D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频度</w:t>
            </w:r>
          </w:p>
        </w:tc>
        <w:tc>
          <w:tcPr>
            <w:tcW w:w="30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98AE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评审人</w:t>
            </w:r>
          </w:p>
        </w:tc>
        <w:tc>
          <w:tcPr>
            <w:tcW w:w="23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8CD4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报告</w:t>
            </w:r>
          </w:p>
        </w:tc>
      </w:tr>
      <w:tr w14:paraId="22FB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2971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项目周会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87D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每周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F0FF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项目经理、质量保障人员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B5F3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《项目周报》</w:t>
            </w:r>
          </w:p>
        </w:tc>
      </w:tr>
      <w:tr w14:paraId="318B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EB9B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里程碑评审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657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阶段结束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DEA4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项目经理、质量保障人员、指导教师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7608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《里程碑评审报告》</w:t>
            </w:r>
          </w:p>
        </w:tc>
      </w:tr>
      <w:tr w14:paraId="5C035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1FCC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需求评审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673A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需求确定后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5C59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产品经理、开发、测试、医疗顾问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4D6B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《需求评审记录》</w:t>
            </w:r>
          </w:p>
        </w:tc>
      </w:tr>
      <w:tr w14:paraId="56055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736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设计评审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A20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设计完成后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64E1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架构师、开发、测试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E9E4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《设计评审记录》</w:t>
            </w:r>
          </w:p>
        </w:tc>
      </w:tr>
      <w:tr w14:paraId="4D90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A2F6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代码评审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BC1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开发过程中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96E0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开发人员互评、项目经理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A2ED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《代码评审记录》</w:t>
            </w:r>
          </w:p>
        </w:tc>
      </w:tr>
      <w:tr w14:paraId="36E07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814B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验收评审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B1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项目结束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BF2D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指导教师、客户、项目团队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CB01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《验收报告》《评分表》</w:t>
            </w:r>
          </w:p>
        </w:tc>
      </w:tr>
      <w:tr w14:paraId="7EBAA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4B19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事件驱动评审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6C6F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有异常时触发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AA7A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项目经理、相关角色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F777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《项目问题一览》</w:t>
            </w:r>
          </w:p>
        </w:tc>
      </w:tr>
    </w:tbl>
    <w:p w14:paraId="2051C9A8">
      <w:pPr>
        <w:pStyle w:val="3"/>
        <w:spacing w:before="200" w:after="100"/>
      </w:pPr>
      <w:bookmarkStart w:id="40" w:name="_Toc15631"/>
      <w:r>
        <w:rPr>
          <w:rFonts w:ascii="黑体" w:hAnsi="黑体" w:eastAsia="黑体" w:cs="黑体"/>
          <w:b/>
          <w:bCs/>
          <w:sz w:val="28"/>
          <w:szCs w:val="28"/>
        </w:rPr>
        <w:t>5.4 可交付物的验收标准</w:t>
      </w:r>
      <w:bookmarkEnd w:id="40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2200"/>
        <w:gridCol w:w="2700"/>
      </w:tblGrid>
      <w:tr w14:paraId="2FD55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C15C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分类</w:t>
            </w:r>
          </w:p>
        </w:tc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6F1E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可交付物</w:t>
            </w:r>
          </w:p>
        </w:tc>
        <w:tc>
          <w:tcPr>
            <w:tcW w:w="2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BDF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最后的批准过程</w:t>
            </w:r>
          </w:p>
        </w:tc>
        <w:tc>
          <w:tcPr>
            <w:tcW w:w="2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8D9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干系人的验收标准</w:t>
            </w:r>
          </w:p>
        </w:tc>
      </w:tr>
      <w:tr w14:paraId="216F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30DC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管理文档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8536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《项目计划书》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1DCC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项目经理审核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E680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内容完整、计划可行</w:t>
            </w:r>
          </w:p>
        </w:tc>
      </w:tr>
      <w:tr w14:paraId="65B84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0F0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管理文档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269D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《风险管理报告》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AAB1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项目经理审核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A7A7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风险识别充分、应对措施明确</w:t>
            </w:r>
          </w:p>
        </w:tc>
      </w:tr>
      <w:tr w14:paraId="4C1E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7D72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管理文档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0372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《项目周报》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1882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项目经理审核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9F57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周期内周报保存完整</w:t>
            </w:r>
          </w:p>
        </w:tc>
      </w:tr>
      <w:tr w14:paraId="061C6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894A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技术文档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6DD8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《需求规格说明书》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CD7C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需求评审通过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C7A2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需求跟踪矩阵功能点实现率 100%</w:t>
            </w:r>
          </w:p>
        </w:tc>
      </w:tr>
      <w:tr w14:paraId="5C6EA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B5DE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技术文档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2900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《概要设计说明书》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762A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设计评审通过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482C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评审缺陷修复率 100%</w:t>
            </w:r>
          </w:p>
        </w:tc>
      </w:tr>
      <w:tr w14:paraId="68B27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11EA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技术文档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B58A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《测试报告》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8EA3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测试评审通过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6749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测试用例执行率 100%、高优先级缺陷修复率 100%</w:t>
            </w:r>
          </w:p>
        </w:tc>
      </w:tr>
      <w:tr w14:paraId="2A7C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EAA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技术文档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048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《用户操作手册》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66BF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产品经理审核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451B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操作步骤清晰、截图准确</w:t>
            </w:r>
          </w:p>
        </w:tc>
      </w:tr>
      <w:tr w14:paraId="1301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4D16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源代码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0B66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前端与服务端代码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5500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代码评审通过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61C5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符合编码规范、通过自动化测试</w:t>
            </w:r>
          </w:p>
        </w:tc>
      </w:tr>
      <w:tr w14:paraId="2DC10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0A91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部署产物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928B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Web 应用及部署文档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1577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项目经理审核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FD1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可在目标环境稳定运行</w:t>
            </w:r>
          </w:p>
        </w:tc>
      </w:tr>
    </w:tbl>
    <w:p w14:paraId="75887D05">
      <w:pPr>
        <w:pStyle w:val="2"/>
        <w:spacing w:before="240" w:after="120"/>
      </w:pPr>
      <w:bookmarkStart w:id="41" w:name="_Toc19950"/>
      <w:r>
        <w:rPr>
          <w:rFonts w:ascii="黑体" w:hAnsi="黑体" w:eastAsia="黑体" w:cs="黑体"/>
          <w:b/>
          <w:bCs/>
          <w:sz w:val="32"/>
          <w:szCs w:val="32"/>
        </w:rPr>
        <w:t>6. 配置管理</w:t>
      </w:r>
      <w:bookmarkEnd w:id="41"/>
    </w:p>
    <w:p w14:paraId="52FEE733">
      <w:pPr>
        <w:pStyle w:val="3"/>
        <w:spacing w:before="200" w:after="100"/>
      </w:pPr>
      <w:bookmarkStart w:id="42" w:name="_Toc30235"/>
      <w:r>
        <w:rPr>
          <w:rFonts w:ascii="黑体" w:hAnsi="黑体" w:eastAsia="黑体" w:cs="黑体"/>
          <w:b/>
          <w:bCs/>
          <w:sz w:val="28"/>
          <w:szCs w:val="28"/>
        </w:rPr>
        <w:t>6.1 配置管理方法</w:t>
      </w:r>
      <w:bookmarkEnd w:id="42"/>
    </w:p>
    <w:p w14:paraId="75F32229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本项目配置管理遵循制定配置管理计划、创建配置库环境、配置项管理、基线管理、配置状态记录与配置审计的流程。所有项目文档、源代码、测试脚本及部署配置均纳入配置管理，确保版本可追溯、变更受控。</w:t>
      </w:r>
    </w:p>
    <w:p w14:paraId="08996947">
      <w:pPr>
        <w:pStyle w:val="3"/>
        <w:spacing w:before="200" w:after="100"/>
      </w:pPr>
      <w:bookmarkStart w:id="43" w:name="_Toc22178"/>
      <w:r>
        <w:rPr>
          <w:rFonts w:ascii="黑体" w:hAnsi="黑体" w:eastAsia="黑体" w:cs="黑体"/>
          <w:b/>
          <w:bCs/>
          <w:sz w:val="28"/>
          <w:szCs w:val="28"/>
        </w:rPr>
        <w:t>6.2 配置管理工具、环境和基础设施</w:t>
      </w:r>
      <w:bookmarkEnd w:id="43"/>
    </w:p>
    <w:p w14:paraId="41904CD2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本项目使用华为云 CodeArts 与 Git 作为配置管理工具，配置库划分为以下区域：</w:t>
      </w:r>
    </w:p>
    <w:p w14:paraId="777728FC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个人工作区：开发人员本地工作空间，存放不稳定的源码与文档草稿。</w:t>
      </w:r>
    </w:p>
    <w:p w14:paraId="29BDE74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管理文档区：存放会议纪要、周报、变更申请等项目管理类文档。</w:t>
      </w:r>
    </w:p>
    <w:p w14:paraId="4AF8DF6E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开发区：项目开发主线，集成已完成的文档、代码与修复。</w:t>
      </w:r>
    </w:p>
    <w:p w14:paraId="52EA2949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基线区：保存里程碑基线产品，包括文档、源码与可部署包。</w:t>
      </w:r>
    </w:p>
    <w:p w14:paraId="5D43438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发布区：存放最终交付给用户的产品、升级包与操作手册。</w:t>
      </w:r>
    </w:p>
    <w:p w14:paraId="6F6FBA8F">
      <w:pPr>
        <w:pStyle w:val="3"/>
        <w:spacing w:before="200" w:after="100"/>
      </w:pPr>
      <w:bookmarkStart w:id="44" w:name="_Toc11669"/>
      <w:r>
        <w:rPr>
          <w:rFonts w:ascii="黑体" w:hAnsi="黑体" w:eastAsia="黑体" w:cs="黑体"/>
          <w:b/>
          <w:bCs/>
          <w:sz w:val="28"/>
          <w:szCs w:val="28"/>
        </w:rPr>
        <w:t>6.3 配置识别</w:t>
      </w:r>
      <w:bookmarkEnd w:id="44"/>
    </w:p>
    <w:p w14:paraId="2DC0D31D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每个配置项需被唯一标识，并通过版本号记录修改历史。主要配置项标识规则如下：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7"/>
        <w:gridCol w:w="1912"/>
        <w:gridCol w:w="2338"/>
        <w:gridCol w:w="1913"/>
      </w:tblGrid>
      <w:tr w14:paraId="5F224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18E0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配置项名称</w:t>
            </w:r>
          </w:p>
        </w:tc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A2FF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标识规则</w:t>
            </w:r>
          </w:p>
        </w:tc>
        <w:tc>
          <w:tcPr>
            <w:tcW w:w="2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A653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配置项名称</w:t>
            </w:r>
          </w:p>
        </w:tc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CE13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标识规则</w:t>
            </w:r>
          </w:p>
        </w:tc>
      </w:tr>
      <w:tr w14:paraId="19B97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DCD8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项目计划书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9409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DIAB-PP-PLAN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AE29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需求规格说明书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4A46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DIAB-DOC-RS</w:t>
            </w:r>
          </w:p>
        </w:tc>
      </w:tr>
      <w:tr w14:paraId="61810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09F0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概要设计说明书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323F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DIAB-DOC-HLD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62C0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详细设计说明书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A954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DIAB-DOC-LLD</w:t>
            </w:r>
          </w:p>
        </w:tc>
      </w:tr>
      <w:tr w14:paraId="76232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CBB3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数据库设计书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E496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DIAB-DOC-DB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E04A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系统测试用例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2AC2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DIAB-DOC-TC</w:t>
            </w:r>
          </w:p>
        </w:tc>
      </w:tr>
      <w:tr w14:paraId="25175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A6D2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测试报告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81D4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DIAB-DOC-TR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033F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用户操作手册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5681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DIAB-DOC-UM</w:t>
            </w:r>
          </w:p>
        </w:tc>
      </w:tr>
      <w:tr w14:paraId="40201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1D28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源代码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44C1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DIAB-SRC-WEB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0738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部署配置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521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DIAB-DEP-CFG</w:t>
            </w:r>
          </w:p>
        </w:tc>
      </w:tr>
      <w:tr w14:paraId="2F32D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1F7E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项目总结报告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84E2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DIAB-DOC-SUM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2BC8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风险管理报告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5848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DIAB-DOC-RISK</w:t>
            </w:r>
          </w:p>
        </w:tc>
      </w:tr>
    </w:tbl>
    <w:p w14:paraId="36DC6C96">
      <w:pPr>
        <w:pStyle w:val="3"/>
        <w:spacing w:before="200" w:after="100"/>
      </w:pPr>
      <w:bookmarkStart w:id="45" w:name="_Toc29715"/>
      <w:r>
        <w:rPr>
          <w:rFonts w:ascii="黑体" w:hAnsi="黑体" w:eastAsia="黑体" w:cs="黑体"/>
          <w:b/>
          <w:bCs/>
          <w:sz w:val="28"/>
          <w:szCs w:val="28"/>
        </w:rPr>
        <w:t>6.4 配置控制</w:t>
      </w:r>
      <w:bookmarkEnd w:id="45"/>
    </w:p>
    <w:p w14:paraId="57FBEA9C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根据项目日程计划，项目设置以下阶段基线：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4700"/>
      </w:tblGrid>
      <w:tr w14:paraId="7D980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BAB9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1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708B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4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0883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基线内容</w:t>
            </w:r>
          </w:p>
        </w:tc>
      </w:tr>
      <w:tr w14:paraId="19B14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1A2B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项目策划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06EC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3453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《项目计划书》《项目日程计划》</w:t>
            </w:r>
          </w:p>
        </w:tc>
      </w:tr>
      <w:tr w14:paraId="1B148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7855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需求开发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0DE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E2DC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《软件需求规格说明书》</w:t>
            </w:r>
          </w:p>
        </w:tc>
      </w:tr>
      <w:tr w14:paraId="3F29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A0F6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软件设计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D9F3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C738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《概要设计说明书》《用户界面设计》</w:t>
            </w:r>
          </w:p>
        </w:tc>
      </w:tr>
      <w:tr w14:paraId="3859F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717B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编码及单元测试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5AF6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2026-07-14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847D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源代码、单元测试代码、《测试计划》</w:t>
            </w:r>
          </w:p>
        </w:tc>
      </w:tr>
      <w:tr w14:paraId="203F8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8D5E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系统测试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63A3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2026-07-15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36C2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源代码、测试用例、缺陷管理台账、《测试报告》</w:t>
            </w:r>
          </w:p>
        </w:tc>
      </w:tr>
      <w:tr w14:paraId="72A2D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D715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项目验收发布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46D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2026-07-17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D5CB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全部交付物、部署包、《项目总结报告》</w:t>
            </w:r>
          </w:p>
        </w:tc>
      </w:tr>
    </w:tbl>
    <w:p w14:paraId="4918A428">
      <w:pPr>
        <w:pStyle w:val="2"/>
        <w:spacing w:before="240" w:after="120"/>
      </w:pPr>
      <w:bookmarkStart w:id="46" w:name="_Toc24518"/>
      <w:r>
        <w:rPr>
          <w:rFonts w:ascii="黑体" w:hAnsi="黑体" w:eastAsia="黑体" w:cs="黑体"/>
          <w:b/>
          <w:bCs/>
          <w:sz w:val="32"/>
          <w:szCs w:val="32"/>
        </w:rPr>
        <w:t>7. 风险管理</w:t>
      </w:r>
      <w:bookmarkEnd w:id="46"/>
    </w:p>
    <w:p w14:paraId="07CF4F2E">
      <w:pPr>
        <w:pStyle w:val="3"/>
        <w:spacing w:before="200" w:after="100"/>
      </w:pPr>
      <w:bookmarkStart w:id="47" w:name="_Toc15256"/>
      <w:r>
        <w:rPr>
          <w:rFonts w:ascii="黑体" w:hAnsi="黑体" w:eastAsia="黑体" w:cs="黑体"/>
          <w:b/>
          <w:bCs/>
          <w:sz w:val="28"/>
          <w:szCs w:val="28"/>
        </w:rPr>
        <w:t>7.1 风险管理的方法</w:t>
      </w:r>
      <w:bookmarkEnd w:id="47"/>
    </w:p>
    <w:p w14:paraId="28AD5F86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本项目风险管理包括风险识别、风险分析、风险应对和风险监控四个主要活动，在项目生命周期内循环执行，直到所有风险被识别与解决。</w:t>
      </w:r>
    </w:p>
    <w:p w14:paraId="1C0B99C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风险识别：判断哪些风险会影响项目并记录其特征。</w:t>
      </w:r>
    </w:p>
    <w:p w14:paraId="1C07EEA9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风险分析：评估风险的严重性、可能性及风险系数。</w:t>
      </w:r>
    </w:p>
    <w:p w14:paraId="12FBC4F5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风险应对：制定降低、避免或转移威胁的方案和措施。</w:t>
      </w:r>
    </w:p>
    <w:p w14:paraId="43757BB9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风险监控：跟踪风险应对措施，记录风险状态，识别新风险。</w:t>
      </w:r>
    </w:p>
    <w:p w14:paraId="744D5AE0">
      <w:pPr>
        <w:pStyle w:val="3"/>
        <w:spacing w:before="200" w:after="100"/>
      </w:pPr>
      <w:bookmarkStart w:id="48" w:name="_Toc30226"/>
      <w:r>
        <w:rPr>
          <w:rFonts w:ascii="黑体" w:hAnsi="黑体" w:eastAsia="黑体" w:cs="黑体"/>
          <w:b/>
          <w:bCs/>
          <w:sz w:val="28"/>
          <w:szCs w:val="28"/>
        </w:rPr>
        <w:t>7.2 风险评估</w:t>
      </w:r>
      <w:bookmarkEnd w:id="48"/>
    </w:p>
    <w:p w14:paraId="15C7AB3A">
      <w:pPr>
        <w:pStyle w:val="4"/>
        <w:spacing w:before="160" w:after="80"/>
      </w:pPr>
      <w:bookmarkStart w:id="49" w:name="_Toc7367"/>
      <w:r>
        <w:rPr>
          <w:rFonts w:ascii="黑体" w:hAnsi="黑体" w:eastAsia="黑体" w:cs="黑体"/>
          <w:b/>
          <w:bCs/>
          <w:sz w:val="24"/>
          <w:szCs w:val="24"/>
        </w:rPr>
        <w:t>7.2.1 风险识别</w:t>
      </w:r>
      <w:bookmarkEnd w:id="49"/>
    </w:p>
    <w:p w14:paraId="7ED0A707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本项目采用头脑风暴法、核对表法和流程图法进行风险识别。项目团队结合历史项目经验、技术特点与外部环境，识别出以下主要风险：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500"/>
        <w:gridCol w:w="6300"/>
      </w:tblGrid>
      <w:tr w14:paraId="108B2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7A06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5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9690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风险分类</w:t>
            </w:r>
          </w:p>
        </w:tc>
        <w:tc>
          <w:tcPr>
            <w:tcW w:w="63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DFA6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风险说明</w:t>
            </w:r>
          </w:p>
        </w:tc>
      </w:tr>
      <w:tr w14:paraId="4F72D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E29F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6C2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技术风险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8ABA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API 或 Dify 平台不稳定，导致智能体响应异常或功能不可用</w:t>
            </w:r>
          </w:p>
        </w:tc>
      </w:tr>
      <w:tr w14:paraId="38EA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3CB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161B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技术风险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1DF1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糖尿病风险预测模型的医学准确性不足，建议内容缺乏可信度</w:t>
            </w:r>
          </w:p>
        </w:tc>
      </w:tr>
      <w:tr w14:paraId="6B3DE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19AB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CE39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进度风险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0AA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 天周期紧张，模块开发并行度高，易出现延期</w:t>
            </w:r>
          </w:p>
        </w:tc>
      </w:tr>
      <w:tr w14:paraId="55446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8BE8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AEC9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API 成本风险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177C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API 调用量超出预算，影响后续测试与演示</w:t>
            </w:r>
          </w:p>
        </w:tc>
      </w:tr>
      <w:tr w14:paraId="58F5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1972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D3DE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数据安全风险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072F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用户健康数据存储与传输过程中存在泄露或被滥用风险</w:t>
            </w:r>
          </w:p>
        </w:tc>
      </w:tr>
      <w:tr w14:paraId="2F19A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043D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DFDB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需求风险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C6E3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需求理解不充分或频繁变更，导致返工</w:t>
            </w:r>
          </w:p>
        </w:tc>
      </w:tr>
      <w:tr w14:paraId="4FD47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0FA6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F95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人员风险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5A66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关键岗位人员流动或投入不足，影响项目进度</w:t>
            </w:r>
          </w:p>
        </w:tc>
      </w:tr>
      <w:tr w14:paraId="1CF34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1CCE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9850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集成风险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6BBD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前端、Dify 工作流、DeepSeek API 集成复杂，易出现接口不匹配</w:t>
            </w:r>
          </w:p>
        </w:tc>
      </w:tr>
      <w:tr w14:paraId="5233B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6ECE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F710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测试风险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3479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自动化测试覆盖不足，遗留缺陷影响验收</w:t>
            </w:r>
          </w:p>
        </w:tc>
      </w:tr>
    </w:tbl>
    <w:p w14:paraId="17E7B63F">
      <w:pPr>
        <w:pStyle w:val="4"/>
        <w:spacing w:before="160" w:after="80"/>
      </w:pPr>
      <w:bookmarkStart w:id="50" w:name="_Toc9840"/>
      <w:r>
        <w:rPr>
          <w:rFonts w:ascii="黑体" w:hAnsi="黑体" w:eastAsia="黑体" w:cs="黑体"/>
          <w:b/>
          <w:bCs/>
          <w:sz w:val="24"/>
          <w:szCs w:val="24"/>
        </w:rPr>
        <w:t>7.2.2 风险分析</w:t>
      </w:r>
      <w:bookmarkEnd w:id="50"/>
    </w:p>
    <w:p w14:paraId="3ED07BA9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本项目采用定性与定量相结合的风险分析方法。风险系数 = 风险严重性 × 风险可能性，其中严重性与可能性均采用 1–5 分制。风险值 = 可能性（%）× 影响（1–5）。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2"/>
        <w:gridCol w:w="1435"/>
        <w:gridCol w:w="3532"/>
        <w:gridCol w:w="1104"/>
        <w:gridCol w:w="883"/>
        <w:gridCol w:w="884"/>
      </w:tblGrid>
      <w:tr w14:paraId="6F65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E134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3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2197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风险分类</w:t>
            </w:r>
          </w:p>
        </w:tc>
        <w:tc>
          <w:tcPr>
            <w:tcW w:w="32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6129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风险说明</w:t>
            </w:r>
          </w:p>
        </w:tc>
        <w:tc>
          <w:tcPr>
            <w:tcW w:w="10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5FF0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可能性</w:t>
            </w:r>
          </w:p>
        </w:tc>
        <w:tc>
          <w:tcPr>
            <w:tcW w:w="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AD0B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影响</w:t>
            </w:r>
          </w:p>
        </w:tc>
        <w:tc>
          <w:tcPr>
            <w:tcW w:w="8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4631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风险值</w:t>
            </w:r>
          </w:p>
        </w:tc>
      </w:tr>
      <w:tr w14:paraId="7540F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0C60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5398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技术风险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AE70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API 或 Dify 平台不稳定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2705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40%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C4BE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B7EF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1.6</w:t>
            </w:r>
          </w:p>
        </w:tc>
      </w:tr>
      <w:tr w14:paraId="41F3A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9B7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13FC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技术风险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32AC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风险预测模型医学准确性不足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EDBB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30%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3FCB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1D6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1.5</w:t>
            </w:r>
          </w:p>
        </w:tc>
      </w:tr>
      <w:tr w14:paraId="58A9B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F458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F33B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进度风险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4473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 天周期紧张导致延期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DD72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60%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F959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B62E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2.4</w:t>
            </w:r>
          </w:p>
        </w:tc>
      </w:tr>
      <w:tr w14:paraId="12940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A72B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CC8C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API 成本风险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480A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API 调用量超出预算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94D9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50%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B55B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9887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1.5</w:t>
            </w:r>
          </w:p>
        </w:tc>
      </w:tr>
      <w:tr w14:paraId="09C60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089F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347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数据安全风险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A3EC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用户健康数据泄露或被滥用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0C28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20%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B562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873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1.0</w:t>
            </w:r>
          </w:p>
        </w:tc>
      </w:tr>
      <w:tr w14:paraId="249EC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4286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53FC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需求风险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774C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需求理解不充分或频繁变更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C208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50%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CB05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BA84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2.0</w:t>
            </w:r>
          </w:p>
        </w:tc>
      </w:tr>
      <w:tr w14:paraId="5D678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1881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18C1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人员风险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D1E5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关键岗位人员流动或投入不足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212F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30%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8BE6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573F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1.2</w:t>
            </w:r>
          </w:p>
        </w:tc>
      </w:tr>
      <w:tr w14:paraId="46CA8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30D3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87E5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集成风险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B54B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前后端与 API 集成复杂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38C6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50%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1D4A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C03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1.5</w:t>
            </w:r>
          </w:p>
        </w:tc>
      </w:tr>
      <w:tr w14:paraId="498BB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6E8D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B3FE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测试风险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6CD5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自动化测试覆盖不足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97B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40%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DB49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F93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1.2</w:t>
            </w:r>
          </w:p>
        </w:tc>
      </w:tr>
    </w:tbl>
    <w:p w14:paraId="1C974A97">
      <w:pPr>
        <w:pStyle w:val="4"/>
        <w:spacing w:before="160" w:after="80"/>
      </w:pPr>
      <w:bookmarkStart w:id="51" w:name="_Toc20361"/>
      <w:r>
        <w:rPr>
          <w:rFonts w:ascii="黑体" w:hAnsi="黑体" w:eastAsia="黑体" w:cs="黑体"/>
          <w:b/>
          <w:bCs/>
          <w:sz w:val="24"/>
          <w:szCs w:val="24"/>
        </w:rPr>
        <w:t>7.2.3 风险响应策略</w:t>
      </w:r>
      <w:bookmarkEnd w:id="51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4"/>
        <w:gridCol w:w="1331"/>
        <w:gridCol w:w="2458"/>
        <w:gridCol w:w="4097"/>
      </w:tblGrid>
      <w:tr w14:paraId="6387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E09A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3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3547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风险分类</w:t>
            </w:r>
          </w:p>
        </w:tc>
        <w:tc>
          <w:tcPr>
            <w:tcW w:w="24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DCDA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风险说明</w:t>
            </w:r>
          </w:p>
        </w:tc>
        <w:tc>
          <w:tcPr>
            <w:tcW w:w="40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98EE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风险减缓措施</w:t>
            </w:r>
          </w:p>
        </w:tc>
      </w:tr>
      <w:tr w14:paraId="3E3B4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2CB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A083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技术风险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81B4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API 或 Dify 平台不稳定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D435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提前申请 API 额度并准备备用模型；设计本地缓存与降级方案；每日监控接口可用率。</w:t>
            </w:r>
          </w:p>
        </w:tc>
      </w:tr>
      <w:tr w14:paraId="743B6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A6C1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D0B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技术风险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29D0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风险预测模型医学准确性不足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F858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引入医疗顾问审核知识库；使用权威医学指南作为参考；在界面显著位置标注“建议仅供参考”。</w:t>
            </w:r>
          </w:p>
        </w:tc>
      </w:tr>
      <w:tr w14:paraId="5E18A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73C8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2C21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进度风险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0DA5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 天周期紧张导致延期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4695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采用每日站会跟踪进度；预留 10% 缓冲时间；优先完成 MVP 功能。</w:t>
            </w:r>
          </w:p>
        </w:tc>
      </w:tr>
      <w:tr w14:paraId="6E1FD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2047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33CF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API 成本风险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859B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API 调用量超出预算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750C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制定调用配额策略；使用模拟数据完成非核心测试；监控每日调用量。</w:t>
            </w:r>
          </w:p>
        </w:tc>
      </w:tr>
      <w:tr w14:paraId="30161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59B9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9E18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数据安全风险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70CC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用户健康数据泄露或被滥用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4BF3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采用 HTTPS 传输；对敏感数据脱敏存储；限制数据访问权限；遵循最小必要原则。</w:t>
            </w:r>
          </w:p>
        </w:tc>
      </w:tr>
      <w:tr w14:paraId="7C69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7508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9E94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需求风险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1DB7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需求理解不充分或频繁变更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2E3F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加强需求评审与原型确认；变更需走变更流程；冻结需求基线。</w:t>
            </w:r>
          </w:p>
        </w:tc>
      </w:tr>
      <w:tr w14:paraId="0E6C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8F98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B9D2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人员风险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1DD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关键岗位人员流动或投入不足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71B3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明确岗位职责与备份人员；建立任务交接机制；定期同步项目状态。</w:t>
            </w:r>
          </w:p>
        </w:tc>
      </w:tr>
      <w:tr w14:paraId="62E25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89E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E2E5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集成风险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C4E4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前后端与 API 集成复杂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FA34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制定接口规范；尽早进行接口联调；编写接口契约文档。</w:t>
            </w:r>
          </w:p>
        </w:tc>
      </w:tr>
      <w:tr w14:paraId="46356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525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524F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测试风险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DCAF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自动化测试覆盖不足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635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使用 DeepSeek 生成测试用例与 Playwright 脚本；重点覆盖核心流程；进行回归测试。</w:t>
            </w:r>
          </w:p>
        </w:tc>
      </w:tr>
    </w:tbl>
    <w:p w14:paraId="7D9C4CC9">
      <w:pPr>
        <w:pStyle w:val="3"/>
        <w:spacing w:before="200" w:after="100"/>
      </w:pPr>
      <w:bookmarkStart w:id="52" w:name="_Toc944"/>
      <w:r>
        <w:rPr>
          <w:rFonts w:ascii="黑体" w:hAnsi="黑体" w:eastAsia="黑体" w:cs="黑体"/>
          <w:b/>
          <w:bCs/>
          <w:sz w:val="28"/>
          <w:szCs w:val="28"/>
        </w:rPr>
        <w:t>7.3 风险的跟踪和控制</w:t>
      </w:r>
      <w:bookmarkEnd w:id="52"/>
    </w:p>
    <w:p w14:paraId="75865EE1">
      <w:pPr>
        <w:pStyle w:val="4"/>
        <w:spacing w:before="160" w:after="80"/>
      </w:pPr>
      <w:bookmarkStart w:id="53" w:name="_Toc5076"/>
      <w:r>
        <w:rPr>
          <w:rFonts w:ascii="黑体" w:hAnsi="黑体" w:eastAsia="黑体" w:cs="黑体"/>
          <w:b/>
          <w:bCs/>
          <w:sz w:val="24"/>
          <w:szCs w:val="24"/>
        </w:rPr>
        <w:t>7.3.1 风险跟踪</w:t>
      </w:r>
      <w:bookmarkEnd w:id="53"/>
    </w:p>
    <w:p w14:paraId="6C2592AA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风险跟踪与项目跟踪监控相结合，项目组在周例会、里程碑结束点及项目结束点定期跟踪风险状态。项目经理负责维护《风险检查表》和风险列表，必要时重新评估风险可能性与影响，更新风险优先级。跟踪频率最长为每周，也可在事件驱动下进行。</w:t>
      </w:r>
    </w:p>
    <w:p w14:paraId="77398BAF">
      <w:pPr>
        <w:pStyle w:val="4"/>
        <w:spacing w:before="160" w:after="80"/>
      </w:pPr>
      <w:bookmarkStart w:id="54" w:name="_Toc27851"/>
      <w:r>
        <w:rPr>
          <w:rFonts w:ascii="黑体" w:hAnsi="黑体" w:eastAsia="黑体" w:cs="黑体"/>
          <w:b/>
          <w:bCs/>
          <w:sz w:val="24"/>
          <w:szCs w:val="24"/>
        </w:rPr>
        <w:t>7.3.2 风险报告</w:t>
      </w:r>
      <w:bookmarkEnd w:id="54"/>
    </w:p>
    <w:p w14:paraId="76BD8C19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本项目使用《单个风险项》报告呈现每个风险及其状态，并作为评审与检查风险响应策略的依据。风险报告内容包括：风险编号、风险描述、概率、影响、严重性、当前响应策略、响应状态及修订历史。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1199A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A3A6D">
    <w:pPr>
      <w:jc w:val="center"/>
    </w:pPr>
    <w:r>
      <w:rPr>
        <w:rFonts w:ascii="宋体" w:hAnsi="宋体" w:eastAsia="宋体" w:cs="宋体"/>
        <w:sz w:val="18"/>
        <w:szCs w:val="18"/>
      </w:rPr>
      <w:t>糖尿病预治智能助手 - 项目计划书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1EB50C"/>
    <w:multiLevelType w:val="singleLevel"/>
    <w:tmpl w:val="AE1EB50C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4C2C15FB"/>
    <w:multiLevelType w:val="singleLevel"/>
    <w:tmpl w:val="4C2C15FB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F9E06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3335</Words>
  <Characters>3951</Characters>
  <TotalTime>0</TotalTime>
  <ScaleCrop>false</ScaleCrop>
  <LinksUpToDate>false</LinksUpToDate>
  <CharactersWithSpaces>4111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2026-07-06T09:12:00Z</dcterms:created>
  <dc:creator>Un-named</dc:creator>
  <cp:lastModifiedBy>教父</cp:lastModifiedBy>
  <dcterms:modified xsi:type="dcterms:W3CDTF">2026-07-06T09:21:39Z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eyJoZGlkIjoiNjAwYzU4YjQ2YzQ2NzQzMjRkNjQ1NjkyOTM3ZjEyZTciLCJ1c2VySWQiOiIxNTU2ODUxNTgwIn0=</vt:lpwstr>
  </property>
  <property fmtid="{D5CDD505-2E9C-101B-9397-08002B2CF9AE}" pid="3" name="KSOProductBuildVer">
    <vt:lpwstr>2052-12.1.0.26895</vt:lpwstr>
  </property>
  <property fmtid="{D5CDD505-2E9C-101B-9397-08002B2CF9AE}" pid="4" name="ICV">
    <vt:lpwstr>C0DEAE09B6C94B7CB43255910C236980_12</vt:lpwstr>
  </property>
</Properties>
</file>