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Statement: Addressing Noise Pollution through Effective Monitoring**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Noise pollution is a growing concern in urban and industrialized areas worldwide. The excessive and continuous exposure to high levels of noise has detrimental effects on human health, including increased stress levels, sleep disturbances, and even hearing loss. Additionally, noise pollution has negative impacts on wildlife, disrupting their natural habitats and communication patterns.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Current noise monitoring systems often lack the scalability and precision required to effectively address this issue. Traditional monitoring stations are stationary and expensive to deploy, limiting their coverage and making it difficult to pinpoint noise pollution hotspots. Furthermore, these systems typically offer delayed data analysis and limited real-time feedback, hindering timely interventions.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mitigate the adverse effects of noise pollution, there is a pressing need for a comprehensive and technologically advanced noise monitoring solution. This system should: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SOLUTION: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**Provide Real-time Monitoring**: A modern noise pollution monitoring system must offer real-time data collection and analysis. This would enable authorities and communities to promptly identify and respond to noise pollution events as they occur.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**Wide Coverage**: The solution should be scalable and cost-effective, allowing for widespread deployment in urban and industrial areas. This would create a network of sensors capable of covering entire cities and regions.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**Data Accessibility**: Accessibility to noise pollution data is crucial for informed decision-making. The system should offer user-friendly interfaces for public access and provide detailed data analytics for policymakers and researchers.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**Integration with Smart Cities**: Integrating noise monitoring into smart city initiatives can lead to more holistic urban planning and management. Such integration can help identify noise sources and optimize traffic flow and construction activities to reduce noise pollution.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**Noise Source Identification**: The system should have the capability to identify and categorize noise sources, distinguishing between sources like traffic, industrial operations, and construction activities. This information is essential for targeted interventions.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**Community Engagement**: Engaging the community in noise monitoring efforts can raise awareness and foster collective responsibility. The system should allow residents to report noise complaints and observations easily.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CONCLUSION: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conclusion, the problem of noise pollution demands a modern, integrated, and accessible monitoring system that can address the multifaceted challenges posed by excessive noise levels. By developing such a system, we can take significant steps towards reducing noise pollution and improving the quality of life for urban populations and the environment.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