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Characterization of the Australian Financial Assistance Grants System</w:t>
      </w:r>
    </w:p>
    <w:p>
      <w:pPr>
        <w:pStyle w:val="Author"/>
      </w:pPr>
      <w:r>
        <w:t xml:space="preserve">Sreehari Pulickamadhom Sreedhar</w:t>
      </w:r>
    </w:p>
    <w:p>
      <w:pPr>
        <w:pStyle w:val="Author"/>
      </w:pPr>
      <w:r>
        <w:t xml:space="preserve">Euan Maclean</w:t>
      </w:r>
    </w:p>
    <w:p>
      <w:pPr>
        <w:pStyle w:val="Date"/>
      </w:pPr>
      <w:r>
        <w:t xml:space="preserve">2025-09-23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preface"/>
    <w:p>
      <w:r>
        <w:br w:type="page"/>
      </w:r>
    </w:p>
    <w:p>
      <w:pPr>
        <w:pStyle w:val="Heading1"/>
      </w:pPr>
      <w:r>
        <w:t xml:space="preserve">Preface</w:t>
      </w:r>
    </w:p>
    <w:p>
      <w:pPr>
        <w:pStyle w:val="FirstParagraph"/>
      </w:pPr>
      <w:r>
        <w:t xml:space="preserve">This is a repository - a knowledge base if you will, of the Financial Assistance Grants system to Local Government Councils.</w:t>
      </w:r>
    </w:p>
    <w:p>
      <w:pPr>
        <w:pStyle w:val="BodyText"/>
      </w:pPr>
      <w:r>
        <w:t xml:space="preserve">In the first section of the book, we explore the different methods employed by state grants commissions to determine the quantum of the grant allocaiton.</w:t>
      </w:r>
    </w:p>
    <w:p>
      <w:pPr>
        <w:pStyle w:val="BodyText"/>
      </w:pPr>
      <w:r>
        <w:t xml:space="preserve">The second section then explores issues commonly reported by councils. We also explore debates surrounding optimal grant allocation strategies.</w:t>
      </w:r>
    </w:p>
    <w:bookmarkEnd w:id="20"/>
    <w:bookmarkStart w:id="21" w:name="abstract"/>
    <w:p>
      <w:r>
        <w:br w:type="page"/>
      </w:r>
    </w:p>
    <w:p>
      <w:pPr>
        <w:pStyle w:val="Heading1"/>
      </w:pPr>
      <w:r>
        <w:t xml:space="preserve">1. Abstract</w:t>
      </w:r>
    </w:p>
    <w:bookmarkEnd w:id="21"/>
    <w:bookmarkStart w:id="27" w:name="an-introduction-to-the-fa-grants-system"/>
    <w:p>
      <w:r>
        <w:br w:type="page"/>
      </w:r>
    </w:p>
    <w:p>
      <w:pPr>
        <w:pStyle w:val="Heading1"/>
      </w:pPr>
      <w:r>
        <w:t xml:space="preserve">2. An introduction to the FA Grants System</w:t>
      </w:r>
    </w:p>
    <w:bookmarkStart w:id="22" w:name="executive-summary"/>
    <w:p>
      <w:pPr>
        <w:pStyle w:val="Heading2"/>
      </w:pPr>
      <w:r>
        <w:t xml:space="preserve">2.1 Executive Summary</w:t>
      </w:r>
    </w:p>
    <w:p>
      <w:pPr>
        <w:pStyle w:val="FirstParagraph"/>
      </w:pPr>
      <w:r>
        <w:t xml:space="preserve">Local Government is a key provider of services to communities around Australia. Across 538 local governments, $424 Billion worth of community infrastructure is serviced and maintained by councils.</w:t>
      </w:r>
    </w:p>
    <w:p>
      <w:pPr>
        <w:pStyle w:val="BodyText"/>
      </w:pPr>
      <w:r>
        <w:t xml:space="preserve">The Australian Local Government Association (ALGA) is the peak body for councils at the federal level. ALGA represents councils and their interests to the Commonwealth, advocating for greater support for the local government space.</w:t>
      </w:r>
    </w:p>
    <w:p>
      <w:pPr>
        <w:pStyle w:val="BodyText"/>
      </w:pPr>
      <w:r>
        <w:t xml:space="preserve">The last fifteen years have seen a period of declining intergovernmental support for local governments. The Commonwealth Government has slashed financial assistance grants, an essential part of local government funding, and state governments have sought to undermine councils through arbitrary caps on revenue sources and cost shifting.</w:t>
      </w:r>
    </w:p>
    <w:p>
      <w:pPr>
        <w:pStyle w:val="BodyText"/>
      </w:pPr>
      <w:r>
        <w:t xml:space="preserve">Despite this declining support, local governments maintain their position as an important part of providing services to communities. Whether that be supporting communities in the face of bushfires, or planning our cities to house future generations, local governments are a key piece of the puzzle.</w:t>
      </w:r>
    </w:p>
    <w:p>
      <w:pPr>
        <w:pStyle w:val="BodyText"/>
      </w:pPr>
      <w:r>
        <w:t xml:space="preserve">This paper seeks to evaluate one critical aspect of the debate surrounding grants issued by the Commonwealth Government to councils - the minimum grant allocation requirement.</w:t>
      </w:r>
    </w:p>
    <w:p>
      <w:pPr>
        <w:pStyle w:val="BodyText"/>
      </w:pPr>
      <w:r>
        <w:t xml:space="preserve">In order to answer this question, this paper will model the impacts of a change to the minimum grant allocation and its impacts on councils. Our analysis will examine the modelled changes, ascertaining what types of councils are most impacted and performing a qualitative assessment of those impacts.</w:t>
      </w:r>
    </w:p>
    <w:bookmarkEnd w:id="22"/>
    <w:bookmarkStart w:id="23" w:name="an-introduction-to-fa-grants"/>
    <w:p>
      <w:pPr>
        <w:pStyle w:val="Heading2"/>
      </w:pPr>
      <w:r>
        <w:t xml:space="preserve">2.2 An introduction to FA Grants</w:t>
      </w:r>
    </w:p>
    <w:p>
      <w:pPr>
        <w:pStyle w:val="FirstParagraph"/>
      </w:pPr>
      <w:r>
        <w:t xml:space="preserve">Financial Assistance Grants (FA Grants) are a funding mechanism used by the Commonwealth government to distribute funding to Australia’s 538 local councils. Every year, the federal government allocates a pull of money to be distributed to councils nation wide. FA Grants are untied, meaning that councils spend money from the FA Grant program autonomously.</w:t>
      </w:r>
    </w:p>
    <w:p>
      <w:pPr>
        <w:pStyle w:val="BodyText"/>
      </w:pPr>
      <w:r>
        <w:t xml:space="preserve">FA Grants are essential to local government, providing critical funding that supports the delivery of community services, infrastructure, and local development projects. Without these grants, many councils - particularly those in regional and rural areas - would struggle to maintain the service levels expected by their communities.</w:t>
      </w:r>
    </w:p>
    <w:bookmarkEnd w:id="23"/>
    <w:bookmarkStart w:id="24" w:name="allocation-of-fa-grants"/>
    <w:p>
      <w:pPr>
        <w:pStyle w:val="Heading2"/>
      </w:pPr>
      <w:r>
        <w:t xml:space="preserve">2.3 Allocation of FA Grants</w:t>
      </w:r>
    </w:p>
    <w:p>
      <w:pPr>
        <w:pStyle w:val="FirstParagraph"/>
      </w:pPr>
      <w:r>
        <w:t xml:space="preserve">FA Grants are allocated according to the</w:t>
      </w:r>
      <w:r>
        <w:t xml:space="preserve"> </w:t>
      </w:r>
      <w:r>
        <w:t xml:space="preserve">“Local Government (Financial Assistance) Act”</w:t>
      </w:r>
      <w:r>
        <w:t xml:space="preserve"> </w:t>
      </w:r>
      <w:r>
        <w:t xml:space="preserve">(1995). The FA Grant distribution process consists of three components: a local road network component; a general purpose component; and a per capita minimum grant component. This final component requires every council to be given at least 30% of what their grant would be if distributed on a purely per capita basis.</w:t>
      </w:r>
    </w:p>
    <w:p>
      <w:pPr>
        <w:pStyle w:val="BodyText"/>
      </w:pPr>
      <w:r>
        <w:t xml:space="preserve">Whilst the Commonwealth is responsible for providing FA Grants, it is state government appointed grant commissions which decide how FA Grant money will be distributed, and the more intricate details of the general purpose and roads components. This means councils are assessed differently depending on their state jurisdiction.</w:t>
      </w:r>
    </w:p>
    <w:p>
      <w:pPr>
        <w:pStyle w:val="BodyText"/>
      </w:pPr>
      <w:r>
        <w:t xml:space="preserve">The federal government directs states to allocate FA grants based on two principles: horizontal equilisation and effort neutrality. Horizontal equilisation refers to allocating funds in a way that takes into consideration the differing revenue raising capacities of councils, and effort neutrality directs grant commissions not to punish councils for political or accounting decisions.</w:t>
      </w:r>
    </w:p>
    <w:bookmarkEnd w:id="24"/>
    <w:bookmarkStart w:id="25" w:name="fa-grants-as-they-stand-today"/>
    <w:p>
      <w:pPr>
        <w:pStyle w:val="Heading2"/>
      </w:pPr>
      <w:r>
        <w:t xml:space="preserve">2.4 FA Grants as they stand today</w:t>
      </w:r>
    </w:p>
    <w:p>
      <w:pPr>
        <w:pStyle w:val="FirstParagraph"/>
      </w:pPr>
      <w:r>
        <w:t xml:space="preserve">Funding for the FA grant program has evolved since its initial introduction, and the program has not kept up with the expanding role that local councils play. Over the past 30 years, FA grants have been cut from equaling 1% of Commonwealth taxation revenue in 1996, to the present day, where they are worth 0.5% of Commonwealth taxation revenue.</w:t>
      </w:r>
    </w:p>
    <w:p>
      <w:pPr>
        <w:pStyle w:val="BodyText"/>
      </w:pPr>
      <w:r>
        <w:t xml:space="preserve">This decline in real value has been due to a number of factors; including the pausing of the program’s indexing between 2014 and 2017.</w:t>
      </w:r>
    </w:p>
    <w:p>
      <w:pPr>
        <w:pStyle w:val="BodyText"/>
      </w:pPr>
      <w:r>
        <w:t xml:space="preserve">The requirement for each council to receive at least 30% of a per capita equivelant grant program is controversial with our members (Australia’s 538 local governments). Regional and rural councils see it as a way to funnel money towards urban and peri-urban councils, even though they are not as financially reliant on FA grants as their regional and rural counterparts. This is an understandable perspective, given inner city councils often run in surplus, with a wide range of revenue streams due to high economic activity and a more dense populus.</w:t>
      </w:r>
    </w:p>
    <w:p>
      <w:pPr>
        <w:pStyle w:val="BodyText"/>
      </w:pPr>
      <w:r>
        <w:t xml:space="preserve">ALGA holds a long standing view that a more practical way to achieve greater financial sustainability for councils is to increase the size of the pie rather than how it is sliced. This is reflected in ALGA’s call for a return to FA Grants being equal to 1% of Commonwealth taxation revenue.</w:t>
      </w:r>
    </w:p>
    <w:p>
      <w:pPr>
        <w:pStyle w:val="BodyText"/>
      </w:pPr>
      <w:r>
        <w:t xml:space="preserve">ALGA has also long suspected that the removal of the 30% minimum allocation would not necessarily benefit the councils most in need, and would likely serve in detriment of those in growth areas.</w:t>
      </w:r>
    </w:p>
    <w:bookmarkEnd w:id="25"/>
    <w:bookmarkStart w:id="26" w:name="moving-forward"/>
    <w:p>
      <w:pPr>
        <w:pStyle w:val="Heading2"/>
      </w:pPr>
      <w:r>
        <w:t xml:space="preserve">2.5 Moving Forward</w:t>
      </w:r>
    </w:p>
    <w:p>
      <w:pPr>
        <w:pStyle w:val="FirstParagraph"/>
      </w:pPr>
      <w:r>
        <w:t xml:space="preserve">In this report, we break from this view to consider the impacts of a change to the minimum allocation. We achieve this through modelling the per capita gains and losses of a shift from 30%, considering a set of lower minimum alternatives; and the removal of a minimum allocation in its entirety.</w:t>
      </w:r>
    </w:p>
    <w:p>
      <w:pPr>
        <w:pStyle w:val="BodyText"/>
      </w:pPr>
      <w:r>
        <w:t xml:space="preserve">The goal of this analysis is to provide insights into what type of change to the distribution process would optimise the financial sustainability of local governments.</w:t>
      </w:r>
    </w:p>
    <w:bookmarkEnd w:id="26"/>
    <w:bookmarkEnd w:id="27"/>
    <w:bookmarkStart w:id="28" w:name="historical-context"/>
    <w:p>
      <w:r>
        <w:br w:type="page"/>
      </w:r>
    </w:p>
    <w:p>
      <w:pPr>
        <w:pStyle w:val="Heading1"/>
      </w:pPr>
      <w:r>
        <w:t xml:space="preserve">3. Historical Context</w:t>
      </w:r>
    </w:p>
    <w:p>
      <w:pPr>
        <w:pStyle w:val="FirstParagraph"/>
      </w:pPr>
      <w:r>
        <w:t xml:space="preserve">Financial Assistance Grants were originally introduced by the Whitlam government, to allow general purpose grants to councils that were untied.</w:t>
      </w:r>
    </w:p>
    <w:p>
      <w:pPr>
        <w:pStyle w:val="BodyText"/>
      </w:pPr>
      <w:r>
        <w:t xml:space="preserve">This sytem of general purpose grants was legislated in 1986, before its final form was reached in 1995 under the Keating government. Since then, the principles and methods for allocating FA grants have not changed.</w:t>
      </w:r>
    </w:p>
    <w:p>
      <w:pPr>
        <w:pStyle w:val="BodyText"/>
      </w:pPr>
      <w:r>
        <w:t xml:space="preserve">During the Abbott Government, and for parts of the Turnbull Government, between 2014-2017, FA grant indexing was paused. This resulted in a real decline in money for councils.</w:t>
      </w:r>
    </w:p>
    <w:p>
      <w:pPr>
        <w:pStyle w:val="BodyText"/>
      </w:pPr>
      <w:r>
        <w:t xml:space="preserve">Since the program’s inception, the federal government has provided over $74 billion of untied funding. This funding has gone towards the critical work that local councils do to provide livable, sustainable communities and essential services across Australia.</w:t>
      </w:r>
    </w:p>
    <w:bookmarkEnd w:id="28"/>
    <w:bookmarkStart w:id="49" w:name="jurisdictions-and-methodologies"/>
    <w:p>
      <w:r>
        <w:br w:type="page"/>
      </w:r>
    </w:p>
    <w:p>
      <w:pPr>
        <w:pStyle w:val="Heading1"/>
      </w:pPr>
      <w:r>
        <w:t xml:space="preserve">4. Jurisdictions and Methodologies</w:t>
      </w:r>
    </w:p>
    <w:p>
      <w:pPr>
        <w:pStyle w:val="FirstParagraph"/>
      </w:pPr>
      <w:r>
        <w:t xml:space="preserve">30% of the General Purpose Component grant is allocated on a per capita basis.</w:t>
      </w:r>
    </w:p>
    <w:bookmarkStart w:id="29" w:name="at-the-federal-level"/>
    <w:p>
      <w:pPr>
        <w:pStyle w:val="Heading2"/>
      </w:pPr>
      <w:r>
        <w:t xml:space="preserve">4.1 At the Federal Level</w:t>
      </w:r>
    </w:p>
    <w:p>
      <w:pPr>
        <w:pStyle w:val="FirstParagraph"/>
      </w:pPr>
      <w:r>
        <w:rPr>
          <w:b/>
          <w:bCs/>
        </w:rPr>
        <w:t xml:space="preserve">General Purpose Component</w:t>
      </w:r>
      <w:r>
        <w:t xml:space="preserve"> </w:t>
      </w:r>
      <w:r>
        <w:t xml:space="preserve">- Allocation to states on a per capital basis</w:t>
      </w:r>
      <w:r>
        <w:t xml:space="preserve"> </w:t>
      </w:r>
      <w:r>
        <w:rPr>
          <w:b/>
          <w:bCs/>
        </w:rPr>
        <w:t xml:space="preserve">Roads Component</w:t>
      </w:r>
      <w:r>
        <w:t xml:space="preserve"> </w:t>
      </w:r>
      <w:r>
        <w:t xml:space="preserve">- Allocation to states based on fixed ratios: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State</w:t>
            </w:r>
          </w:p>
        </w:tc>
        <w:tc>
          <w:tcPr/>
          <w:p>
            <w:pPr>
              <w:pStyle w:val="Compact"/>
            </w:pPr>
            <w:r>
              <w:rPr>
                <w:sz w:val="16"/>
              </w:rPr>
              <w:t xml:space="preserve">Roads Component %</w:t>
            </w:r>
          </w:p>
        </w:tc>
      </w:tr>
      <w:tr>
        <w:tc>
          <w:tcPr/>
          <w:p>
            <w:pPr>
              <w:pStyle w:val="Compact"/>
            </w:pPr>
            <w:r>
              <w:rPr>
                <w:sz w:val="16"/>
              </w:rPr>
              <w:t xml:space="preserve">New South Wales</w:t>
            </w:r>
          </w:p>
        </w:tc>
        <w:tc>
          <w:tcPr/>
          <w:p>
            <w:pPr>
              <w:pStyle w:val="Compact"/>
            </w:pPr>
            <w:r>
              <w:rPr>
                <w:sz w:val="16"/>
              </w:rPr>
              <w:t xml:space="preserve">29.0%</w:t>
            </w:r>
          </w:p>
        </w:tc>
      </w:tr>
      <w:tr>
        <w:tc>
          <w:tcPr/>
          <w:p>
            <w:pPr>
              <w:pStyle w:val="Compact"/>
            </w:pPr>
            <w:r>
              <w:rPr>
                <w:sz w:val="16"/>
              </w:rPr>
              <w:t xml:space="preserve">Victoria</w:t>
            </w:r>
          </w:p>
        </w:tc>
        <w:tc>
          <w:tcPr/>
          <w:p>
            <w:pPr>
              <w:pStyle w:val="Compact"/>
            </w:pPr>
            <w:r>
              <w:rPr>
                <w:sz w:val="16"/>
              </w:rPr>
              <w:t xml:space="preserve">20.6%</w:t>
            </w:r>
          </w:p>
        </w:tc>
      </w:tr>
      <w:tr>
        <w:tc>
          <w:tcPr/>
          <w:p>
            <w:pPr>
              <w:pStyle w:val="Compact"/>
            </w:pPr>
            <w:r>
              <w:rPr>
                <w:sz w:val="16"/>
              </w:rPr>
              <w:t xml:space="preserve">Queensland</w:t>
            </w:r>
          </w:p>
        </w:tc>
        <w:tc>
          <w:tcPr/>
          <w:p>
            <w:pPr>
              <w:pStyle w:val="Compact"/>
            </w:pPr>
            <w:r>
              <w:rPr>
                <w:sz w:val="16"/>
              </w:rPr>
              <w:t xml:space="preserve">18.7%</w:t>
            </w:r>
          </w:p>
        </w:tc>
      </w:tr>
      <w:tr>
        <w:tc>
          <w:tcPr/>
          <w:p>
            <w:pPr>
              <w:pStyle w:val="Compact"/>
            </w:pPr>
            <w:r>
              <w:rPr>
                <w:sz w:val="16"/>
              </w:rPr>
              <w:t xml:space="preserve">South Australia</w:t>
            </w:r>
          </w:p>
        </w:tc>
        <w:tc>
          <w:tcPr/>
          <w:p>
            <w:pPr>
              <w:pStyle w:val="Compact"/>
            </w:pPr>
            <w:r>
              <w:rPr>
                <w:sz w:val="16"/>
              </w:rPr>
              <w:t xml:space="preserve">5.5%</w:t>
            </w:r>
          </w:p>
        </w:tc>
      </w:tr>
      <w:tr>
        <w:tc>
          <w:tcPr/>
          <w:p>
            <w:pPr>
              <w:pStyle w:val="Compact"/>
            </w:pPr>
            <w:r>
              <w:rPr>
                <w:sz w:val="16"/>
              </w:rPr>
              <w:t xml:space="preserve">Western Australia</w:t>
            </w:r>
          </w:p>
        </w:tc>
        <w:tc>
          <w:tcPr/>
          <w:p>
            <w:pPr>
              <w:pStyle w:val="Compact"/>
            </w:pPr>
            <w:r>
              <w:rPr>
                <w:sz w:val="16"/>
              </w:rPr>
              <w:t xml:space="preserve">15.3%</w:t>
            </w:r>
          </w:p>
        </w:tc>
      </w:tr>
      <w:tr>
        <w:tc>
          <w:tcPr/>
          <w:p>
            <w:pPr>
              <w:pStyle w:val="Compact"/>
            </w:pPr>
            <w:r>
              <w:rPr>
                <w:sz w:val="16"/>
              </w:rPr>
              <w:t xml:space="preserve">Tasmania</w:t>
            </w:r>
          </w:p>
        </w:tc>
        <w:tc>
          <w:tcPr/>
          <w:p>
            <w:pPr>
              <w:pStyle w:val="Compact"/>
            </w:pPr>
            <w:r>
              <w:rPr>
                <w:sz w:val="16"/>
              </w:rPr>
              <w:t xml:space="preserve">5.3%</w:t>
            </w:r>
          </w:p>
        </w:tc>
      </w:tr>
      <w:tr>
        <w:tc>
          <w:tcPr/>
          <w:p>
            <w:pPr>
              <w:pStyle w:val="Compact"/>
            </w:pPr>
            <w:r>
              <w:rPr>
                <w:sz w:val="16"/>
              </w:rPr>
              <w:t xml:space="preserve">Northern Territory</w:t>
            </w:r>
          </w:p>
        </w:tc>
        <w:tc>
          <w:tcPr/>
          <w:p>
            <w:pPr>
              <w:pStyle w:val="Compact"/>
            </w:pPr>
            <w:r>
              <w:rPr>
                <w:sz w:val="16"/>
              </w:rPr>
              <w:t xml:space="preserve">2.3%</w:t>
            </w:r>
          </w:p>
        </w:tc>
      </w:tr>
      <w:tr>
        <w:tc>
          <w:tcPr/>
          <w:p>
            <w:pPr>
              <w:pStyle w:val="Compact"/>
            </w:pPr>
            <w:r>
              <w:rPr>
                <w:sz w:val="16"/>
              </w:rPr>
              <w:t xml:space="preserve">Australian Capital Territory</w:t>
            </w:r>
          </w:p>
        </w:tc>
        <w:tc>
          <w:tcPr/>
          <w:p>
            <w:pPr>
              <w:pStyle w:val="Compact"/>
            </w:pPr>
            <w:r>
              <w:rPr>
                <w:sz w:val="16"/>
              </w:rPr>
              <w:t xml:space="preserve">3.2%</w:t>
            </w:r>
          </w:p>
        </w:tc>
      </w:tr>
    </w:tbl>
    <w:bookmarkEnd w:id="29"/>
    <w:bookmarkStart w:id="31" w:name="new-south-wales"/>
    <w:p>
      <w:pPr>
        <w:pStyle w:val="Heading2"/>
      </w:pPr>
      <w:r>
        <w:t xml:space="preserve">4.2 New South Wales</w:t>
      </w:r>
    </w:p>
    <w:p>
      <w:pPr>
        <w:pStyle w:val="FirstParagraph"/>
      </w:pPr>
      <w:r>
        <w:t xml:space="preserve">Consult</w:t>
      </w:r>
      <w:r>
        <w:t xml:space="preserve"> </w:t>
      </w:r>
      <w:hyperlink r:id="rId30">
        <w:r>
          <w:rPr>
            <w:rStyle w:val="Hyperlink"/>
          </w:rPr>
          <w:t xml:space="preserve">Local Government National Report</w:t>
        </w:r>
      </w:hyperlink>
      <w:r>
        <w:t xml:space="preserve"> </w:t>
      </w:r>
      <w:r>
        <w:t xml:space="preserve">for a high level overview of methodology.</w:t>
      </w:r>
    </w:p>
    <w:bookmarkEnd w:id="31"/>
    <w:bookmarkStart w:id="35" w:name="victoria"/>
    <w:p>
      <w:pPr>
        <w:pStyle w:val="Heading2"/>
      </w:pPr>
      <w:r>
        <w:t xml:space="preserve">4.3 Victoria</w:t>
      </w:r>
    </w:p>
    <w:p>
      <w:pPr>
        <w:pStyle w:val="Compact"/>
        <w:numPr>
          <w:ilvl w:val="0"/>
          <w:numId w:val="1001"/>
        </w:numPr>
      </w:pPr>
      <w:hyperlink r:id="rId32">
        <w:r>
          <w:rPr>
            <w:rStyle w:val="Hyperlink"/>
          </w:rPr>
          <w:t xml:space="preserve">https://www.localgovernment.vic.gov.au/funding-programs/victoria-grants-commission/financial-assistance-grants</w:t>
        </w:r>
      </w:hyperlink>
    </w:p>
    <w:p>
      <w:pPr>
        <w:pStyle w:val="Compact"/>
        <w:numPr>
          <w:ilvl w:val="0"/>
          <w:numId w:val="1001"/>
        </w:numPr>
      </w:pPr>
      <w:hyperlink r:id="rId33">
        <w:r>
          <w:rPr>
            <w:rStyle w:val="Hyperlink"/>
          </w:rPr>
          <w:t xml:space="preserve">https://www.localgovernment.vic.gov.au/funding-programs/victoria-grants-commission/publications</w:t>
        </w:r>
      </w:hyperlink>
    </w:p>
    <w:p>
      <w:pPr>
        <w:pStyle w:val="Compact"/>
        <w:numPr>
          <w:ilvl w:val="0"/>
          <w:numId w:val="1001"/>
        </w:numPr>
      </w:pPr>
      <w:hyperlink r:id="rId34">
        <w:r>
          <w:rPr>
            <w:rStyle w:val="Hyperlink"/>
          </w:rPr>
          <w:t xml:space="preserve">https://www.localgovernment.vic.gov.au/__data/assets/pdf_file/0019/210727/2024-25-VLGGC-Annual-Allocation-Report-Sept-2024.pdf</w:t>
        </w:r>
      </w:hyperlink>
    </w:p>
    <w:bookmarkEnd w:id="35"/>
    <w:bookmarkStart w:id="38" w:name="queensland"/>
    <w:p>
      <w:pPr>
        <w:pStyle w:val="Heading2"/>
      </w:pPr>
      <w:r>
        <w:t xml:space="preserve">4.4 Queensland</w:t>
      </w:r>
    </w:p>
    <w:p>
      <w:pPr>
        <w:pStyle w:val="Compact"/>
        <w:numPr>
          <w:ilvl w:val="0"/>
          <w:numId w:val="1002"/>
        </w:numPr>
      </w:pPr>
      <w:hyperlink r:id="rId36">
        <w:r>
          <w:rPr>
            <w:rStyle w:val="Hyperlink"/>
          </w:rPr>
          <w:t xml:space="preserve">https://www.localgovernment.qld.gov.au/for-councils/governance/queensland-local-government-grants-commission/financial-assistance-grant</w:t>
        </w:r>
      </w:hyperlink>
    </w:p>
    <w:p>
      <w:pPr>
        <w:pStyle w:val="Compact"/>
        <w:numPr>
          <w:ilvl w:val="0"/>
          <w:numId w:val="1002"/>
        </w:numPr>
      </w:pPr>
      <w:hyperlink r:id="rId37">
        <w:r>
          <w:rPr>
            <w:rStyle w:val="Hyperlink"/>
          </w:rPr>
          <w:t xml:space="preserve">https://www.localgovernment.qld.gov.au/__data/assets/pdf_file/0030/99174/commission-report-2024.pdf</w:t>
        </w:r>
      </w:hyperlink>
    </w:p>
    <w:p>
      <w:pPr>
        <w:pStyle w:val="FirstParagraph"/>
      </w:pPr>
      <w:r>
        <w:t xml:space="preserve">Population &gt; 80,000</w:t>
      </w:r>
      <w:r>
        <w:t xml:space="preserve"> </w:t>
      </w:r>
      <m:oMath>
        <m:r>
          <m:rPr>
            <m:sty m:val="p"/>
          </m:rPr>
          <m:t>→</m:t>
        </m:r>
      </m:oMath>
      <w:r>
        <w:t xml:space="preserve"> </w:t>
      </w:r>
      <w:r>
        <w:t xml:space="preserve">Minimum grant council</w:t>
      </w:r>
    </w:p>
    <w:bookmarkEnd w:id="38"/>
    <w:bookmarkStart w:id="40" w:name="south-australia"/>
    <w:p>
      <w:pPr>
        <w:pStyle w:val="Heading2"/>
      </w:pPr>
      <w:r>
        <w:t xml:space="preserve">4.5 South Australia</w:t>
      </w:r>
    </w:p>
    <w:p>
      <w:pPr>
        <w:pStyle w:val="Compact"/>
        <w:numPr>
          <w:ilvl w:val="0"/>
          <w:numId w:val="1003"/>
        </w:numPr>
      </w:pPr>
      <w:hyperlink r:id="rId39">
        <w:r>
          <w:rPr>
            <w:rStyle w:val="Hyperlink"/>
          </w:rPr>
          <w:t xml:space="preserve">https://dit.sa.gov.au/local-government/grants-commission/methodology-review</w:t>
        </w:r>
      </w:hyperlink>
    </w:p>
    <w:p>
      <w:pPr>
        <w:pStyle w:val="Compact"/>
        <w:numPr>
          <w:ilvl w:val="0"/>
          <w:numId w:val="1003"/>
        </w:numPr>
      </w:pPr>
      <w:hyperlink r:id="rId39">
        <w:r>
          <w:rPr>
            <w:rStyle w:val="Hyperlink"/>
          </w:rPr>
          <w:t xml:space="preserve">https://www.dit.sa.gov.au/local-government/grants-commission/general-purpose-grants</w:t>
        </w:r>
      </w:hyperlink>
    </w:p>
    <w:p>
      <w:pPr>
        <w:pStyle w:val="Compact"/>
        <w:numPr>
          <w:ilvl w:val="0"/>
          <w:numId w:val="1003"/>
        </w:numPr>
      </w:pPr>
      <w:hyperlink r:id="rId39">
        <w:r>
          <w:rPr>
            <w:rStyle w:val="Hyperlink"/>
          </w:rPr>
          <w:t xml:space="preserve">https://www.dit.sa.gov.au/local-government/documents/office-of-local-government/grants-commission/general_purpose_grants-adelaide-holdfast_bay.pdf</w:t>
        </w:r>
      </w:hyperlink>
    </w:p>
    <w:p>
      <w:pPr>
        <w:pStyle w:val="Compact"/>
        <w:numPr>
          <w:ilvl w:val="0"/>
          <w:numId w:val="1003"/>
        </w:numPr>
      </w:pPr>
      <w:hyperlink r:id="rId39">
        <w:r>
          <w:rPr>
            <w:rStyle w:val="Hyperlink"/>
          </w:rPr>
          <w:t xml:space="preserve">https://www.dit.sa.gov.au/local-government/grants-commission/publications</w:t>
        </w:r>
      </w:hyperlink>
    </w:p>
    <w:p>
      <w:pPr>
        <w:pStyle w:val="Compact"/>
        <w:numPr>
          <w:ilvl w:val="0"/>
          <w:numId w:val="1003"/>
        </w:numPr>
      </w:pPr>
      <w:hyperlink r:id="rId39">
        <w:r>
          <w:rPr>
            <w:rStyle w:val="Hyperlink"/>
          </w:rPr>
          <w:t xml:space="preserve">https://www.dit.sa.gov.au/__data/assets/pdf_file/0008/1275470/Database-Reports-2021-22.pdf</w:t>
        </w:r>
      </w:hyperlink>
    </w:p>
    <w:bookmarkEnd w:id="40"/>
    <w:bookmarkStart w:id="42" w:name="western-australia"/>
    <w:p>
      <w:pPr>
        <w:pStyle w:val="Heading2"/>
      </w:pPr>
      <w:r>
        <w:t xml:space="preserve">4.6 Western Australia</w:t>
      </w:r>
    </w:p>
    <w:p>
      <w:pPr>
        <w:pStyle w:val="Compact"/>
        <w:numPr>
          <w:ilvl w:val="0"/>
          <w:numId w:val="1004"/>
        </w:numPr>
      </w:pPr>
      <w:hyperlink r:id="rId41">
        <w:r>
          <w:rPr>
            <w:rStyle w:val="Hyperlink"/>
          </w:rPr>
          <w:t xml:space="preserve">https://www.dlgsc.wa.gov.au/local-government/local-governments/financial-assistance-grants</w:t>
        </w:r>
      </w:hyperlink>
    </w:p>
    <w:bookmarkEnd w:id="42"/>
    <w:bookmarkStart w:id="46" w:name="tasmania"/>
    <w:p>
      <w:pPr>
        <w:pStyle w:val="Heading2"/>
      </w:pPr>
      <w:r>
        <w:t xml:space="preserve">4.7 Tasmania</w:t>
      </w:r>
    </w:p>
    <w:p>
      <w:pPr>
        <w:pStyle w:val="Compact"/>
        <w:numPr>
          <w:ilvl w:val="0"/>
          <w:numId w:val="1005"/>
        </w:numPr>
      </w:pPr>
      <w:hyperlink r:id="rId43">
        <w:r>
          <w:rPr>
            <w:rStyle w:val="Hyperlink"/>
          </w:rPr>
          <w:t xml:space="preserve">https://www.treasury.tas.gov.au/state-grants-commission/publications</w:t>
        </w:r>
      </w:hyperlink>
    </w:p>
    <w:p>
      <w:pPr>
        <w:pStyle w:val="Compact"/>
        <w:numPr>
          <w:ilvl w:val="0"/>
          <w:numId w:val="1005"/>
        </w:numPr>
      </w:pPr>
      <w:hyperlink r:id="rId44">
        <w:r>
          <w:rPr>
            <w:rStyle w:val="Hyperlink"/>
          </w:rPr>
          <w:t xml:space="preserve">https://www.treasury.tas.gov.au/Documents/State%20Grants%20Commission%20Annual%20Report%202023-24.pdf</w:t>
        </w:r>
      </w:hyperlink>
    </w:p>
    <w:p>
      <w:pPr>
        <w:pStyle w:val="Compact"/>
        <w:numPr>
          <w:ilvl w:val="0"/>
          <w:numId w:val="1005"/>
        </w:numPr>
      </w:pPr>
      <w:hyperlink r:id="rId45">
        <w:r>
          <w:rPr>
            <w:rStyle w:val="Hyperlink"/>
          </w:rPr>
          <w:t xml:space="preserve">https://www.treasury.tas.gov.au/Documents/State%20Grants%20Commission%202024-25%20Financial%20Assistance%20Grant%20Data%20Tables.pdf</w:t>
        </w:r>
      </w:hyperlink>
    </w:p>
    <w:bookmarkEnd w:id="46"/>
    <w:bookmarkStart w:id="48" w:name="northern-territory"/>
    <w:p>
      <w:pPr>
        <w:pStyle w:val="Heading2"/>
      </w:pPr>
      <w:r>
        <w:t xml:space="preserve">4.8 Northern Territory</w:t>
      </w:r>
    </w:p>
    <w:p>
      <w:pPr>
        <w:pStyle w:val="Compact"/>
        <w:numPr>
          <w:ilvl w:val="0"/>
          <w:numId w:val="1006"/>
        </w:numPr>
      </w:pPr>
      <w:hyperlink r:id="rId45">
        <w:r>
          <w:rPr>
            <w:rStyle w:val="Hyperlink"/>
          </w:rPr>
          <w:t xml:space="preserve">https://dhlgcd.nt.gov.au/funding-and-support/grants-commission/methodology</w:t>
        </w:r>
      </w:hyperlink>
    </w:p>
    <w:p>
      <w:pPr>
        <w:pStyle w:val="Compact"/>
        <w:numPr>
          <w:ilvl w:val="0"/>
          <w:numId w:val="1006"/>
        </w:numPr>
      </w:pPr>
      <w:r>
        <w:t xml:space="preserve">Consult</w:t>
      </w:r>
      <w:r>
        <w:t xml:space="preserve"> </w:t>
      </w:r>
      <w:hyperlink r:id="rId47">
        <w:r>
          <w:rPr>
            <w:rStyle w:val="Hyperlink"/>
          </w:rPr>
          <w:t xml:space="preserve">Territory Stories</w:t>
        </w:r>
      </w:hyperlink>
      <w:r>
        <w:t xml:space="preserve"> </w:t>
      </w:r>
      <w:r>
        <w:t xml:space="preserve">for a lower level exploration.</w:t>
      </w:r>
    </w:p>
    <w:p>
      <w:pPr>
        <w:pStyle w:val="BlockText"/>
      </w:pPr>
      <w:r>
        <w:t xml:space="preserve">The 2023-24 allocation data tables can used since the NT Grants Commission annual report is not out yet.</w:t>
      </w:r>
    </w:p>
    <w:bookmarkEnd w:id="48"/>
    <w:bookmarkEnd w:id="49"/>
    <w:bookmarkStart w:id="50" w:name="discussed-issues"/>
    <w:p>
      <w:r>
        <w:br w:type="page"/>
      </w:r>
    </w:p>
    <w:p>
      <w:pPr>
        <w:pStyle w:val="Heading1"/>
      </w:pPr>
      <w:r>
        <w:t xml:space="preserve">5. Discussed Issues</w:t>
      </w:r>
    </w:p>
    <w:p>
      <w:pPr>
        <w:pStyle w:val="FirstParagraph"/>
      </w:pPr>
      <w:r>
        <w:t xml:space="preserve">This is the content for # Discussed Issues.</w:t>
      </w:r>
    </w:p>
    <w:bookmarkEnd w:id="50"/>
    <w:bookmarkStart w:id="51" w:name="Xfe68e0bb60ce70abf2c4c3cc1a20d52a81a2c10"/>
    <w:p>
      <w:r>
        <w:br w:type="page"/>
      </w:r>
    </w:p>
    <w:p>
      <w:pPr>
        <w:pStyle w:val="Heading1"/>
      </w:pPr>
      <w:r>
        <w:t xml:space="preserve">Appendix A — A note on the Australian Classification of Local Government</w:t>
      </w:r>
    </w:p>
    <w:p>
      <w:pPr>
        <w:pStyle w:val="FirstParagraph"/>
      </w:pPr>
      <w:r>
        <w:t xml:space="preserve">The Australian Classification of Local Governments (ACLG) was a system maintained and published by the Department of Infrastructure, Transport, Regional Development, Communications, Sport and the Arts (DITRDCSA).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sz w:val="16"/>
              </w:rPr>
              <w:t xml:space="preserve">Step 1</w:t>
            </w:r>
          </w:p>
        </w:tc>
        <w:tc>
          <w:tcPr/>
          <w:p>
            <w:pPr>
              <w:pStyle w:val="Compact"/>
            </w:pPr>
            <w:r>
              <w:rPr>
                <w:b/>
                <w:bCs/>
                <w:sz w:val="16"/>
              </w:rPr>
              <w:t xml:space="preserve">Step 2</w:t>
            </w:r>
          </w:p>
        </w:tc>
        <w:tc>
          <w:tcPr/>
          <w:p>
            <w:pPr>
              <w:pStyle w:val="Compact"/>
            </w:pPr>
            <w:r>
              <w:rPr>
                <w:b/>
                <w:bCs/>
                <w:sz w:val="16"/>
              </w:rPr>
              <w:t xml:space="preserve">Step 3</w:t>
            </w:r>
          </w:p>
        </w:tc>
        <w:tc>
          <w:tcPr/>
          <w:p>
            <w:pPr>
              <w:pStyle w:val="Compact"/>
            </w:pPr>
          </w:p>
        </w:tc>
        <w:tc>
          <w:tcPr/>
          <w:p>
            <w:pPr>
              <w:pStyle w:val="Compact"/>
            </w:pPr>
            <w:r>
              <w:rPr>
                <w:b/>
                <w:bCs/>
                <w:sz w:val="16"/>
              </w:rPr>
              <w:t xml:space="preserve">Category</w:t>
            </w:r>
          </w:p>
        </w:tc>
        <w:tc>
          <w:tcPr/>
          <w:p>
            <w:pPr>
              <w:pStyle w:val="Compact"/>
            </w:pPr>
            <w:r>
              <w:rPr>
                <w:b/>
                <w:bCs/>
                <w:sz w:val="16"/>
              </w:rPr>
              <w:t xml:space="preserve">Alpha</w:t>
            </w:r>
          </w:p>
        </w:tc>
      </w:tr>
      <w:tr>
        <w:tc>
          <w:tcPr/>
          <w:p>
            <w:pPr>
              <w:pStyle w:val="Compact"/>
            </w:pPr>
            <w:r>
              <w:rPr>
                <w:b/>
                <w:bCs/>
                <w:sz w:val="16"/>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Capital City (CC)</w:t>
            </w:r>
          </w:p>
        </w:tc>
        <w:tc>
          <w:tcPr/>
          <w:p>
            <w:pPr>
              <w:pStyle w:val="Compact"/>
            </w:pPr>
            <w:r>
              <w:rPr>
                <w:sz w:val="16"/>
              </w:rPr>
              <w:t xml:space="preserve">Not applicable</w:t>
            </w:r>
          </w:p>
        </w:tc>
        <w:tc>
          <w:tcPr/>
          <w:p>
            <w:pPr>
              <w:pStyle w:val="Compact"/>
            </w:pPr>
          </w:p>
        </w:tc>
        <w:tc>
          <w:tcPr/>
          <w:p>
            <w:pPr>
              <w:pStyle w:val="Compact"/>
            </w:pPr>
            <w:r>
              <w:rPr>
                <w:sz w:val="16"/>
              </w:rPr>
              <w:t xml:space="preserve">1</w:t>
            </w:r>
          </w:p>
        </w:tc>
        <w:tc>
          <w:tcPr/>
          <w:p>
            <w:pPr>
              <w:pStyle w:val="Compact"/>
            </w:pPr>
            <w:r>
              <w:rPr>
                <w:sz w:val="16"/>
              </w:rPr>
              <w:t xml:space="preserve">UCC</w:t>
            </w:r>
          </w:p>
        </w:tc>
      </w:tr>
      <w:tr>
        <w:tc>
          <w:tcPr/>
          <w:p>
            <w:pPr>
              <w:pStyle w:val="Compact"/>
            </w:pPr>
            <w:r>
              <w:rPr>
                <w:b/>
                <w:bCs/>
                <w:sz w:val="16"/>
              </w:rPr>
              <w:t xml:space="preserve">Pop. &gt; 20,000</w:t>
            </w:r>
          </w:p>
        </w:tc>
        <w:tc>
          <w:tcPr/>
          <w:p>
            <w:pPr>
              <w:pStyle w:val="Compact"/>
            </w:pPr>
            <w:r>
              <w:rPr>
                <w:sz w:val="16"/>
              </w:rPr>
              <w:t xml:space="preserve">Metropolitan Developed (D) - Part of an urban centre &gt; 1,000,000 and pop. density &gt; 600/sq km.</w:t>
            </w:r>
          </w:p>
        </w:tc>
        <w:tc>
          <w:tcPr/>
          <w:p>
            <w:pPr>
              <w:pStyle w:val="Compact"/>
            </w:pPr>
            <w:r>
              <w:rPr>
                <w:sz w:val="16"/>
              </w:rPr>
              <w:t xml:space="preserve">Small (S)</w:t>
            </w:r>
          </w:p>
        </w:tc>
        <w:tc>
          <w:tcPr/>
          <w:p>
            <w:pPr>
              <w:pStyle w:val="Compact"/>
            </w:pPr>
            <w:r>
              <w:rPr>
                <w:sz w:val="16"/>
              </w:rPr>
              <w:t xml:space="preserve">up to 30,000</w:t>
            </w:r>
          </w:p>
        </w:tc>
        <w:tc>
          <w:tcPr/>
          <w:p>
            <w:pPr>
              <w:pStyle w:val="Compact"/>
            </w:pPr>
            <w:r>
              <w:rPr>
                <w:sz w:val="16"/>
              </w:rPr>
              <w:t xml:space="preserve">2</w:t>
            </w:r>
          </w:p>
        </w:tc>
        <w:tc>
          <w:tcPr/>
          <w:p>
            <w:pPr>
              <w:pStyle w:val="Compact"/>
            </w:pPr>
            <w:r>
              <w:rPr>
                <w:sz w:val="16"/>
              </w:rPr>
              <w:t xml:space="preserve">UDS</w:t>
            </w:r>
          </w:p>
        </w:tc>
      </w:tr>
      <w:tr>
        <w:tc>
          <w:tcPr/>
          <w:p>
            <w:pPr>
              <w:pStyle w:val="Compact"/>
            </w:pPr>
          </w:p>
        </w:tc>
        <w:tc>
          <w:tcPr/>
          <w:p>
            <w:pPr>
              <w:pStyle w:val="Compact"/>
            </w:pPr>
          </w:p>
        </w:tc>
        <w:tc>
          <w:tcPr/>
          <w:p>
            <w:pPr>
              <w:pStyle w:val="Compact"/>
            </w:pPr>
            <w:r>
              <w:rPr>
                <w:sz w:val="16"/>
              </w:rPr>
              <w:t xml:space="preserve">Medium (M)</w:t>
            </w:r>
          </w:p>
        </w:tc>
        <w:tc>
          <w:tcPr/>
          <w:p>
            <w:pPr>
              <w:pStyle w:val="Compact"/>
            </w:pPr>
            <w:r>
              <w:rPr>
                <w:sz w:val="16"/>
              </w:rPr>
              <w:t xml:space="preserve">30,001-70,000</w:t>
            </w:r>
          </w:p>
        </w:tc>
        <w:tc>
          <w:tcPr/>
          <w:p>
            <w:pPr>
              <w:pStyle w:val="Compact"/>
            </w:pPr>
            <w:r>
              <w:rPr>
                <w:sz w:val="16"/>
              </w:rPr>
              <w:t xml:space="preserve">3</w:t>
            </w:r>
          </w:p>
        </w:tc>
        <w:tc>
          <w:tcPr/>
          <w:p>
            <w:pPr>
              <w:pStyle w:val="Compact"/>
            </w:pPr>
            <w:r>
              <w:rPr>
                <w:sz w:val="16"/>
              </w:rPr>
              <w:t xml:space="preserve">UDM</w:t>
            </w:r>
          </w:p>
        </w:tc>
      </w:tr>
      <w:tr>
        <w:tc>
          <w:tcPr/>
          <w:p>
            <w:pPr>
              <w:pStyle w:val="Compact"/>
            </w:pPr>
          </w:p>
        </w:tc>
        <w:tc>
          <w:tcPr/>
          <w:p>
            <w:pPr>
              <w:pStyle w:val="Compact"/>
            </w:pPr>
          </w:p>
        </w:tc>
        <w:tc>
          <w:tcPr/>
          <w:p>
            <w:pPr>
              <w:pStyle w:val="Compact"/>
            </w:pPr>
            <w:r>
              <w:rPr>
                <w:sz w:val="16"/>
              </w:rPr>
              <w:t xml:space="preserve">Large (L)</w:t>
            </w:r>
          </w:p>
        </w:tc>
        <w:tc>
          <w:tcPr/>
          <w:p>
            <w:pPr>
              <w:pStyle w:val="Compact"/>
            </w:pPr>
            <w:r>
              <w:rPr>
                <w:sz w:val="16"/>
              </w:rPr>
              <w:t xml:space="preserve">70,001-120,000</w:t>
            </w:r>
          </w:p>
        </w:tc>
        <w:tc>
          <w:tcPr/>
          <w:p>
            <w:pPr>
              <w:pStyle w:val="Compact"/>
            </w:pPr>
            <w:r>
              <w:rPr>
                <w:sz w:val="16"/>
              </w:rPr>
              <w:t xml:space="preserve">4</w:t>
            </w:r>
          </w:p>
        </w:tc>
        <w:tc>
          <w:tcPr/>
          <w:p>
            <w:pPr>
              <w:pStyle w:val="Compact"/>
            </w:pPr>
            <w:r>
              <w:rPr>
                <w:sz w:val="16"/>
              </w:rPr>
              <w:t xml:space="preserve">UDL</w:t>
            </w:r>
          </w:p>
        </w:tc>
      </w:tr>
      <w:tr>
        <w:tc>
          <w:tcPr/>
          <w:p>
            <w:pPr>
              <w:pStyle w:val="Compact"/>
            </w:pPr>
          </w:p>
        </w:tc>
        <w:tc>
          <w:tcPr/>
          <w:p>
            <w:pPr>
              <w:pStyle w:val="Compact"/>
            </w:pPr>
          </w:p>
        </w:tc>
        <w:tc>
          <w:tcPr/>
          <w:p>
            <w:pPr>
              <w:pStyle w:val="Compact"/>
            </w:pPr>
            <w:r>
              <w:rPr>
                <w:sz w:val="16"/>
              </w:rPr>
              <w:t xml:space="preserve">Very large (VL)</w:t>
            </w:r>
          </w:p>
        </w:tc>
        <w:tc>
          <w:tcPr/>
          <w:p>
            <w:pPr>
              <w:pStyle w:val="Compact"/>
            </w:pPr>
            <w:r>
              <w:rPr>
                <w:sz w:val="16"/>
              </w:rPr>
              <w:t xml:space="preserve">&gt; 120,000</w:t>
            </w:r>
          </w:p>
        </w:tc>
        <w:tc>
          <w:tcPr/>
          <w:p>
            <w:pPr>
              <w:pStyle w:val="Compact"/>
            </w:pPr>
            <w:r>
              <w:rPr>
                <w:sz w:val="16"/>
              </w:rPr>
              <w:t xml:space="preserve">5</w:t>
            </w:r>
          </w:p>
        </w:tc>
        <w:tc>
          <w:tcPr/>
          <w:p>
            <w:pPr>
              <w:pStyle w:val="Compact"/>
            </w:pPr>
            <w:r>
              <w:rPr>
                <w:sz w:val="16"/>
              </w:rPr>
              <w:t xml:space="preserve">UDV</w:t>
            </w:r>
          </w:p>
        </w:tc>
      </w:tr>
      <w:tr>
        <w:tc>
          <w:tcPr/>
          <w:p>
            <w:pPr>
              <w:pStyle w:val="Compact"/>
            </w:pPr>
            <w:r>
              <w:rPr>
                <w:b/>
                <w:bCs/>
                <w:sz w:val="16"/>
              </w:rPr>
              <w:t xml:space="preserve">Pop. Density &gt; 30 persons per sq km</w:t>
            </w:r>
          </w:p>
        </w:tc>
        <w:tc>
          <w:tcPr/>
          <w:p>
            <w:pPr>
              <w:pStyle w:val="Compact"/>
            </w:pPr>
            <w:r>
              <w:rPr>
                <w:sz w:val="16"/>
              </w:rPr>
              <w:t xml:space="preserve">Regional Town/City (R) - Part of an urban centre with population &lt;1,000,000 and predominantly urban in nature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6</w:t>
            </w:r>
          </w:p>
        </w:tc>
        <w:tc>
          <w:tcPr/>
          <w:p>
            <w:pPr>
              <w:pStyle w:val="Compact"/>
            </w:pPr>
            <w:r>
              <w:rPr>
                <w:sz w:val="16"/>
              </w:rPr>
              <w:t xml:space="preserve">URS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7</w:t>
            </w:r>
          </w:p>
        </w:tc>
        <w:tc>
          <w:tcPr/>
          <w:p>
            <w:pPr>
              <w:pStyle w:val="Compact"/>
            </w:pPr>
            <w:r>
              <w:rPr>
                <w:sz w:val="16"/>
              </w:rPr>
              <w:t xml:space="preserve">URM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8</w:t>
            </w:r>
          </w:p>
        </w:tc>
        <w:tc>
          <w:tcPr/>
          <w:p>
            <w:pPr>
              <w:pStyle w:val="Compact"/>
            </w:pPr>
            <w:r>
              <w:rPr>
                <w:sz w:val="16"/>
              </w:rPr>
              <w:t xml:space="preserve">URL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9</w:t>
            </w:r>
          </w:p>
        </w:tc>
        <w:tc>
          <w:tcPr/>
          <w:p>
            <w:pPr>
              <w:pStyle w:val="Compact"/>
            </w:pPr>
            <w:r>
              <w:rPr>
                <w:sz w:val="16"/>
              </w:rPr>
              <w:t xml:space="preserve">URV</w:t>
            </w:r>
          </w:p>
        </w:tc>
      </w:tr>
      <w:tr>
        <w:tc>
          <w:tcPr/>
          <w:p>
            <w:pPr>
              <w:pStyle w:val="Compact"/>
            </w:pPr>
            <w:r>
              <w:rPr>
                <w:b/>
                <w:bCs/>
                <w:sz w:val="16"/>
              </w:rPr>
              <w:t xml:space="preserve">&gt;90% of LGA population is urban</w:t>
            </w:r>
          </w:p>
        </w:tc>
        <w:tc>
          <w:tcPr/>
          <w:p>
            <w:pPr>
              <w:pStyle w:val="Compact"/>
            </w:pPr>
            <w:r>
              <w:rPr>
                <w:sz w:val="16"/>
              </w:rPr>
              <w:t xml:space="preserve">Fringe (F) - A developing LGA on the margin of a developed or regional urban centre.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10</w:t>
            </w:r>
          </w:p>
        </w:tc>
        <w:tc>
          <w:tcPr/>
          <w:p>
            <w:pPr>
              <w:pStyle w:val="Compact"/>
            </w:pPr>
            <w:r>
              <w:rPr>
                <w:sz w:val="16"/>
              </w:rPr>
              <w:t xml:space="preserve">UFS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11</w:t>
            </w:r>
          </w:p>
        </w:tc>
        <w:tc>
          <w:tcPr/>
          <w:p>
            <w:pPr>
              <w:pStyle w:val="Compact"/>
            </w:pPr>
            <w:r>
              <w:rPr>
                <w:sz w:val="16"/>
              </w:rPr>
              <w:t xml:space="preserve">UFM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12</w:t>
            </w:r>
          </w:p>
        </w:tc>
        <w:tc>
          <w:tcPr/>
          <w:p>
            <w:pPr>
              <w:pStyle w:val="Compact"/>
            </w:pPr>
            <w:r>
              <w:rPr>
                <w:sz w:val="16"/>
              </w:rPr>
              <w:t xml:space="preserve">UFL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13</w:t>
            </w:r>
          </w:p>
        </w:tc>
        <w:tc>
          <w:tcPr/>
          <w:p>
            <w:pPr>
              <w:pStyle w:val="Compact"/>
            </w:pPr>
            <w:r>
              <w:rPr>
                <w:sz w:val="16"/>
              </w:rPr>
              <w:t xml:space="preserve">UFV</w:t>
            </w:r>
          </w:p>
        </w:tc>
      </w:tr>
      <w:tr>
        <w:tc>
          <w:tcPr/>
          <w:p>
            <w:pPr>
              <w:pStyle w:val="Compact"/>
            </w:pPr>
            <w:r>
              <w:rPr>
                <w:b/>
                <w:bCs/>
                <w:sz w:val="16"/>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Significant Growth (SG) - Average annual Population growth &gt; 3%, population &gt; 5,000 and not remote.</w:t>
            </w:r>
          </w:p>
        </w:tc>
        <w:tc>
          <w:tcPr/>
          <w:p>
            <w:pPr>
              <w:pStyle w:val="Compact"/>
            </w:pPr>
            <w:r>
              <w:rPr>
                <w:sz w:val="16"/>
              </w:rPr>
              <w:t xml:space="preserve">Not applicable</w:t>
            </w:r>
          </w:p>
        </w:tc>
        <w:tc>
          <w:tcPr/>
          <w:p>
            <w:pPr>
              <w:pStyle w:val="Compact"/>
            </w:pPr>
          </w:p>
        </w:tc>
        <w:tc>
          <w:tcPr/>
          <w:p>
            <w:pPr>
              <w:pStyle w:val="Compact"/>
            </w:pPr>
            <w:r>
              <w:rPr>
                <w:sz w:val="16"/>
              </w:rPr>
              <w:t xml:space="preserve">14</w:t>
            </w:r>
          </w:p>
        </w:tc>
        <w:tc>
          <w:tcPr/>
          <w:p>
            <w:pPr>
              <w:pStyle w:val="Compact"/>
            </w:pPr>
            <w:r>
              <w:rPr>
                <w:sz w:val="16"/>
              </w:rPr>
              <w:t xml:space="preserve">RSG</w:t>
            </w:r>
          </w:p>
        </w:tc>
      </w:tr>
      <w:tr>
        <w:tc>
          <w:tcPr/>
          <w:p>
            <w:pPr>
              <w:pStyle w:val="Compact"/>
            </w:pPr>
          </w:p>
        </w:tc>
        <w:tc>
          <w:tcPr/>
          <w:p>
            <w:pPr>
              <w:pStyle w:val="Compact"/>
            </w:pPr>
            <w:r>
              <w:rPr>
                <w:sz w:val="16"/>
              </w:rPr>
              <w:t xml:space="preserve">Agricultural (A)</w:t>
            </w:r>
          </w:p>
        </w:tc>
        <w:tc>
          <w:tcPr/>
          <w:p>
            <w:pPr>
              <w:pStyle w:val="Compact"/>
            </w:pPr>
            <w:r>
              <w:rPr>
                <w:sz w:val="16"/>
              </w:rPr>
              <w:t xml:space="preserve">Small</w:t>
            </w:r>
          </w:p>
        </w:tc>
        <w:tc>
          <w:tcPr/>
          <w:p>
            <w:pPr>
              <w:pStyle w:val="Compact"/>
            </w:pPr>
            <w:r>
              <w:rPr>
                <w:sz w:val="16"/>
              </w:rPr>
              <w:t xml:space="preserve">Up to 2,000</w:t>
            </w:r>
          </w:p>
        </w:tc>
        <w:tc>
          <w:tcPr/>
          <w:p>
            <w:pPr>
              <w:pStyle w:val="Compact"/>
            </w:pPr>
            <w:r>
              <w:rPr>
                <w:sz w:val="16"/>
              </w:rPr>
              <w:t xml:space="preserve">15</w:t>
            </w:r>
          </w:p>
        </w:tc>
        <w:tc>
          <w:tcPr/>
          <w:p>
            <w:pPr>
              <w:pStyle w:val="Compact"/>
            </w:pPr>
            <w:r>
              <w:rPr>
                <w:sz w:val="16"/>
              </w:rPr>
              <w:t xml:space="preserve">RAS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2,001-5,000</w:t>
            </w:r>
          </w:p>
        </w:tc>
        <w:tc>
          <w:tcPr/>
          <w:p>
            <w:pPr>
              <w:pStyle w:val="Compact"/>
            </w:pPr>
            <w:r>
              <w:rPr>
                <w:sz w:val="16"/>
              </w:rPr>
              <w:t xml:space="preserve">16</w:t>
            </w:r>
          </w:p>
        </w:tc>
        <w:tc>
          <w:tcPr/>
          <w:p>
            <w:pPr>
              <w:pStyle w:val="Compact"/>
            </w:pPr>
            <w:r>
              <w:rPr>
                <w:sz w:val="16"/>
              </w:rPr>
              <w:t xml:space="preserve">RAM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5,001,-10,000</w:t>
            </w:r>
          </w:p>
        </w:tc>
        <w:tc>
          <w:tcPr/>
          <w:p>
            <w:pPr>
              <w:pStyle w:val="Compact"/>
            </w:pPr>
            <w:r>
              <w:rPr>
                <w:sz w:val="16"/>
              </w:rPr>
              <w:t xml:space="preserve">17</w:t>
            </w:r>
          </w:p>
        </w:tc>
        <w:tc>
          <w:tcPr/>
          <w:p>
            <w:pPr>
              <w:pStyle w:val="Compact"/>
            </w:pPr>
            <w:r>
              <w:rPr>
                <w:sz w:val="16"/>
              </w:rPr>
              <w:t xml:space="preserve">RAL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10,001 to 20,000</w:t>
            </w:r>
          </w:p>
        </w:tc>
        <w:tc>
          <w:tcPr/>
          <w:p>
            <w:pPr>
              <w:pStyle w:val="Compact"/>
            </w:pPr>
            <w:r>
              <w:rPr>
                <w:sz w:val="16"/>
              </w:rPr>
              <w:t xml:space="preserve">18</w:t>
            </w:r>
          </w:p>
        </w:tc>
        <w:tc>
          <w:tcPr/>
          <w:p>
            <w:pPr>
              <w:pStyle w:val="Compact"/>
            </w:pPr>
            <w:r>
              <w:rPr>
                <w:sz w:val="16"/>
              </w:rPr>
              <w:t xml:space="preserve">RAV</w:t>
            </w:r>
          </w:p>
        </w:tc>
      </w:tr>
      <w:tr>
        <w:tc>
          <w:tcPr/>
          <w:p>
            <w:pPr>
              <w:pStyle w:val="Compact"/>
            </w:pPr>
          </w:p>
        </w:tc>
        <w:tc>
          <w:tcPr/>
          <w:p>
            <w:pPr>
              <w:pStyle w:val="Compact"/>
            </w:pPr>
            <w:r>
              <w:rPr>
                <w:sz w:val="16"/>
              </w:rPr>
              <w:t xml:space="preserve">Remote (T) - Situated in a remote locality.</w:t>
            </w:r>
          </w:p>
        </w:tc>
        <w:tc>
          <w:tcPr/>
          <w:p>
            <w:pPr>
              <w:pStyle w:val="Compact"/>
            </w:pPr>
            <w:r>
              <w:rPr>
                <w:sz w:val="16"/>
              </w:rPr>
              <w:t xml:space="preserve">Extra small</w:t>
            </w:r>
          </w:p>
        </w:tc>
        <w:tc>
          <w:tcPr/>
          <w:p>
            <w:pPr>
              <w:pStyle w:val="Compact"/>
            </w:pPr>
            <w:r>
              <w:rPr>
                <w:sz w:val="16"/>
              </w:rPr>
              <w:t xml:space="preserve">Up to 400</w:t>
            </w:r>
          </w:p>
        </w:tc>
        <w:tc>
          <w:tcPr/>
          <w:p>
            <w:pPr>
              <w:pStyle w:val="Compact"/>
            </w:pPr>
            <w:r>
              <w:rPr>
                <w:sz w:val="16"/>
              </w:rPr>
              <w:t xml:space="preserve">19</w:t>
            </w:r>
          </w:p>
        </w:tc>
        <w:tc>
          <w:tcPr/>
          <w:p>
            <w:pPr>
              <w:pStyle w:val="Compact"/>
            </w:pPr>
            <w:r>
              <w:rPr>
                <w:sz w:val="16"/>
              </w:rPr>
              <w:t xml:space="preserve">RTX</w:t>
            </w:r>
          </w:p>
        </w:tc>
      </w:tr>
      <w:tr>
        <w:tc>
          <w:tcPr/>
          <w:p>
            <w:pPr>
              <w:pStyle w:val="Compact"/>
            </w:pPr>
          </w:p>
        </w:tc>
        <w:tc>
          <w:tcPr/>
          <w:p>
            <w:pPr>
              <w:pStyle w:val="Compact"/>
            </w:pPr>
          </w:p>
        </w:tc>
        <w:tc>
          <w:tcPr/>
          <w:p>
            <w:pPr>
              <w:pStyle w:val="Compact"/>
            </w:pPr>
            <w:r>
              <w:rPr>
                <w:sz w:val="16"/>
              </w:rPr>
              <w:t xml:space="preserve">Small</w:t>
            </w:r>
          </w:p>
        </w:tc>
        <w:tc>
          <w:tcPr/>
          <w:p>
            <w:pPr>
              <w:pStyle w:val="Compact"/>
            </w:pPr>
            <w:r>
              <w:rPr>
                <w:sz w:val="16"/>
              </w:rPr>
              <w:t xml:space="preserve">401-1,000</w:t>
            </w:r>
          </w:p>
        </w:tc>
        <w:tc>
          <w:tcPr/>
          <w:p>
            <w:pPr>
              <w:pStyle w:val="Compact"/>
            </w:pPr>
            <w:r>
              <w:rPr>
                <w:sz w:val="16"/>
              </w:rPr>
              <w:t xml:space="preserve">20</w:t>
            </w:r>
          </w:p>
        </w:tc>
        <w:tc>
          <w:tcPr/>
          <w:p>
            <w:pPr>
              <w:pStyle w:val="Compact"/>
            </w:pPr>
            <w:r>
              <w:rPr>
                <w:sz w:val="16"/>
              </w:rPr>
              <w:t xml:space="preserve">RTS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1,001–3,000</w:t>
            </w:r>
          </w:p>
        </w:tc>
        <w:tc>
          <w:tcPr/>
          <w:p>
            <w:pPr>
              <w:pStyle w:val="Compact"/>
            </w:pPr>
            <w:r>
              <w:rPr>
                <w:sz w:val="16"/>
              </w:rPr>
              <w:t xml:space="preserve">21</w:t>
            </w:r>
          </w:p>
        </w:tc>
        <w:tc>
          <w:tcPr/>
          <w:p>
            <w:pPr>
              <w:pStyle w:val="Compact"/>
            </w:pPr>
            <w:r>
              <w:rPr>
                <w:sz w:val="16"/>
              </w:rPr>
              <w:t xml:space="preserve">RTM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3,001 to 20,000</w:t>
            </w:r>
          </w:p>
        </w:tc>
        <w:tc>
          <w:tcPr/>
          <w:p>
            <w:pPr>
              <w:pStyle w:val="Compact"/>
            </w:pPr>
            <w:r>
              <w:rPr>
                <w:sz w:val="16"/>
              </w:rPr>
              <w:t xml:space="preserve">22</w:t>
            </w:r>
          </w:p>
        </w:tc>
        <w:tc>
          <w:tcPr/>
          <w:p>
            <w:pPr>
              <w:pStyle w:val="Compact"/>
            </w:pPr>
            <w:r>
              <w:rPr>
                <w:sz w:val="16"/>
              </w:rPr>
              <w:t xml:space="preserve">RTL</w:t>
            </w:r>
          </w:p>
        </w:tc>
      </w:tr>
    </w:tbl>
    <w:bookmarkEnd w:id="51"/>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footnotes.xml.rels><?xml version='1.0' encoding='UTF-8' standalone='yes'?>
<Relationships xmlns="http://schemas.openxmlformats.org/package/2006/relationships"><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Characterization of the Australian Financial Assistance Grants System</dc:title>
  <dc:creator>Sreehari Pulickamadhom Sreedhar; Euan Maclean</dc:creator>
  <cp:keywords/>
  <dcterms:created xsi:type="dcterms:W3CDTF">2025-09-23T05:13:03Z</dcterms:created>
  <dcterms:modified xsi:type="dcterms:W3CDTF">2025-09-23T05:13:03Z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meta/style-manual-australian-government.csl</vt:lpwstr>
  </property>
  <property fmtid="{D5CDD505-2E9C-101B-9397-08002B2CF9AE}" pid="9" name="date">
    <vt:lpwstr>2025-09-23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order">
    <vt:lpwstr>1</vt:lpwstr>
  </property>
  <property fmtid="{D5CDD505-2E9C-101B-9397-08002B2CF9AE}" pid="15" name="template-partials">
    <vt:lpwstr/>
  </property>
  <property fmtid="{D5CDD505-2E9C-101B-9397-08002B2CF9AE}" pid="16" name="toc-title">
    <vt:lpwstr>Table of contents</vt:lpwstr>
  </property>
</Properties>
</file>