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State</w:t>
            </w:r>
          </w:p>
        </w:tc>
        <w:tc>
          <w:tcPr/>
          <w:p>
            <w:pPr>
              <w:pStyle w:val="Compact"/>
            </w:pPr>
            <w:r>
              <w:rPr>
                <w:sz w:val="16"/>
              </w:rPr>
              <w:t xml:space="preserve">Roads Component %</w:t>
            </w:r>
          </w:p>
        </w:tc>
      </w:tr>
      <w:tr>
        <w:tc>
          <w:tcPr/>
          <w:p>
            <w:pPr>
              <w:pStyle w:val="Compact"/>
            </w:pPr>
            <w:r>
              <w:rPr>
                <w:sz w:val="16"/>
              </w:rPr>
              <w:t xml:space="preserve">New South Wales</w:t>
            </w:r>
          </w:p>
        </w:tc>
        <w:tc>
          <w:tcPr/>
          <w:p>
            <w:pPr>
              <w:pStyle w:val="Compact"/>
            </w:pPr>
            <w:r>
              <w:rPr>
                <w:sz w:val="16"/>
              </w:rPr>
              <w:t xml:space="preserve">29.0%</w:t>
            </w:r>
          </w:p>
        </w:tc>
      </w:tr>
      <w:tr>
        <w:tc>
          <w:tcPr/>
          <w:p>
            <w:pPr>
              <w:pStyle w:val="Compact"/>
            </w:pPr>
            <w:r>
              <w:rPr>
                <w:sz w:val="16"/>
              </w:rPr>
              <w:t xml:space="preserve">Victoria</w:t>
            </w:r>
          </w:p>
        </w:tc>
        <w:tc>
          <w:tcPr/>
          <w:p>
            <w:pPr>
              <w:pStyle w:val="Compact"/>
            </w:pPr>
            <w:r>
              <w:rPr>
                <w:sz w:val="16"/>
              </w:rPr>
              <w:t xml:space="preserve">20.6%</w:t>
            </w:r>
          </w:p>
        </w:tc>
      </w:tr>
      <w:tr>
        <w:tc>
          <w:tcPr/>
          <w:p>
            <w:pPr>
              <w:pStyle w:val="Compact"/>
            </w:pPr>
            <w:r>
              <w:rPr>
                <w:sz w:val="16"/>
              </w:rPr>
              <w:t xml:space="preserve">Queensland</w:t>
            </w:r>
          </w:p>
        </w:tc>
        <w:tc>
          <w:tcPr/>
          <w:p>
            <w:pPr>
              <w:pStyle w:val="Compact"/>
            </w:pPr>
            <w:r>
              <w:rPr>
                <w:sz w:val="16"/>
              </w:rPr>
              <w:t xml:space="preserve">18.7%</w:t>
            </w:r>
          </w:p>
        </w:tc>
      </w:tr>
      <w:tr>
        <w:tc>
          <w:tcPr/>
          <w:p>
            <w:pPr>
              <w:pStyle w:val="Compact"/>
            </w:pPr>
            <w:r>
              <w:rPr>
                <w:sz w:val="16"/>
              </w:rPr>
              <w:t xml:space="preserve">South Australia</w:t>
            </w:r>
          </w:p>
        </w:tc>
        <w:tc>
          <w:tcPr/>
          <w:p>
            <w:pPr>
              <w:pStyle w:val="Compact"/>
            </w:pPr>
            <w:r>
              <w:rPr>
                <w:sz w:val="16"/>
              </w:rPr>
              <w:t xml:space="preserve">5.5%</w:t>
            </w:r>
          </w:p>
        </w:tc>
      </w:tr>
      <w:tr>
        <w:tc>
          <w:tcPr/>
          <w:p>
            <w:pPr>
              <w:pStyle w:val="Compact"/>
            </w:pPr>
            <w:r>
              <w:rPr>
                <w:sz w:val="16"/>
              </w:rPr>
              <w:t xml:space="preserve">Western Australia</w:t>
            </w:r>
          </w:p>
        </w:tc>
        <w:tc>
          <w:tcPr/>
          <w:p>
            <w:pPr>
              <w:pStyle w:val="Compact"/>
            </w:pPr>
            <w:r>
              <w:rPr>
                <w:sz w:val="16"/>
              </w:rPr>
              <w:t xml:space="preserve">15.3%</w:t>
            </w:r>
          </w:p>
        </w:tc>
      </w:tr>
      <w:tr>
        <w:tc>
          <w:tcPr/>
          <w:p>
            <w:pPr>
              <w:pStyle w:val="Compact"/>
            </w:pPr>
            <w:r>
              <w:rPr>
                <w:sz w:val="16"/>
              </w:rPr>
              <w:t xml:space="preserve">Tasmania</w:t>
            </w:r>
          </w:p>
        </w:tc>
        <w:tc>
          <w:tcPr/>
          <w:p>
            <w:pPr>
              <w:pStyle w:val="Compact"/>
            </w:pPr>
            <w:r>
              <w:rPr>
                <w:sz w:val="16"/>
              </w:rPr>
              <w:t xml:space="preserve">5.3%</w:t>
            </w:r>
          </w:p>
        </w:tc>
      </w:tr>
      <w:tr>
        <w:tc>
          <w:tcPr/>
          <w:p>
            <w:pPr>
              <w:pStyle w:val="Compact"/>
            </w:pPr>
            <w:r>
              <w:rPr>
                <w:sz w:val="16"/>
              </w:rPr>
              <w:t xml:space="preserve">Northern Territory</w:t>
            </w:r>
          </w:p>
        </w:tc>
        <w:tc>
          <w:tcPr/>
          <w:p>
            <w:pPr>
              <w:pStyle w:val="Compact"/>
            </w:pPr>
            <w:r>
              <w:rPr>
                <w:sz w:val="16"/>
              </w:rPr>
              <w:t xml:space="preserve">2.3%</w:t>
            </w:r>
          </w:p>
        </w:tc>
      </w:tr>
      <w:tr>
        <w:tc>
          <w:tcPr/>
          <w:p>
            <w:pPr>
              <w:pStyle w:val="Compact"/>
            </w:pPr>
            <w:r>
              <w:rPr>
                <w:sz w:val="16"/>
              </w:rPr>
              <w:t xml:space="preserve">Australian Capital Territory</w:t>
            </w:r>
          </w:p>
        </w:tc>
        <w:tc>
          <w:tcPr/>
          <w:p>
            <w:pPr>
              <w:pStyle w:val="Compact"/>
            </w:pPr>
            <w:r>
              <w:rPr>
                <w:sz w:val="16"/>
              </w:rP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3" w:name="references"/>
    <w:p>
      <w:r>
        <w:br w:type="page"/>
      </w:r>
    </w:p>
    <w:p>
      <w:pPr>
        <w:pStyle w:val="Heading1"/>
      </w:pPr>
      <w:r>
        <w:t xml:space="preserve">References</w:t>
      </w:r>
    </w:p>
    <w:bookmarkStart w:id="52" w:name="refs"/>
    <w:bookmarkStart w:id="51" w:name="ref-ditrdcsaLocalGovernmentNational2022"/>
    <w:p>
      <w:pPr>
        <w:pStyle w:val="Bibliography"/>
      </w:pPr>
      <w:r>
        <w:t xml:space="preserve">DITRDCSA (2022)</w:t>
      </w:r>
      <w:r>
        <w:t xml:space="preserve"> </w:t>
      </w:r>
      <w:r>
        <w:t xml:space="preserve">‘Local</w:t>
      </w:r>
      <w:r>
        <w:t xml:space="preserve"> </w:t>
      </w:r>
      <w:r>
        <w:t xml:space="preserve">Government National Report</w:t>
      </w:r>
      <w:r>
        <w:t xml:space="preserve"> </w:t>
      </w:r>
      <w:r>
        <w:t xml:space="preserve">2021-2022’</w:t>
      </w:r>
      <w:r>
        <w:t xml:space="preserve">,</w:t>
      </w:r>
      <w:r>
        <w:t xml:space="preserve"> </w:t>
      </w:r>
      <w:r>
        <w:rPr>
          <w:i/>
          <w:iCs/>
        </w:rPr>
        <w:t xml:space="preserve">Local Government National Reports</w:t>
      </w:r>
      <w:r>
        <w:t xml:space="preserve">.</w:t>
      </w:r>
    </w:p>
    <w:bookmarkEnd w:id="51"/>
    <w:bookmarkEnd w:id="52"/>
    <w:bookmarkEnd w:id="53"/>
    <w:bookmarkStart w:id="54" w:name="Xfe68e0bb60ce70abf2c4c3cc1a20d52a81a2c10"/>
    <w:p>
      <w:r>
        <w:br w:type="page"/>
      </w:r>
    </w:p>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w:t>
      </w:r>
      <w:r>
        <w:t xml:space="preserve"> </w:t>
      </w:r>
      <w:r>
        <w:t xml:space="preserve">(DITRDCSA 2022)</w:t>
      </w:r>
      <w:r>
        <w:t xml:space="preserve">.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4"/>
    <w:bookmarkStart w:id="56" w:name="winners-and-losers"/>
    <w:p>
      <w:r>
        <w:br w:type="page"/>
      </w:r>
    </w:p>
    <w:p>
      <w:pPr>
        <w:pStyle w:val="Heading1"/>
      </w:pPr>
      <w:r>
        <w:t xml:space="preserve">Appendix B — Winners and Losers</w:t>
      </w:r>
    </w:p>
    <w:p>
      <w:pPr>
        <w:pStyle w:val="FirstParagraph"/>
      </w:pPr>
      <w:r>
        <w:t xml:space="preserve">A look at changes to minimum grant entitlements</w:t>
      </w:r>
    </w:p>
    <w:p>
      <w:pPr>
        <w:pStyle w:val="BodyText"/>
      </w:pPr>
      <w:r>
        <w:br/>
      </w:r>
    </w:p>
    <w:p>
      <w:pPr>
        <w:pStyle w:val="BodyText"/>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55">
        <w:r>
          <w:rPr>
            <w:rStyle w:val="Hyperlink"/>
          </w:rPr>
          <w:t xml:space="preserve">https://spulick.github.io/fa_grants</w:t>
        </w:r>
      </w:hyperlink>
      <w:r>
        <w:t xml:space="preserve">. At a high level, the process involves:</w:t>
      </w:r>
    </w:p>
    <w:p>
      <w:pPr>
        <w:numPr>
          <w:ilvl w:val="0"/>
          <w:numId w:val="1007"/>
        </w:numPr>
      </w:pPr>
      <w:r>
        <w:t xml:space="preserve">Estimating the funds allocated to each state and territory for the General Purpose component in each year from 2025-26 to 2028-29.</w:t>
      </w:r>
    </w:p>
    <w:p>
      <w:pPr>
        <w:pStyle w:val="Compact"/>
        <w:numPr>
          <w:ilvl w:val="1"/>
          <w:numId w:val="1008"/>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7"/>
        </w:numPr>
      </w:pPr>
      <w:r>
        <w:t xml:space="preserve">Estimating the quantum of funding allocated to each council in a state or territory based on that jurisdiction’s grant commission’s distribution formula.</w:t>
      </w:r>
    </w:p>
    <w:p>
      <w:pPr>
        <w:numPr>
          <w:ilvl w:val="1"/>
          <w:numId w:val="1009"/>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9"/>
        </w:numPr>
      </w:pPr>
      <w:r>
        <w:t xml:space="preserve">This funding gap is assumed to follow a random walk over time, i.e., the funding gap is in year T is the funding gap in year T-1 plus or minus a random shock.</w:t>
      </w:r>
    </w:p>
    <w:p>
      <w:pPr>
        <w:numPr>
          <w:ilvl w:val="1"/>
          <w:numId w:val="1009"/>
        </w:numPr>
      </w:pPr>
      <w:r>
        <w:t xml:space="preserve">Councils are then allocated funding based on the minimum grant entitlement (as was passed into the model) and the funding gap metric based on the relevant state’s distribution process. It is important to note that juridictions impose year-on-year caps on changes to council entitlements to provide some semblance of stability. These caps (as they were in 2024-25) have been imposed in the model as well.</w:t>
      </w:r>
    </w:p>
    <w:p>
      <w:pPr>
        <w:numPr>
          <w:ilvl w:val="0"/>
          <w:numId w:val="1007"/>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10"/>
        </w:numPr>
      </w:pPr>
      <w:r>
        <w:t xml:space="preserve">A baseline scenario where a council’s minimum grant entitlements are 30% of the amount estimated on a per-capita basis.</w:t>
      </w:r>
    </w:p>
    <w:p>
      <w:pPr>
        <w:pStyle w:val="Compact"/>
        <w:numPr>
          <w:ilvl w:val="0"/>
          <w:numId w:val="1010"/>
        </w:numPr>
      </w:pPr>
      <w:r>
        <w:t xml:space="preserve">A 20% per-capita minimum grant entitlement.</w:t>
      </w:r>
    </w:p>
    <w:p>
      <w:pPr>
        <w:pStyle w:val="Compact"/>
        <w:numPr>
          <w:ilvl w:val="0"/>
          <w:numId w:val="1010"/>
        </w:numPr>
      </w:pPr>
      <w:r>
        <w:t xml:space="preserve">A 10% per-capita minimum grant entitlement.</w:t>
      </w:r>
    </w:p>
    <w:p>
      <w:pPr>
        <w:pStyle w:val="Compact"/>
        <w:numPr>
          <w:ilvl w:val="0"/>
          <w:numId w:val="1010"/>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End w:id="56"/>
    <w:bookmarkStart w:id="65" w:name="a-20-per-capita-minimum-grant"/>
    <w:p>
      <w:r>
        <w:br w:type="page"/>
      </w:r>
    </w:p>
    <w:p>
      <w:pPr>
        <w:pStyle w:val="Heading1"/>
      </w:pPr>
      <w:r>
        <w:t xml:space="preserve">Appendix B — A 20% Per Capita Minimum Grant</w:t>
      </w:r>
    </w:p>
    <w:bookmarkStart w:id="57" w:name="national"/>
    <w:p>
      <w:pPr>
        <w:pStyle w:val="Heading2"/>
      </w:pPr>
      <w:r>
        <w:t xml:space="preserve">B.1 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9,390,112.2</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14</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bookmarkEnd w:id="57"/>
    <w:bookmarkStart w:id="58" w:name="new-south-wales-1"/>
    <w:p>
      <w:pPr>
        <w:pStyle w:val="Heading2"/>
      </w:pPr>
      <w:r>
        <w:t xml:space="preserve">B.2 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4,670,447.6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58"/>
    <w:bookmarkStart w:id="59" w:name="victoria-1"/>
    <w:p>
      <w:pPr>
        <w:pStyle w:val="Heading2"/>
      </w:pPr>
      <w:r>
        <w:t xml:space="preserve">B.3 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5,112,982.7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59"/>
    <w:bookmarkStart w:id="60" w:name="queensland-1"/>
    <w:p>
      <w:pPr>
        <w:pStyle w:val="Heading2"/>
      </w:pPr>
      <w:r>
        <w:t xml:space="preserve">B.4 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9,390,112.2</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60"/>
    <w:bookmarkStart w:id="61" w:name="south-australia-1"/>
    <w:p>
      <w:pPr>
        <w:pStyle w:val="Heading2"/>
      </w:pPr>
      <w:r>
        <w:t xml:space="preserve">B.5 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3,833,207.2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bookmarkEnd w:id="61"/>
    <w:bookmarkStart w:id="62" w:name="western-australia-1"/>
    <w:p>
      <w:pPr>
        <w:pStyle w:val="Heading2"/>
      </w:pPr>
      <w:r>
        <w:t xml:space="preserve">B.6 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3,198,836.4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bookmarkEnd w:id="62"/>
    <w:bookmarkStart w:id="63" w:name="tasmania-1"/>
    <w:p>
      <w:pPr>
        <w:pStyle w:val="Heading2"/>
      </w:pPr>
      <w:r>
        <w:t xml:space="preserve">B.7 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942,545.3</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bookmarkEnd w:id="63"/>
    <w:bookmarkStart w:id="64" w:name="northern-territory-1"/>
    <w:p>
      <w:pPr>
        <w:pStyle w:val="Heading2"/>
      </w:pPr>
      <w:r>
        <w:t xml:space="preserve">B.8 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1,892,422.3</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64"/>
    <w:bookmarkEnd w:id="65"/>
    <w:bookmarkStart w:id="74" w:name="a-10-per-capita-minimum-grant"/>
    <w:p>
      <w:r>
        <w:br w:type="page"/>
      </w:r>
    </w:p>
    <w:p>
      <w:pPr>
        <w:pStyle w:val="Heading1"/>
      </w:pPr>
      <w:r>
        <w:t xml:space="preserve">Appendix B — A 10% Per Capita Minimum Grant</w:t>
      </w:r>
    </w:p>
    <w:bookmarkStart w:id="66" w:name="national-1"/>
    <w:p>
      <w:pPr>
        <w:pStyle w:val="Heading2"/>
      </w:pPr>
      <w:r>
        <w:t xml:space="preserve">B.1 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18,644,855.6</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c>
          <w:tcPr/>
          <w:p>
            <w:pPr>
              <w:pStyle w:val="Compact"/>
            </w:pPr>
            <w:r>
              <w:rPr>
                <w:sz w:val="16"/>
              </w:rPr>
              <w:t xml:space="preserve">15</w:t>
            </w:r>
          </w:p>
        </w:tc>
        <w:tc>
          <w:tcPr/>
          <w:p>
            <w:pPr>
              <w:pStyle w:val="Compact"/>
            </w:pPr>
            <w:r>
              <w:rPr>
                <w:sz w:val="16"/>
              </w:rPr>
              <w:t xml:space="preserve">75</w:t>
            </w:r>
          </w:p>
        </w:tc>
      </w:tr>
    </w:tbl>
    <w:bookmarkEnd w:id="66"/>
    <w:bookmarkStart w:id="67" w:name="new-south-wales-2"/>
    <w:p>
      <w:pPr>
        <w:pStyle w:val="Heading2"/>
      </w:pPr>
      <w:r>
        <w:t xml:space="preserve">B.2 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9,299,850.9</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67"/>
    <w:bookmarkStart w:id="68" w:name="victoria-2"/>
    <w:p>
      <w:pPr>
        <w:pStyle w:val="Heading2"/>
      </w:pPr>
      <w:r>
        <w:t xml:space="preserve">B.3 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10,060,166.5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68"/>
    <w:bookmarkStart w:id="69" w:name="queensland-2"/>
    <w:p>
      <w:pPr>
        <w:pStyle w:val="Heading2"/>
      </w:pPr>
      <w:r>
        <w:t xml:space="preserve">B.4 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18,644,855.6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69"/>
    <w:bookmarkStart w:id="70" w:name="south-australia-2"/>
    <w:p>
      <w:pPr>
        <w:pStyle w:val="Heading2"/>
      </w:pPr>
      <w:r>
        <w:t xml:space="preserve">B.5 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7,748,936.3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bookmarkEnd w:id="70"/>
    <w:bookmarkStart w:id="71" w:name="western-australia-2"/>
    <w:p>
      <w:pPr>
        <w:pStyle w:val="Heading2"/>
      </w:pPr>
      <w:r>
        <w:t xml:space="preserve">B.6 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6,375,165.2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bookmarkEnd w:id="71"/>
    <w:bookmarkStart w:id="72" w:name="tasmania-2"/>
    <w:p>
      <w:pPr>
        <w:pStyle w:val="Heading2"/>
      </w:pPr>
      <w:r>
        <w:t xml:space="preserve">B.7 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1,871,925.3</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bookmarkEnd w:id="72"/>
    <w:bookmarkStart w:id="73" w:name="northern-territory-2"/>
    <w:p>
      <w:pPr>
        <w:pStyle w:val="Heading2"/>
      </w:pPr>
      <w:r>
        <w:t xml:space="preserve">B.8 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3,791,960.5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73"/>
    <w:bookmarkEnd w:id="74"/>
    <w:bookmarkStart w:id="83" w:name="a-world-with-no-per-capita-minimum-grant"/>
    <w:p>
      <w:r>
        <w:br w:type="page"/>
      </w:r>
    </w:p>
    <w:p>
      <w:pPr>
        <w:pStyle w:val="Heading1"/>
      </w:pPr>
      <w:r>
        <w:t xml:space="preserve">Appendix B — A World With No Per Capita Minimum Grant</w:t>
      </w:r>
    </w:p>
    <w:bookmarkStart w:id="75" w:name="national-2"/>
    <w:p>
      <w:pPr>
        <w:pStyle w:val="Heading2"/>
      </w:pPr>
      <w:r>
        <w:t xml:space="preserve">B.1 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27,999,961.8</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12</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r>
    </w:tbl>
    <w:bookmarkEnd w:id="75"/>
    <w:bookmarkStart w:id="76" w:name="new-south-wales-3"/>
    <w:p>
      <w:pPr>
        <w:pStyle w:val="Heading2"/>
      </w:pPr>
      <w:r>
        <w:t xml:space="preserve">B.2 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13,754,495.9</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76"/>
    <w:bookmarkStart w:id="77" w:name="victoria-3"/>
    <w:p>
      <w:pPr>
        <w:pStyle w:val="Heading2"/>
      </w:pPr>
      <w:r>
        <w:t xml:space="preserve">B.3 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15,135,672.7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77"/>
    <w:bookmarkStart w:id="78" w:name="queensland-3"/>
    <w:p>
      <w:pPr>
        <w:pStyle w:val="Heading2"/>
      </w:pPr>
      <w:r>
        <w:t xml:space="preserve">B.4 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27,999,961.8</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bookmarkEnd w:id="78"/>
    <w:bookmarkStart w:id="79" w:name="south-australia-3"/>
    <w:p>
      <w:pPr>
        <w:pStyle w:val="Heading2"/>
      </w:pPr>
      <w:r>
        <w:t xml:space="preserve">B.5 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11,464,107.2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bookmarkEnd w:id="79"/>
    <w:bookmarkStart w:id="80" w:name="western-australia-3"/>
    <w:p>
      <w:pPr>
        <w:pStyle w:val="Heading2"/>
      </w:pPr>
      <w:r>
        <w:t xml:space="preserve">B.6 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9,604,005.9</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bookmarkEnd w:id="80"/>
    <w:bookmarkStart w:id="81" w:name="tasmania-3"/>
    <w:p>
      <w:pPr>
        <w:pStyle w:val="Heading2"/>
      </w:pPr>
      <w:r>
        <w:t xml:space="preserve">B.7 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2,817,074.9</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bookmarkEnd w:id="81"/>
    <w:bookmarkStart w:id="82" w:name="northern-territory-3"/>
    <w:p>
      <w:pPr>
        <w:pStyle w:val="Heading2"/>
      </w:pPr>
      <w:r>
        <w:t xml:space="preserve">B.8 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5,712,708.1</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82"/>
    <w:bookmarkEnd w:id="83"/>
    <w:bookmarkStart w:id="92" w:name="and-for-sanity-reasons-status-quo"/>
    <w:p>
      <w:r>
        <w:br w:type="page"/>
      </w:r>
    </w:p>
    <w:p>
      <w:pPr>
        <w:pStyle w:val="Heading1"/>
      </w:pPr>
      <w:r>
        <w:t xml:space="preserve">Appendix B — And for sanity reasons, status quo</w:t>
      </w:r>
    </w:p>
    <w:bookmarkStart w:id="84" w:name="national-3"/>
    <w:p>
      <w:pPr>
        <w:pStyle w:val="Heading2"/>
      </w:pPr>
      <w:r>
        <w:t xml:space="preserve">B.1 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67</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135</w:t>
            </w:r>
          </w:p>
        </w:tc>
      </w:tr>
    </w:tbl>
    <w:bookmarkEnd w:id="84"/>
    <w:bookmarkStart w:id="85" w:name="new-south-wales-4"/>
    <w:p>
      <w:pPr>
        <w:pStyle w:val="Heading2"/>
      </w:pPr>
      <w:r>
        <w:t xml:space="preserve">B.2 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bookmarkEnd w:id="85"/>
    <w:bookmarkStart w:id="86" w:name="victoria-4"/>
    <w:p>
      <w:pPr>
        <w:pStyle w:val="Heading2"/>
      </w:pPr>
      <w:r>
        <w:t xml:space="preserve">B.3 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bookmarkEnd w:id="86"/>
    <w:bookmarkStart w:id="87" w:name="queensland-4"/>
    <w:p>
      <w:pPr>
        <w:pStyle w:val="Heading2"/>
      </w:pPr>
      <w:r>
        <w:t xml:space="preserve">B.4 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bookmarkEnd w:id="87"/>
    <w:bookmarkStart w:id="88" w:name="south-australia-4"/>
    <w:p>
      <w:pPr>
        <w:pStyle w:val="Heading2"/>
      </w:pPr>
      <w:r>
        <w:t xml:space="preserve">B.5 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bookmarkEnd w:id="88"/>
    <w:bookmarkStart w:id="89" w:name="western-australia-4"/>
    <w:p>
      <w:pPr>
        <w:pStyle w:val="Heading2"/>
      </w:pPr>
      <w:r>
        <w:t xml:space="preserve">B.6 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2</w:t>
            </w:r>
          </w:p>
        </w:tc>
      </w:tr>
    </w:tbl>
    <w:bookmarkEnd w:id="89"/>
    <w:bookmarkStart w:id="90" w:name="tasmania-4"/>
    <w:p>
      <w:pPr>
        <w:pStyle w:val="Heading2"/>
      </w:pPr>
      <w:r>
        <w:t xml:space="preserve">B.7 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bookmarkEnd w:id="90"/>
    <w:bookmarkStart w:id="91" w:name="northern-territory-4"/>
    <w:p>
      <w:pPr>
        <w:pStyle w:val="Heading2"/>
      </w:pPr>
      <w:r>
        <w:t xml:space="preserve">B.8 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91"/>
    <w:bookmarkEnd w:id="92"/>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55" Type="http://schemas.openxmlformats.org/officeDocument/2006/relationships/hyperlink" Target="https://spulick.github.io/fa_grants"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55" Type="http://schemas.openxmlformats.org/officeDocument/2006/relationships/hyperlink" Target="https://spulick.github.io/fa_grants"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2025-09-16T05:34:58Z</dcterms:created>
  <dcterms:modified xsi:type="dcterms:W3CDTF">2025-09-16T05:34:58Z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