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r>
        <w:br w:type="page"/>
      </w:r>
    </w:p>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r>
        <w:br w:type="page"/>
      </w:r>
    </w:p>
    <w:p>
      <w:pPr>
        <w:pStyle w:val="Heading1"/>
      </w:pPr>
      <w:r>
        <w:t xml:space="preserve">1. Abstract</w:t>
      </w:r>
    </w:p>
    <w:bookmarkEnd w:id="21"/>
    <w:bookmarkStart w:id="27" w:name="an-introduction-to-the-fa-grants-system"/>
    <w:p>
      <w:r>
        <w:br w:type="page"/>
      </w:r>
    </w:p>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r>
        <w:br w:type="page"/>
      </w:r>
    </w:p>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r>
        <w:br w:type="page"/>
      </w:r>
    </w:p>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State</w:t>
            </w:r>
          </w:p>
        </w:tc>
        <w:tc>
          <w:tcPr/>
          <w:p>
            <w:pPr>
              <w:pStyle w:val="Compact"/>
            </w:pPr>
            <w:r>
              <w:rPr>
                <w:sz w:val="16"/>
              </w:rPr>
              <w:t xml:space="preserve">Roads Component %</w:t>
            </w:r>
          </w:p>
        </w:tc>
      </w:tr>
      <w:tr>
        <w:tc>
          <w:tcPr/>
          <w:p>
            <w:pPr>
              <w:pStyle w:val="Compact"/>
            </w:pPr>
            <w:r>
              <w:rPr>
                <w:sz w:val="16"/>
              </w:rPr>
              <w:t xml:space="preserve">New South Wales</w:t>
            </w:r>
          </w:p>
        </w:tc>
        <w:tc>
          <w:tcPr/>
          <w:p>
            <w:pPr>
              <w:pStyle w:val="Compact"/>
            </w:pPr>
            <w:r>
              <w:rPr>
                <w:sz w:val="16"/>
              </w:rPr>
              <w:t xml:space="preserve">29.0%</w:t>
            </w:r>
          </w:p>
        </w:tc>
      </w:tr>
      <w:tr>
        <w:tc>
          <w:tcPr/>
          <w:p>
            <w:pPr>
              <w:pStyle w:val="Compact"/>
            </w:pPr>
            <w:r>
              <w:rPr>
                <w:sz w:val="16"/>
              </w:rPr>
              <w:t xml:space="preserve">Victoria</w:t>
            </w:r>
          </w:p>
        </w:tc>
        <w:tc>
          <w:tcPr/>
          <w:p>
            <w:pPr>
              <w:pStyle w:val="Compact"/>
            </w:pPr>
            <w:r>
              <w:rPr>
                <w:sz w:val="16"/>
              </w:rPr>
              <w:t xml:space="preserve">20.6%</w:t>
            </w:r>
          </w:p>
        </w:tc>
      </w:tr>
      <w:tr>
        <w:tc>
          <w:tcPr/>
          <w:p>
            <w:pPr>
              <w:pStyle w:val="Compact"/>
            </w:pPr>
            <w:r>
              <w:rPr>
                <w:sz w:val="16"/>
              </w:rPr>
              <w:t xml:space="preserve">Queensland</w:t>
            </w:r>
          </w:p>
        </w:tc>
        <w:tc>
          <w:tcPr/>
          <w:p>
            <w:pPr>
              <w:pStyle w:val="Compact"/>
            </w:pPr>
            <w:r>
              <w:rPr>
                <w:sz w:val="16"/>
              </w:rPr>
              <w:t xml:space="preserve">18.7%</w:t>
            </w:r>
          </w:p>
        </w:tc>
      </w:tr>
      <w:tr>
        <w:tc>
          <w:tcPr/>
          <w:p>
            <w:pPr>
              <w:pStyle w:val="Compact"/>
            </w:pPr>
            <w:r>
              <w:rPr>
                <w:sz w:val="16"/>
              </w:rPr>
              <w:t xml:space="preserve">South Australia</w:t>
            </w:r>
          </w:p>
        </w:tc>
        <w:tc>
          <w:tcPr/>
          <w:p>
            <w:pPr>
              <w:pStyle w:val="Compact"/>
            </w:pPr>
            <w:r>
              <w:rPr>
                <w:sz w:val="16"/>
              </w:rPr>
              <w:t xml:space="preserve">5.5%</w:t>
            </w:r>
          </w:p>
        </w:tc>
      </w:tr>
      <w:tr>
        <w:tc>
          <w:tcPr/>
          <w:p>
            <w:pPr>
              <w:pStyle w:val="Compact"/>
            </w:pPr>
            <w:r>
              <w:rPr>
                <w:sz w:val="16"/>
              </w:rPr>
              <w:t xml:space="preserve">Western Australia</w:t>
            </w:r>
          </w:p>
        </w:tc>
        <w:tc>
          <w:tcPr/>
          <w:p>
            <w:pPr>
              <w:pStyle w:val="Compact"/>
            </w:pPr>
            <w:r>
              <w:rPr>
                <w:sz w:val="16"/>
              </w:rPr>
              <w:t xml:space="preserve">15.3%</w:t>
            </w:r>
          </w:p>
        </w:tc>
      </w:tr>
      <w:tr>
        <w:tc>
          <w:tcPr/>
          <w:p>
            <w:pPr>
              <w:pStyle w:val="Compact"/>
            </w:pPr>
            <w:r>
              <w:rPr>
                <w:sz w:val="16"/>
              </w:rPr>
              <w:t xml:space="preserve">Tasmania</w:t>
            </w:r>
          </w:p>
        </w:tc>
        <w:tc>
          <w:tcPr/>
          <w:p>
            <w:pPr>
              <w:pStyle w:val="Compact"/>
            </w:pPr>
            <w:r>
              <w:rPr>
                <w:sz w:val="16"/>
              </w:rPr>
              <w:t xml:space="preserve">5.3%</w:t>
            </w:r>
          </w:p>
        </w:tc>
      </w:tr>
      <w:tr>
        <w:tc>
          <w:tcPr/>
          <w:p>
            <w:pPr>
              <w:pStyle w:val="Compact"/>
            </w:pPr>
            <w:r>
              <w:rPr>
                <w:sz w:val="16"/>
              </w:rPr>
              <w:t xml:space="preserve">Northern Territory</w:t>
            </w:r>
          </w:p>
        </w:tc>
        <w:tc>
          <w:tcPr/>
          <w:p>
            <w:pPr>
              <w:pStyle w:val="Compact"/>
            </w:pPr>
            <w:r>
              <w:rPr>
                <w:sz w:val="16"/>
              </w:rPr>
              <w:t xml:space="preserve">2.3%</w:t>
            </w:r>
          </w:p>
        </w:tc>
      </w:tr>
      <w:tr>
        <w:tc>
          <w:tcPr/>
          <w:p>
            <w:pPr>
              <w:pStyle w:val="Compact"/>
            </w:pPr>
            <w:r>
              <w:rPr>
                <w:sz w:val="16"/>
              </w:rPr>
              <w:t xml:space="preserve">Australian Capital Territory</w:t>
            </w:r>
          </w:p>
        </w:tc>
        <w:tc>
          <w:tcPr/>
          <w:p>
            <w:pPr>
              <w:pStyle w:val="Compact"/>
            </w:pPr>
            <w:r>
              <w:rPr>
                <w:sz w:val="16"/>
              </w:rP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r>
        <w:br w:type="page"/>
      </w:r>
    </w:p>
    <w:p>
      <w:pPr>
        <w:pStyle w:val="Heading1"/>
      </w:pPr>
      <w:r>
        <w:t xml:space="preserve">5. Discussed Issues</w:t>
      </w:r>
    </w:p>
    <w:p>
      <w:pPr>
        <w:pStyle w:val="FirstParagraph"/>
      </w:pPr>
      <w:r>
        <w:t xml:space="preserve">This is the content for # Discussed Issues.</w:t>
      </w:r>
    </w:p>
    <w:bookmarkEnd w:id="50"/>
    <w:bookmarkStart w:id="53" w:name="references"/>
    <w:p>
      <w:r>
        <w:br w:type="page"/>
      </w:r>
    </w:p>
    <w:p>
      <w:pPr>
        <w:pStyle w:val="Heading1"/>
      </w:pPr>
      <w:r>
        <w:t xml:space="preserve">References</w:t>
      </w:r>
    </w:p>
    <w:bookmarkStart w:id="52" w:name="refs"/>
    <w:bookmarkStart w:id="51" w:name="ref-ditrdcsaLocalGovernmentNational2022"/>
    <w:p>
      <w:pPr>
        <w:pStyle w:val="Bibliography"/>
      </w:pPr>
      <w:r>
        <w:t xml:space="preserve">DITRDCSA (2022)</w:t>
      </w:r>
      <w:r>
        <w:t xml:space="preserve"> </w:t>
      </w:r>
      <w:r>
        <w:t xml:space="preserve">‘Local</w:t>
      </w:r>
      <w:r>
        <w:t xml:space="preserve"> </w:t>
      </w:r>
      <w:r>
        <w:t xml:space="preserve">Government National Report</w:t>
      </w:r>
      <w:r>
        <w:t xml:space="preserve"> </w:t>
      </w:r>
      <w:r>
        <w:t xml:space="preserve">2021-2022’</w:t>
      </w:r>
      <w:r>
        <w:t xml:space="preserve">,</w:t>
      </w:r>
      <w:r>
        <w:t xml:space="preserve"> </w:t>
      </w:r>
      <w:r>
        <w:rPr>
          <w:i/>
          <w:iCs/>
        </w:rPr>
        <w:t xml:space="preserve">Local Government National Reports</w:t>
      </w:r>
      <w:r>
        <w:t xml:space="preserve">.</w:t>
      </w:r>
    </w:p>
    <w:bookmarkEnd w:id="51"/>
    <w:bookmarkEnd w:id="52"/>
    <w:bookmarkEnd w:id="53"/>
    <w:bookmarkStart w:id="54" w:name="Xfe68e0bb60ce70abf2c4c3cc1a20d52a81a2c10"/>
    <w:p>
      <w:r>
        <w:br w:type="page"/>
      </w:r>
    </w:p>
    <w:p>
      <w:pPr>
        <w:pStyle w:val="Heading1"/>
      </w:pPr>
      <w:r>
        <w:t xml:space="preserve">Appendix A — A note on the Australian Classification of Local Government</w:t>
      </w:r>
    </w:p>
    <w:p>
      <w:pPr>
        <w:pStyle w:val="FirstParagraph"/>
      </w:pPr>
      <w:r>
        <w:t xml:space="preserve">The Australian Classification of Local Governments (ACLG) was a system maintained and published by the Department of Infrastructure, Transport, Regional Development, Communications, Sport and the Arts (DITRDCSA)</w:t>
      </w:r>
      <w:r>
        <w:t xml:space="preserve"> </w:t>
      </w:r>
      <w:r>
        <w:t xml:space="preserve">(DITRDCSA 2022)</w:t>
      </w:r>
      <w:r>
        <w:t xml:space="preserve">.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54"/>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2025-09-23T04:54:38Z</dcterms:created>
  <dcterms:modified xsi:type="dcterms:W3CDTF">2025-09-23T04:54:38Z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