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Winners and Losers : A look at changes to minimum grant entitlements</w:t>
      </w:r>
    </w:p>
    <w:p>
      <w:pPr>
        <w:pStyle w:val="Author"/>
      </w:pPr>
      <w:r>
        <w:t xml:space="preserve">Sreehari Pulickamadhom Sreedhar</w:t>
      </w:r>
    </w:p>
    <w:p>
      <w:pPr>
        <w:pStyle w:val="Author"/>
      </w:pPr>
      <w:r>
        <w:t xml:space="preserve">Euan Maclean</w:t>
      </w:r>
    </w:p>
    <w:p>
      <w:pPr>
        <w:pStyle w:val="FirstParagraph"/>
      </w:pPr>
      <w:r>
        <w:t xml:space="preserve">This document summarizes the expected changes to the Financial Assistance Grant General Purpose component entitlements.</w:t>
      </w:r>
    </w:p>
    <w:p>
      <w:pPr>
        <w:pStyle w:val="BodyText"/>
      </w:pPr>
      <w:r>
        <w:t xml:space="preserve">The analysis is based on grant entitlements estimated by the data generation process defined at</w:t>
      </w:r>
      <w:r>
        <w:t xml:space="preserve"> </w:t>
      </w:r>
      <w:hyperlink r:id="rId20">
        <w:r>
          <w:rPr>
            <w:rStyle w:val="Hyperlink"/>
          </w:rPr>
          <w:t xml:space="preserve">https://spulick.github.io/fa_grants</w:t>
        </w:r>
      </w:hyperlink>
      <w:r>
        <w:t xml:space="preserve">. At a high level, the process involves:</w:t>
      </w:r>
    </w:p>
    <w:p>
      <w:pPr>
        <w:numPr>
          <w:ilvl w:val="0"/>
          <w:numId w:val="1001"/>
        </w:numPr>
      </w:pPr>
      <w:r>
        <w:t xml:space="preserve">Estimating the funds allocated to each state and territory for the General Purpose component in each year from 2025-26 to 2028-29.</w:t>
      </w:r>
    </w:p>
    <w:p>
      <w:pPr>
        <w:pStyle w:val="Compact"/>
        <w:numPr>
          <w:ilvl w:val="1"/>
          <w:numId w:val="1002"/>
        </w:numPr>
      </w:pPr>
      <w:r>
        <w:t xml:space="preserve">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pPr>
        <w:numPr>
          <w:ilvl w:val="0"/>
          <w:numId w:val="1001"/>
        </w:numPr>
      </w:pPr>
      <w:r>
        <w:t xml:space="preserve">Estimating the quantum of funding allocated to each council in a state or territory based on that jurisdiction’s grant commission’s distribution formula.</w:t>
      </w:r>
    </w:p>
    <w:p>
      <w:pPr>
        <w:numPr>
          <w:ilvl w:val="1"/>
          <w:numId w:val="1003"/>
        </w:numPr>
      </w:pPr>
      <w:r>
        <w:t xml:space="preserve">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pPr>
        <w:numPr>
          <w:ilvl w:val="1"/>
          <w:numId w:val="1003"/>
        </w:numPr>
      </w:pPr>
      <w:r>
        <w:t xml:space="preserve">This funding gap is assumed to follow a random walk over time, i.e., the funding gap is in year T is the funding gap in year T-1 plus or minus a random shock.</w:t>
      </w:r>
    </w:p>
    <w:p>
      <w:pPr>
        <w:numPr>
          <w:ilvl w:val="1"/>
          <w:numId w:val="1003"/>
        </w:numPr>
      </w:pPr>
      <w:r>
        <w:t xml:space="preserve">Councils are then allocated funding based on the minimum grant entitlement (as was passed into the model) and the funding gap metric based on the relevant state’s distribution process. It is important to note that jurisdictions impose year-on-year caps on changes to council entitlements to provide some semblance of stability. These caps (as they were in 2024-25) have been imposed in the model wherever possible.</w:t>
      </w:r>
    </w:p>
    <w:p>
      <w:pPr>
        <w:numPr>
          <w:ilvl w:val="0"/>
          <w:numId w:val="1001"/>
        </w:numPr>
      </w:pPr>
      <w:r>
        <w:t xml:space="preserve">Simulating this process 1000 times to generate a distribution of possible outcomes for each council in each year.</w:t>
      </w:r>
    </w:p>
    <w:p>
      <w:pPr>
        <w:pStyle w:val="FirstParagraph"/>
      </w:pPr>
      <w:r>
        <w:t xml:space="preserve">Four scenarios are considered here:</w:t>
      </w:r>
    </w:p>
    <w:p>
      <w:pPr>
        <w:pStyle w:val="Compact"/>
        <w:numPr>
          <w:ilvl w:val="0"/>
          <w:numId w:val="1004"/>
        </w:numPr>
      </w:pPr>
      <w:r>
        <w:t xml:space="preserve">A baseline scenario where a council’s minimum grant entitlements are 30% of the amount estimated on a per-capita basis.</w:t>
      </w:r>
    </w:p>
    <w:p>
      <w:pPr>
        <w:pStyle w:val="Compact"/>
        <w:numPr>
          <w:ilvl w:val="0"/>
          <w:numId w:val="1004"/>
        </w:numPr>
      </w:pPr>
      <w:r>
        <w:t xml:space="preserve">A 20% per-capita minimum grant entitlement.</w:t>
      </w:r>
    </w:p>
    <w:p>
      <w:pPr>
        <w:pStyle w:val="Compact"/>
        <w:numPr>
          <w:ilvl w:val="0"/>
          <w:numId w:val="1004"/>
        </w:numPr>
      </w:pPr>
      <w:r>
        <w:t xml:space="preserve">A 10% per-capita minimum grant entitlement.</w:t>
      </w:r>
    </w:p>
    <w:p>
      <w:pPr>
        <w:pStyle w:val="Compact"/>
        <w:numPr>
          <w:ilvl w:val="0"/>
          <w:numId w:val="1004"/>
        </w:numPr>
      </w:pPr>
      <w:r>
        <w:t xml:space="preserve">No minimum grant entitlement.</w:t>
      </w:r>
    </w:p>
    <w:p>
      <w:pPr>
        <w:pStyle w:val="FirstParagraph"/>
      </w:pPr>
      <w:r>
        <w:t xml:space="preserve">When estimating the present value of expected gains and losses over the four year period, future entitlements have been discounted using</w:t>
      </w:r>
      <w:r>
        <w:t xml:space="preserve"> </w:t>
      </w:r>
      <m:oMath>
        <m:r>
          <m:t>r</m:t>
        </m:r>
        <m:r>
          <m:rPr>
            <m:sty m:val="p"/>
          </m:rPr>
          <m:t>=</m:t>
        </m:r>
        <m:r>
          <m:t>2.50</m:t>
        </m:r>
        <m:r>
          <m:rPr>
            <m:sty m:val="p"/>
          </m:rPr>
          <m:t>%</m:t>
        </m:r>
      </m:oMath>
      <w:r>
        <w:t xml:space="preserve"> </w:t>
      </w:r>
      <w:r>
        <w:t xml:space="preserve">in line with the 2025-26 Federal Budget.</w:t>
      </w:r>
    </w:p>
    <w:p>
      <w:pPr>
        <w:pStyle w:val="BodyText"/>
      </w:pPr>
      <w:r>
        <w:t xml:space="preserve">Councils are classified into 22 groups based on their population size and the population density of their area - the Australian Classification of Local Governments (ACLG)</w:t>
      </w:r>
    </w:p>
    <w:p>
      <w:pPr>
        <w:pStyle w:val="BodyText"/>
      </w:pPr>
      <w:r>
        <w:t xml:space="preserve">It is important to note that the analysis here is based on a number of assumptions and simplifications. The results should be interpreted with caution and not be taken as definitive predictions of future grant entitlements.</w:t>
      </w:r>
    </w:p>
    <w:bookmarkStart w:id="29" w:name="a-20-per-capita-minimum-grant"/>
    <w:p>
      <w:r>
        <w:br w:type="page"/>
      </w:r>
    </w:p>
    <w:p>
      <w:pPr>
        <w:pStyle w:val="Heading1"/>
      </w:pPr>
      <w:r>
        <w:t xml:space="preserve">A 20% Per Capita Minimum Grant</w:t>
      </w:r>
    </w:p>
    <w:bookmarkStart w:id="21" w:name="national"/>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11</w:t>
            </w:r>
          </w:p>
        </w:tc>
        <w:tc>
          <w:tcPr/>
          <w:p>
            <w:pPr>
              <w:pStyle w:val="Compact"/>
            </w:pPr>
            <w:r>
              <w:rPr>
                <w:sz w:val="16"/>
              </w:rPr>
              <w:t xml:space="preserve">13</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p>
      <w:r>
        <w:br w:type="page"/>
      </w:r>
    </w:p>
    <w:bookmarkEnd w:id="21"/>
    <w:bookmarkStart w:id="22" w:name="new-south-wales"/>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4,644,639.2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2"/>
    <w:bookmarkStart w:id="23" w:name="victoria"/>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5,015,731.9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3"/>
    <w:bookmarkStart w:id="24" w:name="queensland"/>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24"/>
    <w:bookmarkStart w:id="25" w:name="south-australia"/>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3,811,701.7</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25"/>
    <w:bookmarkStart w:id="26" w:name="western-australia"/>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3,195,071.8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26"/>
    <w:bookmarkStart w:id="27" w:name="tasmania"/>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948,178.4</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p>
      <w:r>
        <w:br w:type="page"/>
      </w:r>
    </w:p>
    <w:bookmarkEnd w:id="27"/>
    <w:bookmarkStart w:id="28" w:name="northern-territory"/>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1,902,799.5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28"/>
    <w:bookmarkEnd w:id="29"/>
    <w:bookmarkStart w:id="38" w:name="a-10-per-capita-minimum-grant"/>
    <w:p>
      <w:r>
        <w:br w:type="page"/>
      </w:r>
    </w:p>
    <w:p>
      <w:pPr>
        <w:pStyle w:val="Heading1"/>
      </w:pPr>
      <w:r>
        <w:t xml:space="preserve">A 10% Per Capita Minimum Grant</w:t>
      </w:r>
    </w:p>
    <w:bookmarkStart w:id="30" w:name="national-1"/>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r>
              <w:rPr>
                <w:sz w:val="16"/>
              </w:rPr>
              <w:t xml:space="preserve">6</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15</w:t>
            </w:r>
          </w:p>
        </w:tc>
        <w:tc>
          <w:tcPr/>
          <w:p>
            <w:pPr>
              <w:pStyle w:val="Compact"/>
            </w:pPr>
            <w:r>
              <w:rPr>
                <w:sz w:val="16"/>
              </w:rPr>
              <w:t xml:space="preserve">75</w:t>
            </w:r>
          </w:p>
        </w:tc>
      </w:tr>
    </w:tbl>
    <w:p>
      <w:r>
        <w:br w:type="page"/>
      </w:r>
    </w:p>
    <w:bookmarkEnd w:id="30"/>
    <w:bookmarkStart w:id="31" w:name="new-south-wales-1"/>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9,219,129.4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c>
          <w:tcPr/>
          <w:p>
            <w:pPr>
              <w:pStyle w:val="Compact"/>
            </w:pPr>
          </w:p>
        </w:tc>
        <w:tc>
          <w:tcPr/>
          <w:p>
            <w:pPr>
              <w:pStyle w:val="Compact"/>
            </w:pP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c>
          <w:tcPr/>
          <w:p>
            <w:pPr>
              <w:pStyle w:val="Compact"/>
            </w:pP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1"/>
    <w:bookmarkStart w:id="32" w:name="victoria-1"/>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9,969,597.5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2"/>
    <w:bookmarkStart w:id="33" w:name="queensland-1"/>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3"/>
    <w:bookmarkStart w:id="34" w:name="south-australia-1"/>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7,746,237.3</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34"/>
    <w:bookmarkStart w:id="35" w:name="western-australia-1"/>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6,379,983.1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35"/>
    <w:bookmarkStart w:id="36" w:name="tasmania-1"/>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1,896,808.7</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p>
      <w:r>
        <w:br w:type="page"/>
      </w:r>
    </w:p>
    <w:bookmarkEnd w:id="36"/>
    <w:bookmarkStart w:id="37" w:name="northern-territory-1"/>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3,792,169.9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37"/>
    <w:bookmarkEnd w:id="38"/>
    <w:bookmarkStart w:id="47" w:name="a-world-with-no-per-capita-minimum-grant"/>
    <w:p>
      <w:r>
        <w:br w:type="page"/>
      </w:r>
    </w:p>
    <w:p>
      <w:pPr>
        <w:pStyle w:val="Heading1"/>
      </w:pPr>
      <w:r>
        <w:t xml:space="preserve">A World With No Per Capita Minimum Grant</w:t>
      </w:r>
    </w:p>
    <w:bookmarkStart w:id="39" w:name="national-2"/>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c>
          <w:tcPr/>
          <w:p>
            <w:pPr>
              <w:pStyle w:val="Compact"/>
            </w:pP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c>
          <w:tcPr/>
          <w:p>
            <w:pPr>
              <w:pStyle w:val="Compact"/>
            </w:pP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c>
          <w:tcPr/>
          <w:p>
            <w:pPr>
              <w:pStyle w:val="Compact"/>
            </w:pP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c>
          <w:tcPr/>
          <w:p>
            <w:pPr>
              <w:pStyle w:val="Compact"/>
            </w:pP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c>
          <w:tcPr/>
          <w:p>
            <w:pPr>
              <w:pStyle w:val="Compact"/>
            </w:pP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c>
          <w:tcPr/>
          <w:p>
            <w:pPr>
              <w:pStyle w:val="Compact"/>
            </w:pP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11</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c>
          <w:tcPr/>
          <w:p>
            <w:pPr>
              <w:pStyle w:val="Compact"/>
            </w:pPr>
          </w:p>
        </w:tc>
      </w:tr>
    </w:tbl>
    <w:p>
      <w:r>
        <w:br w:type="page"/>
      </w:r>
    </w:p>
    <w:bookmarkEnd w:id="39"/>
    <w:bookmarkStart w:id="40" w:name="new-south-wales-2"/>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13,835,322.6</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0"/>
    <w:bookmarkStart w:id="41" w:name="victoria-2"/>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14,951,799.6</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bl>
    <w:p>
      <w:r>
        <w:br w:type="page"/>
      </w:r>
    </w:p>
    <w:bookmarkEnd w:id="41"/>
    <w:bookmarkStart w:id="42" w:name="queensland-2"/>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2"/>
    <w:bookmarkStart w:id="43" w:name="south-australia-2"/>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11,473,341.8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p>
      <w:r>
        <w:br w:type="page"/>
      </w:r>
    </w:p>
    <w:bookmarkEnd w:id="43"/>
    <w:bookmarkStart w:id="44" w:name="western-australia-2"/>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9,631,404.5</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44"/>
    <w:bookmarkStart w:id="45" w:name="tasmania-2"/>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2,849,623.0</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p>
      <w:r>
        <w:br w:type="page"/>
      </w:r>
    </w:p>
    <w:bookmarkEnd w:id="45"/>
    <w:bookmarkStart w:id="46" w:name="northern-territory-2"/>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5,679,818.7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46"/>
    <w:bookmarkEnd w:id="47"/>
    <w:bookmarkStart w:id="56" w:name="and-for-sanity-reasons-status-quo"/>
    <w:p>
      <w:r>
        <w:br w:type="page"/>
      </w:r>
    </w:p>
    <w:p>
      <w:pPr>
        <w:pStyle w:val="Heading1"/>
      </w:pPr>
      <w:r>
        <w:t xml:space="preserve">And for sanity reasons, status quo</w:t>
      </w:r>
    </w:p>
    <w:bookmarkStart w:id="48" w:name="national-3"/>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68</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136</w:t>
            </w:r>
          </w:p>
        </w:tc>
      </w:tr>
    </w:tbl>
    <w:p>
      <w:r>
        <w:br w:type="page"/>
      </w:r>
    </w:p>
    <w:bookmarkEnd w:id="48"/>
    <w:bookmarkStart w:id="49" w:name="new-south-wales-3"/>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p>
      <w:r>
        <w:br w:type="page"/>
      </w:r>
    </w:p>
    <w:bookmarkEnd w:id="49"/>
    <w:bookmarkStart w:id="50" w:name="victoria-3"/>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p>
      <w:r>
        <w:br w:type="page"/>
      </w:r>
    </w:p>
    <w:bookmarkEnd w:id="50"/>
    <w:bookmarkStart w:id="51" w:name="queensland-3"/>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p>
      <w:r>
        <w:br w:type="page"/>
      </w:r>
    </w:p>
    <w:bookmarkEnd w:id="51"/>
    <w:bookmarkStart w:id="52" w:name="south-australia-3"/>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3</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p>
      <w:r>
        <w:br w:type="page"/>
      </w:r>
    </w:p>
    <w:bookmarkEnd w:id="52"/>
    <w:bookmarkStart w:id="53" w:name="western-australia-3"/>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3</w:t>
            </w:r>
          </w:p>
        </w:tc>
      </w:tr>
    </w:tbl>
    <w:p>
      <w:r>
        <w:br w:type="page"/>
      </w:r>
    </w:p>
    <w:bookmarkEnd w:id="53"/>
    <w:bookmarkStart w:id="54" w:name="tasmania-3"/>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p>
      <w:r>
        <w:br w:type="page"/>
      </w:r>
    </w:p>
    <w:bookmarkEnd w:id="54"/>
    <w:bookmarkStart w:id="55" w:name="northern-territory-3"/>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55"/>
    <w:bookmarkEnd w:id="56"/>
    <w:bookmarkStart w:id="57" w:name="X908337456c7dfba9f3174afb7751309d832c4b1"/>
    <w:p>
      <w:r>
        <w:br w:type="page"/>
      </w:r>
    </w:p>
    <w:p>
      <w:pPr>
        <w:pStyle w:val="Heading1"/>
      </w:pPr>
      <w:r>
        <w:t xml:space="preserve">A note on the Australian Classification of Local Governments (ACLG)</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7"/>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0" Type="http://schemas.openxmlformats.org/officeDocument/2006/relationships/hyperlink" Target="https://spulick.github.io/fa_grant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spulick.github.io/fa_gra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dcterms:created xsi:type="dcterms:W3CDTF">2025-09-23T03:55:38Z</dcterms:created>
  <dcterms:modified xsi:type="dcterms:W3CDTF">2025-09-23T03:55:38Z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